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jpeg" ContentType="image/jpe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eastAsiaTheme="minorEastAsia"/>
          <w:color w:val="auto"/>
          <w:sz w:val="21"/>
          <w:szCs w:val="21"/>
        </w:rPr>
      </w:pPr>
    </w:p>
    <w:p>
      <w:pPr>
        <w:widowControl/>
        <w:jc w:val="left"/>
        <w:rPr>
          <w:rFonts w:eastAsiaTheme="minorEastAsia"/>
          <w:color w:val="auto"/>
        </w:rPr>
      </w:pPr>
      <w:r>
        <w:rPr>
          <w:rFonts w:eastAsiaTheme="minorEastAsia"/>
          <w:color w:val="auto"/>
          <w:sz w:val="21"/>
          <w:szCs w:val="21"/>
        </w:rPr>
        <w:t xml:space="preserve">证书编号：国环评证甲字第 1703 号             项目编号：180102007 </w:t>
      </w:r>
    </w:p>
    <w:p>
      <w:pPr>
        <w:rPr>
          <w:rFonts w:eastAsiaTheme="minorEastAsia"/>
          <w:color w:val="auto"/>
        </w:rPr>
      </w:pPr>
    </w:p>
    <w:p>
      <w:pPr>
        <w:pStyle w:val="129"/>
        <w:rPr>
          <w:rFonts w:eastAsiaTheme="minorEastAsia"/>
          <w:color w:val="auto"/>
        </w:rPr>
      </w:pPr>
      <w:bookmarkStart w:id="0" w:name="_Toc301249807"/>
    </w:p>
    <w:p>
      <w:pPr>
        <w:pStyle w:val="129"/>
        <w:rPr>
          <w:rFonts w:eastAsiaTheme="minorEastAsia"/>
          <w:color w:val="auto"/>
        </w:rPr>
      </w:pPr>
    </w:p>
    <w:p>
      <w:pPr>
        <w:pStyle w:val="129"/>
        <w:rPr>
          <w:rFonts w:eastAsiaTheme="minorEastAsia"/>
          <w:color w:val="auto"/>
        </w:rPr>
      </w:pPr>
    </w:p>
    <w:p>
      <w:pPr>
        <w:pStyle w:val="129"/>
        <w:rPr>
          <w:rFonts w:eastAsiaTheme="minorEastAsia"/>
          <w:color w:val="auto"/>
        </w:rPr>
      </w:pPr>
    </w:p>
    <w:bookmarkEnd w:id="0"/>
    <w:p>
      <w:pPr>
        <w:spacing w:line="1000" w:lineRule="exact"/>
        <w:jc w:val="center"/>
        <w:rPr>
          <w:rFonts w:hint="eastAsia" w:eastAsiaTheme="minorEastAsia"/>
          <w:color w:val="auto"/>
          <w:spacing w:val="-28"/>
          <w:kern w:val="0"/>
          <w:sz w:val="48"/>
          <w:szCs w:val="48"/>
          <w:highlight w:val="yellow"/>
          <w:lang w:eastAsia="zh-CN"/>
        </w:rPr>
      </w:pPr>
      <w:bookmarkStart w:id="1" w:name="OLE_LINK2"/>
      <w:r>
        <w:rPr>
          <w:rFonts w:hint="eastAsia" w:eastAsiaTheme="minorEastAsia"/>
          <w:color w:val="auto"/>
          <w:spacing w:val="-28"/>
          <w:kern w:val="0"/>
          <w:sz w:val="48"/>
          <w:szCs w:val="48"/>
          <w:lang w:eastAsia="zh-CN"/>
        </w:rPr>
        <w:t>佳木斯市郊区新华采石场佳华分厂建设项目</w:t>
      </w:r>
    </w:p>
    <w:bookmarkEnd w:id="1"/>
    <w:p>
      <w:pPr>
        <w:spacing w:line="1000" w:lineRule="exact"/>
        <w:jc w:val="center"/>
        <w:rPr>
          <w:rFonts w:eastAsiaTheme="minorEastAsia"/>
          <w:color w:val="auto"/>
          <w:kern w:val="0"/>
          <w:sz w:val="84"/>
          <w:szCs w:val="84"/>
        </w:rPr>
      </w:pPr>
      <w:r>
        <w:rPr>
          <w:rFonts w:eastAsiaTheme="minorEastAsia"/>
          <w:color w:val="auto"/>
          <w:kern w:val="0"/>
          <w:sz w:val="84"/>
          <w:szCs w:val="84"/>
        </w:rPr>
        <w:t>环境影响报告书</w:t>
      </w:r>
    </w:p>
    <w:p>
      <w:pPr>
        <w:spacing w:after="120" w:line="800" w:lineRule="exact"/>
        <w:jc w:val="center"/>
        <w:rPr>
          <w:rFonts w:eastAsiaTheme="minorEastAsia"/>
          <w:b/>
          <w:color w:val="auto"/>
          <w:sz w:val="64"/>
        </w:rPr>
      </w:pPr>
    </w:p>
    <w:p>
      <w:pPr>
        <w:jc w:val="right"/>
        <w:rPr>
          <w:rFonts w:eastAsiaTheme="minorEastAsia"/>
          <w:b/>
          <w:color w:val="auto"/>
          <w:sz w:val="64"/>
        </w:rPr>
      </w:pPr>
    </w:p>
    <w:p>
      <w:pPr>
        <w:jc w:val="right"/>
        <w:rPr>
          <w:rFonts w:eastAsiaTheme="minorEastAsia"/>
          <w:b/>
          <w:color w:val="auto"/>
          <w:sz w:val="64"/>
        </w:rPr>
      </w:pPr>
    </w:p>
    <w:p>
      <w:pPr>
        <w:jc w:val="right"/>
        <w:rPr>
          <w:rFonts w:eastAsiaTheme="minorEastAsia"/>
          <w:b/>
          <w:color w:val="auto"/>
          <w:sz w:val="64"/>
        </w:rPr>
      </w:pPr>
    </w:p>
    <w:p>
      <w:pPr>
        <w:rPr>
          <w:rFonts w:eastAsiaTheme="minorEastAsia"/>
          <w:b/>
          <w:color w:val="auto"/>
          <w:sz w:val="30"/>
          <w:szCs w:val="30"/>
        </w:rPr>
      </w:pPr>
      <w:r>
        <w:rPr>
          <w:rFonts w:eastAsiaTheme="minorEastAsia"/>
          <w:b/>
          <w:color w:val="auto"/>
          <w:sz w:val="30"/>
          <w:szCs w:val="30"/>
        </w:rPr>
        <w:t xml:space="preserve">                                                    </w:t>
      </w:r>
    </w:p>
    <w:p>
      <w:pPr>
        <w:rPr>
          <w:rFonts w:eastAsiaTheme="minorEastAsia"/>
          <w:b/>
          <w:color w:val="auto"/>
          <w:sz w:val="30"/>
          <w:szCs w:val="30"/>
        </w:rPr>
      </w:pPr>
    </w:p>
    <w:p>
      <w:pPr>
        <w:rPr>
          <w:rFonts w:eastAsiaTheme="minorEastAsia"/>
          <w:b/>
          <w:color w:val="auto"/>
          <w:sz w:val="30"/>
          <w:szCs w:val="30"/>
        </w:rPr>
      </w:pPr>
    </w:p>
    <w:p>
      <w:pPr>
        <w:rPr>
          <w:rFonts w:eastAsiaTheme="minorEastAsia"/>
          <w:b/>
          <w:color w:val="auto"/>
          <w:sz w:val="30"/>
          <w:szCs w:val="30"/>
        </w:rPr>
      </w:pPr>
    </w:p>
    <w:p>
      <w:pPr>
        <w:rPr>
          <w:rFonts w:eastAsiaTheme="minorEastAsia"/>
          <w:b/>
          <w:color w:val="auto"/>
          <w:sz w:val="30"/>
          <w:szCs w:val="30"/>
        </w:rPr>
      </w:pPr>
    </w:p>
    <w:p>
      <w:pPr>
        <w:rPr>
          <w:rFonts w:eastAsiaTheme="minorEastAsia"/>
          <w:b/>
          <w:color w:val="auto"/>
          <w:sz w:val="30"/>
          <w:szCs w:val="30"/>
        </w:rPr>
      </w:pPr>
    </w:p>
    <w:p>
      <w:pPr>
        <w:spacing w:line="240" w:lineRule="auto"/>
        <w:rPr>
          <w:rFonts w:eastAsiaTheme="minorEastAsia"/>
          <w:color w:val="auto"/>
          <w:kern w:val="0"/>
        </w:rPr>
      </w:pPr>
      <w:r>
        <w:rPr>
          <w:rFonts w:eastAsiaTheme="minorEastAsia"/>
          <w:color w:val="auto"/>
          <w:kern w:val="0"/>
        </w:rPr>
        <w:t xml:space="preserve">   </w:t>
      </w:r>
    </w:p>
    <w:p>
      <w:pPr>
        <w:spacing w:line="600" w:lineRule="exact"/>
        <w:ind w:left="1944" w:leftChars="810"/>
        <w:rPr>
          <w:rFonts w:hint="eastAsia" w:eastAsiaTheme="minorEastAsia"/>
          <w:color w:val="auto"/>
          <w:spacing w:val="6"/>
          <w:kern w:val="0"/>
          <w:sz w:val="32"/>
          <w:szCs w:val="32"/>
          <w:lang w:eastAsia="zh-CN"/>
        </w:rPr>
      </w:pPr>
      <w:r>
        <w:rPr>
          <w:rFonts w:eastAsiaTheme="minorEastAsia"/>
          <w:color w:val="auto"/>
          <w:spacing w:val="6"/>
          <w:kern w:val="0"/>
          <w:sz w:val="32"/>
          <w:szCs w:val="32"/>
        </w:rPr>
        <w:t>委托单位：</w:t>
      </w:r>
      <w:r>
        <w:rPr>
          <w:rFonts w:hint="eastAsia" w:eastAsiaTheme="minorEastAsia"/>
          <w:color w:val="auto"/>
          <w:spacing w:val="6"/>
          <w:kern w:val="0"/>
          <w:sz w:val="32"/>
          <w:szCs w:val="32"/>
          <w:lang w:eastAsia="zh-CN"/>
        </w:rPr>
        <w:t>佳木斯市郊区佳华石料厂</w:t>
      </w:r>
    </w:p>
    <w:p>
      <w:pPr>
        <w:spacing w:line="600" w:lineRule="exact"/>
        <w:ind w:left="1944" w:leftChars="810"/>
        <w:rPr>
          <w:rFonts w:hint="eastAsia" w:eastAsiaTheme="minorEastAsia"/>
          <w:color w:val="auto"/>
          <w:spacing w:val="6"/>
          <w:kern w:val="0"/>
          <w:sz w:val="32"/>
          <w:szCs w:val="32"/>
          <w:lang w:eastAsia="zh-CN"/>
        </w:rPr>
      </w:pPr>
      <w:r>
        <w:rPr>
          <w:rFonts w:eastAsiaTheme="minorEastAsia"/>
          <w:color w:val="auto"/>
          <w:spacing w:val="6"/>
          <w:kern w:val="0"/>
          <w:sz w:val="32"/>
          <w:szCs w:val="32"/>
        </w:rPr>
        <w:t>编制单位：</w:t>
      </w:r>
      <w:r>
        <w:rPr>
          <w:rFonts w:hint="eastAsia" w:eastAsiaTheme="minorEastAsia"/>
          <w:color w:val="auto"/>
          <w:spacing w:val="6"/>
          <w:kern w:val="0"/>
          <w:sz w:val="32"/>
          <w:szCs w:val="32"/>
          <w:lang w:eastAsia="zh-CN"/>
        </w:rPr>
        <w:t>兴业环保股份有限公司</w:t>
      </w:r>
    </w:p>
    <w:p>
      <w:pPr>
        <w:spacing w:line="600" w:lineRule="exact"/>
        <w:ind w:left="1944" w:leftChars="810"/>
        <w:rPr>
          <w:rFonts w:eastAsiaTheme="minorEastAsia"/>
          <w:color w:val="auto"/>
          <w:spacing w:val="6"/>
          <w:kern w:val="0"/>
          <w:sz w:val="32"/>
          <w:szCs w:val="32"/>
        </w:rPr>
      </w:pPr>
      <w:r>
        <w:rPr>
          <w:rFonts w:eastAsiaTheme="minorEastAsia"/>
          <w:color w:val="auto"/>
          <w:spacing w:val="6"/>
          <w:kern w:val="0"/>
          <w:sz w:val="32"/>
          <w:szCs w:val="32"/>
        </w:rPr>
        <w:t>编制日期：二〇一八年</w:t>
      </w:r>
      <w:r>
        <w:rPr>
          <w:rFonts w:hint="eastAsia" w:eastAsiaTheme="minorEastAsia"/>
          <w:color w:val="auto"/>
          <w:spacing w:val="6"/>
          <w:kern w:val="0"/>
          <w:sz w:val="32"/>
          <w:szCs w:val="32"/>
          <w:lang w:eastAsia="zh-CN"/>
        </w:rPr>
        <w:t>十二</w:t>
      </w:r>
      <w:r>
        <w:rPr>
          <w:rFonts w:eastAsiaTheme="minorEastAsia"/>
          <w:color w:val="auto"/>
          <w:spacing w:val="6"/>
          <w:kern w:val="0"/>
          <w:sz w:val="32"/>
          <w:szCs w:val="32"/>
        </w:rPr>
        <w:t>月</w:t>
      </w:r>
    </w:p>
    <w:p>
      <w:pPr>
        <w:spacing w:line="600" w:lineRule="exact"/>
        <w:ind w:left="1944" w:leftChars="810"/>
        <w:rPr>
          <w:rFonts w:eastAsiaTheme="minorEastAsia"/>
          <w:color w:val="auto"/>
          <w:spacing w:val="6"/>
          <w:kern w:val="0"/>
          <w:sz w:val="32"/>
          <w:szCs w:val="32"/>
        </w:rPr>
      </w:pPr>
    </w:p>
    <w:p>
      <w:pPr>
        <w:spacing w:line="400" w:lineRule="atLeast"/>
        <w:jc w:val="center"/>
        <w:rPr>
          <w:rFonts w:hint="eastAsia" w:eastAsiaTheme="minorEastAsia"/>
          <w:b/>
          <w:color w:val="auto"/>
          <w:spacing w:val="-3"/>
          <w:sz w:val="30"/>
          <w:szCs w:val="24"/>
          <w:lang w:eastAsia="zh-CN"/>
        </w:rPr>
      </w:pPr>
      <w:bookmarkStart w:id="2" w:name="_Toc4697"/>
      <w:bookmarkStart w:id="3" w:name="OLE_LINK21"/>
      <w:r>
        <w:rPr>
          <w:rFonts w:hint="eastAsia" w:eastAsiaTheme="minorEastAsia"/>
          <w:b/>
          <w:color w:val="auto"/>
          <w:spacing w:val="-3"/>
          <w:sz w:val="30"/>
          <w:szCs w:val="24"/>
          <w:lang w:eastAsia="zh-CN"/>
        </w:rPr>
        <w:t>佳木斯市郊区新华采石场佳华分厂建设项目</w:t>
      </w:r>
    </w:p>
    <w:p>
      <w:pPr>
        <w:spacing w:line="400" w:lineRule="atLeast"/>
        <w:jc w:val="center"/>
        <w:rPr>
          <w:rFonts w:eastAsiaTheme="minorEastAsia"/>
          <w:b/>
          <w:color w:val="auto"/>
          <w:sz w:val="30"/>
          <w:szCs w:val="24"/>
        </w:rPr>
      </w:pPr>
      <w:r>
        <w:rPr>
          <w:rFonts w:eastAsiaTheme="minorEastAsia"/>
          <w:b/>
          <w:color w:val="auto"/>
          <w:spacing w:val="-3"/>
          <w:sz w:val="30"/>
          <w:szCs w:val="24"/>
        </w:rPr>
        <w:t>环境影响报告书</w:t>
      </w:r>
      <w:r>
        <w:rPr>
          <w:rFonts w:eastAsiaTheme="minorEastAsia"/>
          <w:b/>
          <w:color w:val="auto"/>
          <w:sz w:val="30"/>
          <w:szCs w:val="24"/>
        </w:rPr>
        <w:t>编制人员名单表</w:t>
      </w:r>
      <w:bookmarkEnd w:id="2"/>
    </w:p>
    <w:p>
      <w:pPr>
        <w:jc w:val="center"/>
        <w:rPr>
          <w:rFonts w:eastAsiaTheme="minorEastAsia"/>
          <w:color w:val="auto"/>
          <w:sz w:val="36"/>
        </w:rPr>
      </w:pPr>
    </w:p>
    <w:tbl>
      <w:tblPr>
        <w:tblStyle w:val="53"/>
        <w:tblW w:w="842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541"/>
        <w:gridCol w:w="592"/>
        <w:gridCol w:w="851"/>
        <w:gridCol w:w="1392"/>
        <w:gridCol w:w="1623"/>
        <w:gridCol w:w="1946"/>
        <w:gridCol w:w="14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02" w:hRule="atLeast"/>
          <w:jc w:val="center"/>
        </w:trPr>
        <w:tc>
          <w:tcPr>
            <w:tcW w:w="1133" w:type="dxa"/>
            <w:gridSpan w:val="2"/>
            <w:vMerge w:val="restart"/>
            <w:vAlign w:val="center"/>
          </w:tcPr>
          <w:p>
            <w:pPr>
              <w:jc w:val="center"/>
              <w:rPr>
                <w:rFonts w:eastAsiaTheme="minorEastAsia"/>
                <w:color w:val="auto"/>
                <w:szCs w:val="24"/>
              </w:rPr>
            </w:pPr>
            <w:r>
              <w:rPr>
                <w:rFonts w:eastAsiaTheme="minorEastAsia"/>
                <w:color w:val="auto"/>
                <w:szCs w:val="24"/>
              </w:rPr>
              <w:t>编制</w:t>
            </w:r>
          </w:p>
          <w:p>
            <w:pPr>
              <w:jc w:val="center"/>
              <w:rPr>
                <w:rFonts w:eastAsiaTheme="minorEastAsia"/>
                <w:color w:val="auto"/>
                <w:szCs w:val="24"/>
              </w:rPr>
            </w:pPr>
            <w:r>
              <w:rPr>
                <w:rFonts w:eastAsiaTheme="minorEastAsia"/>
                <w:color w:val="auto"/>
                <w:szCs w:val="24"/>
              </w:rPr>
              <w:t>主持人</w:t>
            </w:r>
          </w:p>
        </w:tc>
        <w:tc>
          <w:tcPr>
            <w:tcW w:w="851" w:type="dxa"/>
            <w:vAlign w:val="center"/>
          </w:tcPr>
          <w:p>
            <w:pPr>
              <w:jc w:val="center"/>
              <w:rPr>
                <w:rFonts w:eastAsiaTheme="minorEastAsia"/>
                <w:color w:val="auto"/>
                <w:szCs w:val="24"/>
              </w:rPr>
            </w:pPr>
            <w:r>
              <w:rPr>
                <w:rFonts w:eastAsiaTheme="minorEastAsia"/>
                <w:color w:val="auto"/>
                <w:szCs w:val="24"/>
              </w:rPr>
              <w:t>姓名</w:t>
            </w:r>
          </w:p>
        </w:tc>
        <w:tc>
          <w:tcPr>
            <w:tcW w:w="1392" w:type="dxa"/>
            <w:vAlign w:val="center"/>
          </w:tcPr>
          <w:p>
            <w:pPr>
              <w:jc w:val="center"/>
              <w:rPr>
                <w:rFonts w:eastAsiaTheme="minorEastAsia"/>
                <w:color w:val="auto"/>
                <w:szCs w:val="24"/>
              </w:rPr>
            </w:pPr>
            <w:r>
              <w:rPr>
                <w:rFonts w:eastAsiaTheme="minorEastAsia"/>
                <w:color w:val="auto"/>
                <w:szCs w:val="24"/>
              </w:rPr>
              <w:t>职（执）业资格证书</w:t>
            </w:r>
          </w:p>
          <w:p>
            <w:pPr>
              <w:jc w:val="center"/>
              <w:rPr>
                <w:rFonts w:eastAsiaTheme="minorEastAsia"/>
                <w:color w:val="auto"/>
                <w:szCs w:val="24"/>
              </w:rPr>
            </w:pPr>
            <w:r>
              <w:rPr>
                <w:rFonts w:eastAsiaTheme="minorEastAsia"/>
                <w:color w:val="auto"/>
                <w:szCs w:val="24"/>
              </w:rPr>
              <w:t>编号</w:t>
            </w:r>
          </w:p>
        </w:tc>
        <w:tc>
          <w:tcPr>
            <w:tcW w:w="1623" w:type="dxa"/>
            <w:vAlign w:val="center"/>
          </w:tcPr>
          <w:p>
            <w:pPr>
              <w:jc w:val="center"/>
              <w:rPr>
                <w:rFonts w:eastAsiaTheme="minorEastAsia"/>
                <w:color w:val="auto"/>
                <w:szCs w:val="24"/>
              </w:rPr>
            </w:pPr>
            <w:r>
              <w:rPr>
                <w:rFonts w:eastAsiaTheme="minorEastAsia"/>
                <w:color w:val="auto"/>
                <w:szCs w:val="24"/>
              </w:rPr>
              <w:t>登记（注册证）编号</w:t>
            </w:r>
          </w:p>
        </w:tc>
        <w:tc>
          <w:tcPr>
            <w:tcW w:w="1946" w:type="dxa"/>
            <w:vAlign w:val="center"/>
          </w:tcPr>
          <w:p>
            <w:pPr>
              <w:jc w:val="center"/>
              <w:rPr>
                <w:rFonts w:eastAsiaTheme="minorEastAsia"/>
                <w:color w:val="auto"/>
                <w:szCs w:val="24"/>
              </w:rPr>
            </w:pPr>
            <w:r>
              <w:rPr>
                <w:rFonts w:eastAsiaTheme="minorEastAsia"/>
                <w:color w:val="auto"/>
                <w:szCs w:val="24"/>
              </w:rPr>
              <w:t>专业类别</w:t>
            </w:r>
          </w:p>
        </w:tc>
        <w:tc>
          <w:tcPr>
            <w:tcW w:w="1481" w:type="dxa"/>
            <w:vAlign w:val="center"/>
          </w:tcPr>
          <w:p>
            <w:pPr>
              <w:jc w:val="center"/>
              <w:rPr>
                <w:rFonts w:eastAsiaTheme="minorEastAsia"/>
                <w:color w:val="auto"/>
                <w:szCs w:val="24"/>
              </w:rPr>
            </w:pPr>
            <w:r>
              <w:rPr>
                <w:rFonts w:eastAsiaTheme="minorEastAsia"/>
                <w:color w:val="auto"/>
                <w:szCs w:val="24"/>
              </w:rPr>
              <w:t>本人签名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03" w:hRule="atLeast"/>
          <w:jc w:val="center"/>
        </w:trPr>
        <w:tc>
          <w:tcPr>
            <w:tcW w:w="1133" w:type="dxa"/>
            <w:gridSpan w:val="2"/>
            <w:vMerge w:val="continue"/>
            <w:vAlign w:val="center"/>
          </w:tcPr>
          <w:p>
            <w:pPr>
              <w:jc w:val="center"/>
              <w:rPr>
                <w:rFonts w:eastAsiaTheme="minorEastAsia"/>
                <w:color w:val="auto"/>
                <w:szCs w:val="24"/>
              </w:rPr>
            </w:pPr>
            <w:bookmarkStart w:id="4" w:name="OLE_LINK19" w:colFirst="2" w:colLast="3"/>
          </w:p>
        </w:tc>
        <w:tc>
          <w:tcPr>
            <w:tcW w:w="851" w:type="dxa"/>
            <w:vAlign w:val="center"/>
          </w:tcPr>
          <w:p>
            <w:pPr>
              <w:adjustRightInd w:val="0"/>
              <w:snapToGrid w:val="0"/>
              <w:jc w:val="center"/>
              <w:rPr>
                <w:rFonts w:eastAsiaTheme="minorEastAsia"/>
                <w:color w:val="auto"/>
                <w:szCs w:val="24"/>
              </w:rPr>
            </w:pPr>
            <w:r>
              <w:rPr>
                <w:rFonts w:eastAsiaTheme="minorEastAsia"/>
                <w:color w:val="auto"/>
                <w:szCs w:val="24"/>
              </w:rPr>
              <w:t>王珊</w:t>
            </w:r>
          </w:p>
        </w:tc>
        <w:tc>
          <w:tcPr>
            <w:tcW w:w="1392" w:type="dxa"/>
            <w:vAlign w:val="center"/>
          </w:tcPr>
          <w:p>
            <w:pPr>
              <w:adjustRightInd w:val="0"/>
              <w:snapToGrid w:val="0"/>
              <w:spacing w:line="320" w:lineRule="exact"/>
              <w:jc w:val="center"/>
              <w:rPr>
                <w:rFonts w:eastAsiaTheme="minorEastAsia"/>
                <w:color w:val="auto"/>
                <w:szCs w:val="24"/>
              </w:rPr>
            </w:pPr>
            <w:r>
              <w:rPr>
                <w:rFonts w:eastAsiaTheme="minorEastAsia"/>
                <w:color w:val="auto"/>
                <w:szCs w:val="24"/>
              </w:rPr>
              <w:t>00015094</w:t>
            </w:r>
          </w:p>
        </w:tc>
        <w:tc>
          <w:tcPr>
            <w:tcW w:w="1623" w:type="dxa"/>
            <w:vAlign w:val="center"/>
          </w:tcPr>
          <w:p>
            <w:pPr>
              <w:adjustRightInd w:val="0"/>
              <w:snapToGrid w:val="0"/>
              <w:spacing w:line="320" w:lineRule="exact"/>
              <w:jc w:val="center"/>
              <w:rPr>
                <w:rFonts w:eastAsiaTheme="minorEastAsia"/>
                <w:color w:val="auto"/>
                <w:szCs w:val="24"/>
              </w:rPr>
            </w:pPr>
            <w:r>
              <w:rPr>
                <w:rFonts w:eastAsiaTheme="minorEastAsia"/>
                <w:color w:val="auto"/>
                <w:szCs w:val="24"/>
              </w:rPr>
              <w:t>A17030230800</w:t>
            </w:r>
          </w:p>
        </w:tc>
        <w:tc>
          <w:tcPr>
            <w:tcW w:w="1946" w:type="dxa"/>
            <w:vAlign w:val="center"/>
          </w:tcPr>
          <w:p>
            <w:pPr>
              <w:adjustRightInd w:val="0"/>
              <w:snapToGrid w:val="0"/>
              <w:spacing w:line="320" w:lineRule="exact"/>
              <w:jc w:val="center"/>
              <w:rPr>
                <w:rFonts w:eastAsiaTheme="minorEastAsia"/>
                <w:color w:val="auto"/>
                <w:szCs w:val="24"/>
              </w:rPr>
            </w:pPr>
            <w:r>
              <w:rPr>
                <w:rFonts w:eastAsiaTheme="minorEastAsia"/>
                <w:color w:val="auto"/>
                <w:szCs w:val="24"/>
              </w:rPr>
              <w:t>采掘</w:t>
            </w:r>
          </w:p>
        </w:tc>
        <w:tc>
          <w:tcPr>
            <w:tcW w:w="1481" w:type="dxa"/>
            <w:vAlign w:val="center"/>
          </w:tcPr>
          <w:p>
            <w:pPr>
              <w:jc w:val="center"/>
              <w:rPr>
                <w:rFonts w:eastAsiaTheme="minorEastAsia"/>
                <w:color w:val="auto"/>
                <w:szCs w:val="24"/>
              </w:rPr>
            </w:pPr>
          </w:p>
        </w:tc>
      </w:tr>
      <w:bookmarkEnd w:id="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02" w:hRule="atLeast"/>
          <w:jc w:val="center"/>
        </w:trPr>
        <w:tc>
          <w:tcPr>
            <w:tcW w:w="541" w:type="dxa"/>
            <w:vMerge w:val="restart"/>
            <w:vAlign w:val="center"/>
          </w:tcPr>
          <w:p>
            <w:pPr>
              <w:jc w:val="center"/>
              <w:rPr>
                <w:rFonts w:eastAsiaTheme="minorEastAsia"/>
                <w:color w:val="auto"/>
                <w:szCs w:val="24"/>
              </w:rPr>
            </w:pPr>
            <w:r>
              <w:rPr>
                <w:rFonts w:eastAsiaTheme="minorEastAsia"/>
                <w:color w:val="auto"/>
                <w:szCs w:val="24"/>
              </w:rPr>
              <w:t>主要编制人员情况</w:t>
            </w:r>
          </w:p>
        </w:tc>
        <w:tc>
          <w:tcPr>
            <w:tcW w:w="592" w:type="dxa"/>
            <w:vAlign w:val="center"/>
          </w:tcPr>
          <w:p>
            <w:pPr>
              <w:jc w:val="center"/>
              <w:rPr>
                <w:rFonts w:eastAsiaTheme="minorEastAsia"/>
                <w:color w:val="auto"/>
                <w:szCs w:val="24"/>
              </w:rPr>
            </w:pPr>
            <w:r>
              <w:rPr>
                <w:rFonts w:eastAsiaTheme="minorEastAsia"/>
                <w:color w:val="auto"/>
                <w:szCs w:val="24"/>
              </w:rPr>
              <w:t>序号</w:t>
            </w:r>
          </w:p>
        </w:tc>
        <w:tc>
          <w:tcPr>
            <w:tcW w:w="851" w:type="dxa"/>
            <w:vAlign w:val="center"/>
          </w:tcPr>
          <w:p>
            <w:pPr>
              <w:jc w:val="center"/>
              <w:rPr>
                <w:rFonts w:eastAsiaTheme="minorEastAsia"/>
                <w:color w:val="auto"/>
                <w:szCs w:val="24"/>
              </w:rPr>
            </w:pPr>
            <w:r>
              <w:rPr>
                <w:rFonts w:eastAsiaTheme="minorEastAsia"/>
                <w:color w:val="auto"/>
                <w:szCs w:val="24"/>
              </w:rPr>
              <w:t>姓名</w:t>
            </w:r>
          </w:p>
        </w:tc>
        <w:tc>
          <w:tcPr>
            <w:tcW w:w="1392" w:type="dxa"/>
            <w:vAlign w:val="center"/>
          </w:tcPr>
          <w:p>
            <w:pPr>
              <w:jc w:val="center"/>
              <w:rPr>
                <w:rFonts w:eastAsiaTheme="minorEastAsia"/>
                <w:color w:val="auto"/>
                <w:szCs w:val="24"/>
              </w:rPr>
            </w:pPr>
            <w:r>
              <w:rPr>
                <w:rFonts w:eastAsiaTheme="minorEastAsia"/>
                <w:color w:val="auto"/>
                <w:szCs w:val="24"/>
              </w:rPr>
              <w:t>职（执）业资格证书</w:t>
            </w:r>
          </w:p>
          <w:p>
            <w:pPr>
              <w:jc w:val="center"/>
              <w:rPr>
                <w:rFonts w:eastAsiaTheme="minorEastAsia"/>
                <w:color w:val="auto"/>
                <w:szCs w:val="24"/>
              </w:rPr>
            </w:pPr>
            <w:r>
              <w:rPr>
                <w:rFonts w:eastAsiaTheme="minorEastAsia"/>
                <w:color w:val="auto"/>
                <w:szCs w:val="24"/>
              </w:rPr>
              <w:t>编号</w:t>
            </w:r>
          </w:p>
        </w:tc>
        <w:tc>
          <w:tcPr>
            <w:tcW w:w="1623" w:type="dxa"/>
            <w:vAlign w:val="center"/>
          </w:tcPr>
          <w:p>
            <w:pPr>
              <w:jc w:val="center"/>
              <w:rPr>
                <w:rFonts w:eastAsiaTheme="minorEastAsia"/>
                <w:color w:val="auto"/>
                <w:szCs w:val="24"/>
              </w:rPr>
            </w:pPr>
            <w:r>
              <w:rPr>
                <w:rFonts w:eastAsiaTheme="minorEastAsia"/>
                <w:color w:val="auto"/>
                <w:szCs w:val="24"/>
              </w:rPr>
              <w:t>登记（注册证）编号</w:t>
            </w:r>
          </w:p>
        </w:tc>
        <w:tc>
          <w:tcPr>
            <w:tcW w:w="1946" w:type="dxa"/>
            <w:vAlign w:val="center"/>
          </w:tcPr>
          <w:p>
            <w:pPr>
              <w:jc w:val="center"/>
              <w:rPr>
                <w:rFonts w:eastAsiaTheme="minorEastAsia"/>
                <w:color w:val="auto"/>
                <w:szCs w:val="24"/>
              </w:rPr>
            </w:pPr>
            <w:r>
              <w:rPr>
                <w:rFonts w:eastAsiaTheme="minorEastAsia"/>
                <w:color w:val="auto"/>
                <w:szCs w:val="24"/>
              </w:rPr>
              <w:t>编制内容</w:t>
            </w:r>
          </w:p>
        </w:tc>
        <w:tc>
          <w:tcPr>
            <w:tcW w:w="1481" w:type="dxa"/>
            <w:vAlign w:val="center"/>
          </w:tcPr>
          <w:p>
            <w:pPr>
              <w:jc w:val="center"/>
              <w:rPr>
                <w:rFonts w:eastAsiaTheme="minorEastAsia"/>
                <w:color w:val="auto"/>
                <w:szCs w:val="24"/>
              </w:rPr>
            </w:pPr>
            <w:r>
              <w:rPr>
                <w:rFonts w:eastAsiaTheme="minorEastAsia"/>
                <w:color w:val="auto"/>
                <w:szCs w:val="24"/>
              </w:rPr>
              <w:t>本人签名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03" w:hRule="atLeast"/>
          <w:jc w:val="center"/>
        </w:trPr>
        <w:tc>
          <w:tcPr>
            <w:tcW w:w="541" w:type="dxa"/>
            <w:vMerge w:val="continue"/>
            <w:vAlign w:val="center"/>
          </w:tcPr>
          <w:p>
            <w:pPr>
              <w:jc w:val="center"/>
              <w:rPr>
                <w:rFonts w:eastAsiaTheme="minorEastAsia"/>
                <w:color w:val="auto"/>
                <w:szCs w:val="24"/>
              </w:rPr>
            </w:pPr>
          </w:p>
        </w:tc>
        <w:tc>
          <w:tcPr>
            <w:tcW w:w="592" w:type="dxa"/>
            <w:vAlign w:val="center"/>
          </w:tcPr>
          <w:p>
            <w:pPr>
              <w:jc w:val="center"/>
              <w:rPr>
                <w:rFonts w:eastAsiaTheme="minorEastAsia"/>
                <w:color w:val="auto"/>
                <w:szCs w:val="24"/>
              </w:rPr>
            </w:pPr>
            <w:r>
              <w:rPr>
                <w:rFonts w:eastAsiaTheme="minorEastAsia"/>
                <w:color w:val="auto"/>
                <w:szCs w:val="24"/>
              </w:rPr>
              <w:t>1</w:t>
            </w:r>
          </w:p>
        </w:tc>
        <w:tc>
          <w:tcPr>
            <w:tcW w:w="851" w:type="dxa"/>
            <w:vAlign w:val="center"/>
          </w:tcPr>
          <w:p>
            <w:pPr>
              <w:adjustRightInd w:val="0"/>
              <w:snapToGrid w:val="0"/>
              <w:jc w:val="center"/>
              <w:rPr>
                <w:rFonts w:eastAsiaTheme="minorEastAsia"/>
                <w:color w:val="auto"/>
                <w:szCs w:val="24"/>
              </w:rPr>
            </w:pPr>
            <w:r>
              <w:rPr>
                <w:rFonts w:eastAsiaTheme="minorEastAsia"/>
                <w:color w:val="auto"/>
                <w:szCs w:val="24"/>
              </w:rPr>
              <w:t>王珊</w:t>
            </w:r>
          </w:p>
        </w:tc>
        <w:tc>
          <w:tcPr>
            <w:tcW w:w="1392" w:type="dxa"/>
            <w:vAlign w:val="center"/>
          </w:tcPr>
          <w:p>
            <w:pPr>
              <w:adjustRightInd w:val="0"/>
              <w:snapToGrid w:val="0"/>
              <w:spacing w:line="320" w:lineRule="exact"/>
              <w:jc w:val="center"/>
              <w:rPr>
                <w:rFonts w:eastAsiaTheme="minorEastAsia"/>
                <w:color w:val="auto"/>
                <w:szCs w:val="24"/>
              </w:rPr>
            </w:pPr>
            <w:r>
              <w:rPr>
                <w:rFonts w:eastAsiaTheme="minorEastAsia"/>
                <w:color w:val="auto"/>
                <w:szCs w:val="24"/>
              </w:rPr>
              <w:t>00015094</w:t>
            </w:r>
          </w:p>
        </w:tc>
        <w:tc>
          <w:tcPr>
            <w:tcW w:w="1623" w:type="dxa"/>
            <w:vAlign w:val="center"/>
          </w:tcPr>
          <w:p>
            <w:pPr>
              <w:adjustRightInd w:val="0"/>
              <w:snapToGrid w:val="0"/>
              <w:spacing w:line="320" w:lineRule="exact"/>
              <w:jc w:val="center"/>
              <w:rPr>
                <w:rFonts w:eastAsiaTheme="minorEastAsia"/>
                <w:color w:val="auto"/>
                <w:szCs w:val="24"/>
              </w:rPr>
            </w:pPr>
            <w:r>
              <w:rPr>
                <w:rFonts w:eastAsiaTheme="minorEastAsia"/>
                <w:color w:val="auto"/>
                <w:szCs w:val="24"/>
              </w:rPr>
              <w:t>A17030230800</w:t>
            </w:r>
          </w:p>
        </w:tc>
        <w:tc>
          <w:tcPr>
            <w:tcW w:w="1946" w:type="dxa"/>
            <w:vAlign w:val="center"/>
          </w:tcPr>
          <w:p>
            <w:pPr>
              <w:jc w:val="center"/>
              <w:rPr>
                <w:rFonts w:eastAsiaTheme="minorEastAsia"/>
                <w:color w:val="auto"/>
                <w:szCs w:val="24"/>
              </w:rPr>
            </w:pPr>
            <w:r>
              <w:rPr>
                <w:rFonts w:eastAsiaTheme="minorEastAsia"/>
                <w:color w:val="auto"/>
                <w:szCs w:val="24"/>
              </w:rPr>
              <w:t>概述、总则、项目概况与工程分析、项目所在区域环境现状调查与评价、环境影响预测与评价、环境保护措施及其可行性论证、环境影响经济损益分析、环境管理与监测计划、环境影响评价结论</w:t>
            </w:r>
          </w:p>
        </w:tc>
        <w:tc>
          <w:tcPr>
            <w:tcW w:w="1481" w:type="dxa"/>
            <w:vAlign w:val="center"/>
          </w:tcPr>
          <w:p>
            <w:pPr>
              <w:jc w:val="center"/>
              <w:rPr>
                <w:rFonts w:eastAsiaTheme="minorEastAsia"/>
                <w:color w:val="auto"/>
                <w:szCs w:val="24"/>
              </w:rPr>
            </w:pPr>
          </w:p>
        </w:tc>
      </w:tr>
      <w:bookmarkEnd w:id="3"/>
    </w:tbl>
    <w:p>
      <w:pPr>
        <w:pStyle w:val="262"/>
        <w:rPr>
          <w:rFonts w:eastAsiaTheme="minorEastAsia"/>
          <w:color w:val="auto"/>
        </w:rPr>
      </w:pPr>
      <w:r>
        <w:rPr>
          <w:rFonts w:eastAsiaTheme="minorEastAsia"/>
          <w:color w:val="auto"/>
        </w:rPr>
        <w:br w:type="page"/>
      </w:r>
      <w:r>
        <w:rPr>
          <w:rFonts w:eastAsiaTheme="minorEastAsia"/>
          <w:color w:val="auto"/>
        </w:rPr>
        <w:t>目 录</w:t>
      </w:r>
    </w:p>
    <w:p>
      <w:pPr>
        <w:pStyle w:val="33"/>
        <w:tabs>
          <w:tab w:val="right" w:leader="dot" w:pos="8296"/>
        </w:tabs>
        <w:rPr>
          <w:rFonts w:asciiTheme="minorHAnsi" w:hAnsiTheme="minorHAnsi" w:eastAsiaTheme="minorEastAsia" w:cstheme="minorBidi"/>
          <w:b w:val="0"/>
          <w:bCs w:val="0"/>
          <w:caps w:val="0"/>
          <w:color w:val="auto"/>
          <w:sz w:val="24"/>
          <w:szCs w:val="24"/>
        </w:rPr>
      </w:pPr>
      <w:r>
        <w:rPr>
          <w:rFonts w:ascii="Times New Roman" w:hAnsi="Times New Roman" w:cs="Times New Roman" w:eastAsiaTheme="minorEastAsia"/>
          <w:b w:val="0"/>
          <w:color w:val="auto"/>
          <w:sz w:val="24"/>
          <w:szCs w:val="24"/>
        </w:rPr>
        <w:fldChar w:fldCharType="begin"/>
      </w:r>
      <w:r>
        <w:rPr>
          <w:rFonts w:ascii="Times New Roman" w:hAnsi="Times New Roman" w:cs="Times New Roman" w:eastAsiaTheme="minorEastAsia"/>
          <w:b w:val="0"/>
          <w:color w:val="auto"/>
          <w:sz w:val="24"/>
          <w:szCs w:val="24"/>
        </w:rPr>
        <w:instrText xml:space="preserve"> TOC \o "1-2" \u </w:instrText>
      </w:r>
      <w:r>
        <w:rPr>
          <w:rFonts w:ascii="Times New Roman" w:hAnsi="Times New Roman" w:cs="Times New Roman" w:eastAsiaTheme="minorEastAsia"/>
          <w:b w:val="0"/>
          <w:color w:val="auto"/>
          <w:sz w:val="24"/>
          <w:szCs w:val="24"/>
        </w:rPr>
        <w:fldChar w:fldCharType="separate"/>
      </w:r>
      <w:r>
        <w:rPr>
          <w:rFonts w:eastAsiaTheme="minorEastAsia"/>
          <w:color w:val="auto"/>
          <w:sz w:val="24"/>
          <w:szCs w:val="24"/>
        </w:rPr>
        <w:t>1</w:t>
      </w:r>
      <w:r>
        <w:rPr>
          <w:rFonts w:hint="eastAsia" w:eastAsiaTheme="minorEastAsia"/>
          <w:color w:val="auto"/>
          <w:sz w:val="24"/>
          <w:szCs w:val="24"/>
        </w:rPr>
        <w:t>概述</w:t>
      </w:r>
      <w:r>
        <w:rPr>
          <w:color w:val="auto"/>
          <w:sz w:val="24"/>
          <w:szCs w:val="24"/>
        </w:rPr>
        <w:tab/>
      </w:r>
      <w:r>
        <w:rPr>
          <w:color w:val="auto"/>
          <w:sz w:val="24"/>
          <w:szCs w:val="24"/>
        </w:rPr>
        <w:fldChar w:fldCharType="begin"/>
      </w:r>
      <w:r>
        <w:rPr>
          <w:color w:val="auto"/>
          <w:sz w:val="24"/>
          <w:szCs w:val="24"/>
        </w:rPr>
        <w:instrText xml:space="preserve"> PAGEREF _Toc519693551 \h </w:instrText>
      </w:r>
      <w:r>
        <w:rPr>
          <w:color w:val="auto"/>
          <w:sz w:val="24"/>
          <w:szCs w:val="24"/>
        </w:rPr>
        <w:fldChar w:fldCharType="separate"/>
      </w:r>
      <w:r>
        <w:rPr>
          <w:color w:val="auto"/>
          <w:sz w:val="24"/>
          <w:szCs w:val="24"/>
        </w:rPr>
        <w:t>1</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1.1</w:t>
      </w:r>
      <w:r>
        <w:rPr>
          <w:rFonts w:hint="eastAsia" w:hAnsi="Times New Roman" w:eastAsiaTheme="minorEastAsia"/>
          <w:color w:val="auto"/>
          <w:sz w:val="24"/>
          <w:szCs w:val="24"/>
        </w:rPr>
        <w:t>项目由来</w:t>
      </w:r>
      <w:r>
        <w:rPr>
          <w:color w:val="auto"/>
          <w:sz w:val="24"/>
          <w:szCs w:val="24"/>
        </w:rPr>
        <w:tab/>
      </w:r>
      <w:r>
        <w:rPr>
          <w:color w:val="auto"/>
          <w:sz w:val="24"/>
          <w:szCs w:val="24"/>
        </w:rPr>
        <w:fldChar w:fldCharType="begin"/>
      </w:r>
      <w:r>
        <w:rPr>
          <w:color w:val="auto"/>
          <w:sz w:val="24"/>
          <w:szCs w:val="24"/>
        </w:rPr>
        <w:instrText xml:space="preserve"> PAGEREF _Toc519693552 \h </w:instrText>
      </w:r>
      <w:r>
        <w:rPr>
          <w:color w:val="auto"/>
          <w:sz w:val="24"/>
          <w:szCs w:val="24"/>
        </w:rPr>
        <w:fldChar w:fldCharType="separate"/>
      </w:r>
      <w:r>
        <w:rPr>
          <w:color w:val="auto"/>
          <w:sz w:val="24"/>
          <w:szCs w:val="24"/>
        </w:rPr>
        <w:t>1</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1.2</w:t>
      </w:r>
      <w:r>
        <w:rPr>
          <w:rFonts w:hint="eastAsia" w:hAnsi="Times New Roman" w:eastAsiaTheme="minorEastAsia"/>
          <w:color w:val="auto"/>
          <w:sz w:val="24"/>
          <w:szCs w:val="24"/>
        </w:rPr>
        <w:t>项目特点</w:t>
      </w:r>
      <w:r>
        <w:rPr>
          <w:color w:val="auto"/>
          <w:sz w:val="24"/>
          <w:szCs w:val="24"/>
        </w:rPr>
        <w:tab/>
      </w:r>
      <w:r>
        <w:rPr>
          <w:color w:val="auto"/>
          <w:sz w:val="24"/>
          <w:szCs w:val="24"/>
        </w:rPr>
        <w:fldChar w:fldCharType="begin"/>
      </w:r>
      <w:r>
        <w:rPr>
          <w:color w:val="auto"/>
          <w:sz w:val="24"/>
          <w:szCs w:val="24"/>
        </w:rPr>
        <w:instrText xml:space="preserve"> PAGEREF _Toc519693553 \h </w:instrText>
      </w:r>
      <w:r>
        <w:rPr>
          <w:color w:val="auto"/>
          <w:sz w:val="24"/>
          <w:szCs w:val="24"/>
        </w:rPr>
        <w:fldChar w:fldCharType="separate"/>
      </w:r>
      <w:r>
        <w:rPr>
          <w:color w:val="auto"/>
          <w:sz w:val="24"/>
          <w:szCs w:val="24"/>
        </w:rPr>
        <w:t>2</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1.3</w:t>
      </w:r>
      <w:r>
        <w:rPr>
          <w:rFonts w:hint="eastAsia" w:hAnsi="Times New Roman" w:eastAsiaTheme="minorEastAsia"/>
          <w:color w:val="auto"/>
          <w:sz w:val="24"/>
          <w:szCs w:val="24"/>
        </w:rPr>
        <w:t>评价工作过程</w:t>
      </w:r>
      <w:r>
        <w:rPr>
          <w:color w:val="auto"/>
          <w:sz w:val="24"/>
          <w:szCs w:val="24"/>
        </w:rPr>
        <w:tab/>
      </w:r>
      <w:r>
        <w:rPr>
          <w:color w:val="auto"/>
          <w:sz w:val="24"/>
          <w:szCs w:val="24"/>
        </w:rPr>
        <w:fldChar w:fldCharType="begin"/>
      </w:r>
      <w:r>
        <w:rPr>
          <w:color w:val="auto"/>
          <w:sz w:val="24"/>
          <w:szCs w:val="24"/>
        </w:rPr>
        <w:instrText xml:space="preserve"> PAGEREF _Toc519693554 \h </w:instrText>
      </w:r>
      <w:r>
        <w:rPr>
          <w:color w:val="auto"/>
          <w:sz w:val="24"/>
          <w:szCs w:val="24"/>
        </w:rPr>
        <w:fldChar w:fldCharType="separate"/>
      </w:r>
      <w:r>
        <w:rPr>
          <w:color w:val="auto"/>
          <w:sz w:val="24"/>
          <w:szCs w:val="24"/>
        </w:rPr>
        <w:t>2</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 xml:space="preserve">1.4 </w:t>
      </w:r>
      <w:r>
        <w:rPr>
          <w:rFonts w:hint="eastAsia" w:hAnsi="Times New Roman" w:eastAsiaTheme="minorEastAsia"/>
          <w:color w:val="auto"/>
          <w:sz w:val="24"/>
          <w:szCs w:val="24"/>
        </w:rPr>
        <w:t>分析判定相关情况</w:t>
      </w:r>
      <w:r>
        <w:rPr>
          <w:color w:val="auto"/>
          <w:sz w:val="24"/>
          <w:szCs w:val="24"/>
        </w:rPr>
        <w:tab/>
      </w:r>
      <w:r>
        <w:rPr>
          <w:color w:val="auto"/>
          <w:sz w:val="24"/>
          <w:szCs w:val="24"/>
        </w:rPr>
        <w:fldChar w:fldCharType="begin"/>
      </w:r>
      <w:r>
        <w:rPr>
          <w:color w:val="auto"/>
          <w:sz w:val="24"/>
          <w:szCs w:val="24"/>
        </w:rPr>
        <w:instrText xml:space="preserve"> PAGEREF _Toc519693555 \h </w:instrText>
      </w:r>
      <w:r>
        <w:rPr>
          <w:color w:val="auto"/>
          <w:sz w:val="24"/>
          <w:szCs w:val="24"/>
        </w:rPr>
        <w:fldChar w:fldCharType="separate"/>
      </w:r>
      <w:r>
        <w:rPr>
          <w:color w:val="auto"/>
          <w:sz w:val="24"/>
          <w:szCs w:val="24"/>
        </w:rPr>
        <w:t>4</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1.5</w:t>
      </w:r>
      <w:r>
        <w:rPr>
          <w:rFonts w:hint="eastAsia" w:hAnsi="Times New Roman" w:eastAsiaTheme="minorEastAsia"/>
          <w:color w:val="auto"/>
          <w:sz w:val="24"/>
          <w:szCs w:val="24"/>
        </w:rPr>
        <w:t>关注的主要环境问题</w:t>
      </w:r>
      <w:r>
        <w:rPr>
          <w:color w:val="auto"/>
          <w:sz w:val="24"/>
          <w:szCs w:val="24"/>
        </w:rPr>
        <w:tab/>
      </w:r>
      <w:r>
        <w:rPr>
          <w:color w:val="auto"/>
          <w:sz w:val="24"/>
          <w:szCs w:val="24"/>
        </w:rPr>
        <w:fldChar w:fldCharType="begin"/>
      </w:r>
      <w:r>
        <w:rPr>
          <w:color w:val="auto"/>
          <w:sz w:val="24"/>
          <w:szCs w:val="24"/>
        </w:rPr>
        <w:instrText xml:space="preserve"> PAGEREF _Toc519693556 \h </w:instrText>
      </w:r>
      <w:r>
        <w:rPr>
          <w:color w:val="auto"/>
          <w:sz w:val="24"/>
          <w:szCs w:val="24"/>
        </w:rPr>
        <w:fldChar w:fldCharType="separate"/>
      </w:r>
      <w:r>
        <w:rPr>
          <w:color w:val="auto"/>
          <w:sz w:val="24"/>
          <w:szCs w:val="24"/>
        </w:rPr>
        <w:t>7</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1.6</w:t>
      </w:r>
      <w:r>
        <w:rPr>
          <w:rFonts w:hint="eastAsia" w:hAnsi="Times New Roman" w:eastAsiaTheme="minorEastAsia"/>
          <w:color w:val="auto"/>
          <w:sz w:val="24"/>
          <w:szCs w:val="24"/>
        </w:rPr>
        <w:t>环境影响评价主要结论</w:t>
      </w:r>
      <w:r>
        <w:rPr>
          <w:color w:val="auto"/>
          <w:sz w:val="24"/>
          <w:szCs w:val="24"/>
        </w:rPr>
        <w:tab/>
      </w:r>
      <w:r>
        <w:rPr>
          <w:color w:val="auto"/>
          <w:sz w:val="24"/>
          <w:szCs w:val="24"/>
        </w:rPr>
        <w:fldChar w:fldCharType="begin"/>
      </w:r>
      <w:r>
        <w:rPr>
          <w:color w:val="auto"/>
          <w:sz w:val="24"/>
          <w:szCs w:val="24"/>
        </w:rPr>
        <w:instrText xml:space="preserve"> PAGEREF _Toc519693557 \h </w:instrText>
      </w:r>
      <w:r>
        <w:rPr>
          <w:color w:val="auto"/>
          <w:sz w:val="24"/>
          <w:szCs w:val="24"/>
        </w:rPr>
        <w:fldChar w:fldCharType="separate"/>
      </w:r>
      <w:r>
        <w:rPr>
          <w:color w:val="auto"/>
          <w:sz w:val="24"/>
          <w:szCs w:val="24"/>
        </w:rPr>
        <w:t>7</w:t>
      </w:r>
      <w:r>
        <w:rPr>
          <w:color w:val="auto"/>
          <w:sz w:val="24"/>
          <w:szCs w:val="24"/>
        </w:rPr>
        <w:fldChar w:fldCharType="end"/>
      </w:r>
    </w:p>
    <w:p>
      <w:pPr>
        <w:pStyle w:val="33"/>
        <w:tabs>
          <w:tab w:val="right" w:leader="dot" w:pos="8296"/>
        </w:tabs>
        <w:rPr>
          <w:rFonts w:asciiTheme="minorHAnsi" w:hAnsiTheme="minorHAnsi" w:eastAsiaTheme="minorEastAsia" w:cstheme="minorBidi"/>
          <w:b w:val="0"/>
          <w:bCs w:val="0"/>
          <w:caps w:val="0"/>
          <w:color w:val="auto"/>
          <w:sz w:val="24"/>
          <w:szCs w:val="24"/>
        </w:rPr>
      </w:pPr>
      <w:r>
        <w:rPr>
          <w:rFonts w:eastAsiaTheme="minorEastAsia"/>
          <w:color w:val="auto"/>
          <w:sz w:val="24"/>
          <w:szCs w:val="24"/>
        </w:rPr>
        <w:t>2</w:t>
      </w:r>
      <w:r>
        <w:rPr>
          <w:rFonts w:hint="eastAsia" w:eastAsiaTheme="minorEastAsia"/>
          <w:color w:val="auto"/>
          <w:sz w:val="24"/>
          <w:szCs w:val="24"/>
        </w:rPr>
        <w:t>总则</w:t>
      </w:r>
      <w:r>
        <w:rPr>
          <w:color w:val="auto"/>
          <w:sz w:val="24"/>
          <w:szCs w:val="24"/>
        </w:rPr>
        <w:tab/>
      </w:r>
      <w:r>
        <w:rPr>
          <w:color w:val="auto"/>
          <w:sz w:val="24"/>
          <w:szCs w:val="24"/>
        </w:rPr>
        <w:fldChar w:fldCharType="begin"/>
      </w:r>
      <w:r>
        <w:rPr>
          <w:color w:val="auto"/>
          <w:sz w:val="24"/>
          <w:szCs w:val="24"/>
        </w:rPr>
        <w:instrText xml:space="preserve"> PAGEREF _Toc519693558 \h </w:instrText>
      </w:r>
      <w:r>
        <w:rPr>
          <w:color w:val="auto"/>
          <w:sz w:val="24"/>
          <w:szCs w:val="24"/>
        </w:rPr>
        <w:fldChar w:fldCharType="separate"/>
      </w:r>
      <w:r>
        <w:rPr>
          <w:color w:val="auto"/>
          <w:sz w:val="24"/>
          <w:szCs w:val="24"/>
        </w:rPr>
        <w:t>11</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2.1</w:t>
      </w:r>
      <w:r>
        <w:rPr>
          <w:rFonts w:hint="eastAsia" w:hAnsi="Times New Roman" w:eastAsiaTheme="minorEastAsia"/>
          <w:color w:val="auto"/>
          <w:sz w:val="24"/>
          <w:szCs w:val="24"/>
        </w:rPr>
        <w:t>编制依据</w:t>
      </w:r>
      <w:r>
        <w:rPr>
          <w:color w:val="auto"/>
          <w:sz w:val="24"/>
          <w:szCs w:val="24"/>
        </w:rPr>
        <w:tab/>
      </w:r>
      <w:r>
        <w:rPr>
          <w:color w:val="auto"/>
          <w:sz w:val="24"/>
          <w:szCs w:val="24"/>
        </w:rPr>
        <w:fldChar w:fldCharType="begin"/>
      </w:r>
      <w:r>
        <w:rPr>
          <w:color w:val="auto"/>
          <w:sz w:val="24"/>
          <w:szCs w:val="24"/>
        </w:rPr>
        <w:instrText xml:space="preserve"> PAGEREF _Toc519693559 \h </w:instrText>
      </w:r>
      <w:r>
        <w:rPr>
          <w:color w:val="auto"/>
          <w:sz w:val="24"/>
          <w:szCs w:val="24"/>
        </w:rPr>
        <w:fldChar w:fldCharType="separate"/>
      </w:r>
      <w:r>
        <w:rPr>
          <w:color w:val="auto"/>
          <w:sz w:val="24"/>
          <w:szCs w:val="24"/>
        </w:rPr>
        <w:t>11</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2.2</w:t>
      </w:r>
      <w:r>
        <w:rPr>
          <w:rFonts w:hint="eastAsia" w:hAnsi="Times New Roman" w:eastAsiaTheme="minorEastAsia"/>
          <w:color w:val="auto"/>
          <w:sz w:val="24"/>
          <w:szCs w:val="24"/>
        </w:rPr>
        <w:t>环境影响因素识别与评价因子筛选</w:t>
      </w:r>
      <w:r>
        <w:rPr>
          <w:color w:val="auto"/>
          <w:sz w:val="24"/>
          <w:szCs w:val="24"/>
        </w:rPr>
        <w:tab/>
      </w:r>
      <w:r>
        <w:rPr>
          <w:color w:val="auto"/>
          <w:sz w:val="24"/>
          <w:szCs w:val="24"/>
        </w:rPr>
        <w:fldChar w:fldCharType="begin"/>
      </w:r>
      <w:r>
        <w:rPr>
          <w:color w:val="auto"/>
          <w:sz w:val="24"/>
          <w:szCs w:val="24"/>
        </w:rPr>
        <w:instrText xml:space="preserve"> PAGEREF _Toc519693560 \h </w:instrText>
      </w:r>
      <w:r>
        <w:rPr>
          <w:color w:val="auto"/>
          <w:sz w:val="24"/>
          <w:szCs w:val="24"/>
        </w:rPr>
        <w:fldChar w:fldCharType="separate"/>
      </w:r>
      <w:r>
        <w:rPr>
          <w:color w:val="auto"/>
          <w:sz w:val="24"/>
          <w:szCs w:val="24"/>
        </w:rPr>
        <w:t>13</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2.3</w:t>
      </w:r>
      <w:r>
        <w:rPr>
          <w:rFonts w:hint="eastAsia" w:hAnsi="Times New Roman" w:eastAsiaTheme="minorEastAsia"/>
          <w:color w:val="auto"/>
          <w:sz w:val="24"/>
          <w:szCs w:val="24"/>
        </w:rPr>
        <w:t>环境功能区划及评价标准</w:t>
      </w:r>
      <w:r>
        <w:rPr>
          <w:color w:val="auto"/>
          <w:sz w:val="24"/>
          <w:szCs w:val="24"/>
        </w:rPr>
        <w:tab/>
      </w:r>
      <w:r>
        <w:rPr>
          <w:color w:val="auto"/>
          <w:sz w:val="24"/>
          <w:szCs w:val="24"/>
        </w:rPr>
        <w:fldChar w:fldCharType="begin"/>
      </w:r>
      <w:r>
        <w:rPr>
          <w:color w:val="auto"/>
          <w:sz w:val="24"/>
          <w:szCs w:val="24"/>
        </w:rPr>
        <w:instrText xml:space="preserve"> PAGEREF _Toc519693561 \h </w:instrText>
      </w:r>
      <w:r>
        <w:rPr>
          <w:color w:val="auto"/>
          <w:sz w:val="24"/>
          <w:szCs w:val="24"/>
        </w:rPr>
        <w:fldChar w:fldCharType="separate"/>
      </w:r>
      <w:r>
        <w:rPr>
          <w:color w:val="auto"/>
          <w:sz w:val="24"/>
          <w:szCs w:val="24"/>
        </w:rPr>
        <w:t>15</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2.4</w:t>
      </w:r>
      <w:r>
        <w:rPr>
          <w:rFonts w:hint="eastAsia" w:hAnsi="Times New Roman" w:eastAsiaTheme="minorEastAsia"/>
          <w:color w:val="auto"/>
          <w:sz w:val="24"/>
          <w:szCs w:val="24"/>
        </w:rPr>
        <w:t>评价工作等级</w:t>
      </w:r>
      <w:r>
        <w:rPr>
          <w:color w:val="auto"/>
          <w:sz w:val="24"/>
          <w:szCs w:val="24"/>
        </w:rPr>
        <w:tab/>
      </w:r>
      <w:r>
        <w:rPr>
          <w:color w:val="auto"/>
          <w:sz w:val="24"/>
          <w:szCs w:val="24"/>
        </w:rPr>
        <w:fldChar w:fldCharType="begin"/>
      </w:r>
      <w:r>
        <w:rPr>
          <w:color w:val="auto"/>
          <w:sz w:val="24"/>
          <w:szCs w:val="24"/>
        </w:rPr>
        <w:instrText xml:space="preserve"> PAGEREF _Toc519693562 \h </w:instrText>
      </w:r>
      <w:r>
        <w:rPr>
          <w:color w:val="auto"/>
          <w:sz w:val="24"/>
          <w:szCs w:val="24"/>
        </w:rPr>
        <w:fldChar w:fldCharType="separate"/>
      </w:r>
      <w:r>
        <w:rPr>
          <w:color w:val="auto"/>
          <w:sz w:val="24"/>
          <w:szCs w:val="24"/>
        </w:rPr>
        <w:t>17</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2.5</w:t>
      </w:r>
      <w:r>
        <w:rPr>
          <w:rFonts w:hint="eastAsia" w:hAnsi="Times New Roman" w:eastAsiaTheme="minorEastAsia"/>
          <w:color w:val="auto"/>
          <w:sz w:val="24"/>
          <w:szCs w:val="24"/>
        </w:rPr>
        <w:t>评价范围和环境保护目标</w:t>
      </w:r>
      <w:r>
        <w:rPr>
          <w:color w:val="auto"/>
          <w:sz w:val="24"/>
          <w:szCs w:val="24"/>
        </w:rPr>
        <w:tab/>
      </w:r>
      <w:r>
        <w:rPr>
          <w:color w:val="auto"/>
          <w:sz w:val="24"/>
          <w:szCs w:val="24"/>
        </w:rPr>
        <w:fldChar w:fldCharType="begin"/>
      </w:r>
      <w:r>
        <w:rPr>
          <w:color w:val="auto"/>
          <w:sz w:val="24"/>
          <w:szCs w:val="24"/>
        </w:rPr>
        <w:instrText xml:space="preserve"> PAGEREF _Toc519693563 \h </w:instrText>
      </w:r>
      <w:r>
        <w:rPr>
          <w:color w:val="auto"/>
          <w:sz w:val="24"/>
          <w:szCs w:val="24"/>
        </w:rPr>
        <w:fldChar w:fldCharType="separate"/>
      </w:r>
      <w:r>
        <w:rPr>
          <w:color w:val="auto"/>
          <w:sz w:val="24"/>
          <w:szCs w:val="24"/>
        </w:rPr>
        <w:t>21</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2.6</w:t>
      </w:r>
      <w:r>
        <w:rPr>
          <w:rFonts w:hint="eastAsia" w:hAnsi="Times New Roman" w:eastAsiaTheme="minorEastAsia"/>
          <w:color w:val="auto"/>
          <w:sz w:val="24"/>
          <w:szCs w:val="24"/>
        </w:rPr>
        <w:t>产业政策及相关规划符合性分析</w:t>
      </w:r>
      <w:r>
        <w:rPr>
          <w:color w:val="auto"/>
          <w:sz w:val="24"/>
          <w:szCs w:val="24"/>
        </w:rPr>
        <w:tab/>
      </w:r>
      <w:r>
        <w:rPr>
          <w:color w:val="auto"/>
          <w:sz w:val="24"/>
          <w:szCs w:val="24"/>
        </w:rPr>
        <w:fldChar w:fldCharType="begin"/>
      </w:r>
      <w:r>
        <w:rPr>
          <w:color w:val="auto"/>
          <w:sz w:val="24"/>
          <w:szCs w:val="24"/>
        </w:rPr>
        <w:instrText xml:space="preserve"> PAGEREF _Toc519693564 \h </w:instrText>
      </w:r>
      <w:r>
        <w:rPr>
          <w:color w:val="auto"/>
          <w:sz w:val="24"/>
          <w:szCs w:val="24"/>
        </w:rPr>
        <w:fldChar w:fldCharType="separate"/>
      </w:r>
      <w:r>
        <w:rPr>
          <w:color w:val="auto"/>
          <w:sz w:val="24"/>
          <w:szCs w:val="24"/>
        </w:rPr>
        <w:t>25</w:t>
      </w:r>
      <w:r>
        <w:rPr>
          <w:color w:val="auto"/>
          <w:sz w:val="24"/>
          <w:szCs w:val="24"/>
        </w:rPr>
        <w:fldChar w:fldCharType="end"/>
      </w:r>
    </w:p>
    <w:p>
      <w:pPr>
        <w:pStyle w:val="33"/>
        <w:tabs>
          <w:tab w:val="right" w:leader="dot" w:pos="8296"/>
        </w:tabs>
        <w:rPr>
          <w:rFonts w:asciiTheme="minorHAnsi" w:hAnsiTheme="minorHAnsi" w:eastAsiaTheme="minorEastAsia" w:cstheme="minorBidi"/>
          <w:b w:val="0"/>
          <w:bCs w:val="0"/>
          <w:caps w:val="0"/>
          <w:color w:val="auto"/>
          <w:sz w:val="24"/>
          <w:szCs w:val="24"/>
        </w:rPr>
      </w:pPr>
      <w:r>
        <w:rPr>
          <w:rFonts w:eastAsiaTheme="minorEastAsia"/>
          <w:color w:val="auto"/>
          <w:sz w:val="24"/>
          <w:szCs w:val="24"/>
        </w:rPr>
        <w:t>3</w:t>
      </w:r>
      <w:r>
        <w:rPr>
          <w:rFonts w:hint="eastAsia" w:eastAsiaTheme="minorEastAsia"/>
          <w:color w:val="auto"/>
          <w:sz w:val="24"/>
          <w:szCs w:val="24"/>
        </w:rPr>
        <w:t>项目概况与工程分析</w:t>
      </w:r>
      <w:r>
        <w:rPr>
          <w:color w:val="auto"/>
          <w:sz w:val="24"/>
          <w:szCs w:val="24"/>
        </w:rPr>
        <w:tab/>
      </w:r>
      <w:r>
        <w:rPr>
          <w:color w:val="auto"/>
          <w:sz w:val="24"/>
          <w:szCs w:val="24"/>
        </w:rPr>
        <w:fldChar w:fldCharType="begin"/>
      </w:r>
      <w:r>
        <w:rPr>
          <w:color w:val="auto"/>
          <w:sz w:val="24"/>
          <w:szCs w:val="24"/>
        </w:rPr>
        <w:instrText xml:space="preserve"> PAGEREF _Toc519693565 \h </w:instrText>
      </w:r>
      <w:r>
        <w:rPr>
          <w:color w:val="auto"/>
          <w:sz w:val="24"/>
          <w:szCs w:val="24"/>
        </w:rPr>
        <w:fldChar w:fldCharType="separate"/>
      </w:r>
      <w:r>
        <w:rPr>
          <w:color w:val="auto"/>
          <w:sz w:val="24"/>
          <w:szCs w:val="24"/>
        </w:rPr>
        <w:t>37</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3.1</w:t>
      </w:r>
      <w:r>
        <w:rPr>
          <w:rFonts w:hint="eastAsia" w:hAnsi="Times New Roman" w:eastAsiaTheme="minorEastAsia"/>
          <w:color w:val="auto"/>
          <w:sz w:val="24"/>
          <w:szCs w:val="24"/>
        </w:rPr>
        <w:t>现有矿山基本情况简介</w:t>
      </w:r>
      <w:r>
        <w:rPr>
          <w:color w:val="auto"/>
          <w:sz w:val="24"/>
          <w:szCs w:val="24"/>
        </w:rPr>
        <w:tab/>
      </w:r>
      <w:r>
        <w:rPr>
          <w:color w:val="auto"/>
          <w:sz w:val="24"/>
          <w:szCs w:val="24"/>
        </w:rPr>
        <w:fldChar w:fldCharType="begin"/>
      </w:r>
      <w:r>
        <w:rPr>
          <w:color w:val="auto"/>
          <w:sz w:val="24"/>
          <w:szCs w:val="24"/>
        </w:rPr>
        <w:instrText xml:space="preserve"> PAGEREF _Toc519693566 \h </w:instrText>
      </w:r>
      <w:r>
        <w:rPr>
          <w:color w:val="auto"/>
          <w:sz w:val="24"/>
          <w:szCs w:val="24"/>
        </w:rPr>
        <w:fldChar w:fldCharType="separate"/>
      </w:r>
      <w:r>
        <w:rPr>
          <w:color w:val="auto"/>
          <w:sz w:val="24"/>
          <w:szCs w:val="24"/>
        </w:rPr>
        <w:t>37</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3.2</w:t>
      </w:r>
      <w:r>
        <w:rPr>
          <w:rFonts w:hint="eastAsia" w:hAnsi="Times New Roman" w:eastAsiaTheme="minorEastAsia"/>
          <w:color w:val="auto"/>
          <w:sz w:val="24"/>
          <w:szCs w:val="24"/>
        </w:rPr>
        <w:t>本项目基本情况</w:t>
      </w:r>
      <w:r>
        <w:rPr>
          <w:color w:val="auto"/>
          <w:sz w:val="24"/>
          <w:szCs w:val="24"/>
        </w:rPr>
        <w:tab/>
      </w:r>
      <w:r>
        <w:rPr>
          <w:color w:val="auto"/>
          <w:sz w:val="24"/>
          <w:szCs w:val="24"/>
        </w:rPr>
        <w:fldChar w:fldCharType="begin"/>
      </w:r>
      <w:r>
        <w:rPr>
          <w:color w:val="auto"/>
          <w:sz w:val="24"/>
          <w:szCs w:val="24"/>
        </w:rPr>
        <w:instrText xml:space="preserve"> PAGEREF _Toc519693567 \h </w:instrText>
      </w:r>
      <w:r>
        <w:rPr>
          <w:color w:val="auto"/>
          <w:sz w:val="24"/>
          <w:szCs w:val="24"/>
        </w:rPr>
        <w:fldChar w:fldCharType="separate"/>
      </w:r>
      <w:r>
        <w:rPr>
          <w:color w:val="auto"/>
          <w:sz w:val="24"/>
          <w:szCs w:val="24"/>
        </w:rPr>
        <w:t>38</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3.3</w:t>
      </w:r>
      <w:r>
        <w:rPr>
          <w:rFonts w:hint="eastAsia" w:hAnsi="Times New Roman" w:eastAsiaTheme="minorEastAsia"/>
          <w:color w:val="auto"/>
          <w:sz w:val="24"/>
          <w:szCs w:val="24"/>
        </w:rPr>
        <w:t>工程分析</w:t>
      </w:r>
      <w:r>
        <w:rPr>
          <w:color w:val="auto"/>
          <w:sz w:val="24"/>
          <w:szCs w:val="24"/>
        </w:rPr>
        <w:tab/>
      </w:r>
      <w:r>
        <w:rPr>
          <w:color w:val="auto"/>
          <w:sz w:val="24"/>
          <w:szCs w:val="24"/>
        </w:rPr>
        <w:fldChar w:fldCharType="begin"/>
      </w:r>
      <w:r>
        <w:rPr>
          <w:color w:val="auto"/>
          <w:sz w:val="24"/>
          <w:szCs w:val="24"/>
        </w:rPr>
        <w:instrText xml:space="preserve"> PAGEREF _Toc519693568 \h </w:instrText>
      </w:r>
      <w:r>
        <w:rPr>
          <w:color w:val="auto"/>
          <w:sz w:val="24"/>
          <w:szCs w:val="24"/>
        </w:rPr>
        <w:fldChar w:fldCharType="separate"/>
      </w:r>
      <w:r>
        <w:rPr>
          <w:color w:val="auto"/>
          <w:sz w:val="24"/>
          <w:szCs w:val="24"/>
        </w:rPr>
        <w:t>50</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3.4</w:t>
      </w:r>
      <w:r>
        <w:rPr>
          <w:rFonts w:hint="eastAsia" w:hAnsi="Times New Roman" w:eastAsiaTheme="minorEastAsia"/>
          <w:color w:val="auto"/>
          <w:sz w:val="24"/>
          <w:szCs w:val="24"/>
        </w:rPr>
        <w:t>清洁生产分析</w:t>
      </w:r>
      <w:r>
        <w:rPr>
          <w:color w:val="auto"/>
          <w:sz w:val="24"/>
          <w:szCs w:val="24"/>
        </w:rPr>
        <w:tab/>
      </w:r>
      <w:r>
        <w:rPr>
          <w:color w:val="auto"/>
          <w:sz w:val="24"/>
          <w:szCs w:val="24"/>
        </w:rPr>
        <w:fldChar w:fldCharType="begin"/>
      </w:r>
      <w:r>
        <w:rPr>
          <w:color w:val="auto"/>
          <w:sz w:val="24"/>
          <w:szCs w:val="24"/>
        </w:rPr>
        <w:instrText xml:space="preserve"> PAGEREF _Toc519693569 \h </w:instrText>
      </w:r>
      <w:r>
        <w:rPr>
          <w:color w:val="auto"/>
          <w:sz w:val="24"/>
          <w:szCs w:val="24"/>
        </w:rPr>
        <w:fldChar w:fldCharType="separate"/>
      </w:r>
      <w:r>
        <w:rPr>
          <w:color w:val="auto"/>
          <w:sz w:val="24"/>
          <w:szCs w:val="24"/>
        </w:rPr>
        <w:t>70</w:t>
      </w:r>
      <w:r>
        <w:rPr>
          <w:color w:val="auto"/>
          <w:sz w:val="24"/>
          <w:szCs w:val="24"/>
        </w:rPr>
        <w:fldChar w:fldCharType="end"/>
      </w:r>
    </w:p>
    <w:p>
      <w:pPr>
        <w:pStyle w:val="33"/>
        <w:tabs>
          <w:tab w:val="right" w:leader="dot" w:pos="8296"/>
        </w:tabs>
        <w:rPr>
          <w:rFonts w:asciiTheme="minorHAnsi" w:hAnsiTheme="minorHAnsi" w:eastAsiaTheme="minorEastAsia" w:cstheme="minorBidi"/>
          <w:b w:val="0"/>
          <w:bCs w:val="0"/>
          <w:caps w:val="0"/>
          <w:color w:val="auto"/>
          <w:sz w:val="24"/>
          <w:szCs w:val="24"/>
        </w:rPr>
      </w:pPr>
      <w:r>
        <w:rPr>
          <w:rFonts w:eastAsiaTheme="minorEastAsia"/>
          <w:color w:val="auto"/>
          <w:sz w:val="24"/>
          <w:szCs w:val="24"/>
        </w:rPr>
        <w:t>4</w:t>
      </w:r>
      <w:r>
        <w:rPr>
          <w:rFonts w:hint="eastAsia" w:eastAsiaTheme="minorEastAsia"/>
          <w:color w:val="auto"/>
          <w:sz w:val="24"/>
          <w:szCs w:val="24"/>
        </w:rPr>
        <w:t>项目所在区域环境现状调查与评价</w:t>
      </w:r>
      <w:r>
        <w:rPr>
          <w:color w:val="auto"/>
          <w:sz w:val="24"/>
          <w:szCs w:val="24"/>
        </w:rPr>
        <w:tab/>
      </w:r>
      <w:r>
        <w:rPr>
          <w:color w:val="auto"/>
          <w:sz w:val="24"/>
          <w:szCs w:val="24"/>
        </w:rPr>
        <w:fldChar w:fldCharType="begin"/>
      </w:r>
      <w:r>
        <w:rPr>
          <w:color w:val="auto"/>
          <w:sz w:val="24"/>
          <w:szCs w:val="24"/>
        </w:rPr>
        <w:instrText xml:space="preserve"> PAGEREF _Toc519693570 \h </w:instrText>
      </w:r>
      <w:r>
        <w:rPr>
          <w:color w:val="auto"/>
          <w:sz w:val="24"/>
          <w:szCs w:val="24"/>
        </w:rPr>
        <w:fldChar w:fldCharType="separate"/>
      </w:r>
      <w:r>
        <w:rPr>
          <w:color w:val="auto"/>
          <w:sz w:val="24"/>
          <w:szCs w:val="24"/>
        </w:rPr>
        <w:t>73</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4.1</w:t>
      </w:r>
      <w:r>
        <w:rPr>
          <w:rFonts w:hint="eastAsia" w:hAnsi="Times New Roman" w:eastAsiaTheme="minorEastAsia"/>
          <w:color w:val="auto"/>
          <w:sz w:val="24"/>
          <w:szCs w:val="24"/>
        </w:rPr>
        <w:t>自然环境概况</w:t>
      </w:r>
      <w:r>
        <w:rPr>
          <w:color w:val="auto"/>
          <w:sz w:val="24"/>
          <w:szCs w:val="24"/>
        </w:rPr>
        <w:tab/>
      </w:r>
      <w:r>
        <w:rPr>
          <w:color w:val="auto"/>
          <w:sz w:val="24"/>
          <w:szCs w:val="24"/>
        </w:rPr>
        <w:fldChar w:fldCharType="begin"/>
      </w:r>
      <w:r>
        <w:rPr>
          <w:color w:val="auto"/>
          <w:sz w:val="24"/>
          <w:szCs w:val="24"/>
        </w:rPr>
        <w:instrText xml:space="preserve"> PAGEREF _Toc519693571 \h </w:instrText>
      </w:r>
      <w:r>
        <w:rPr>
          <w:color w:val="auto"/>
          <w:sz w:val="24"/>
          <w:szCs w:val="24"/>
        </w:rPr>
        <w:fldChar w:fldCharType="separate"/>
      </w:r>
      <w:r>
        <w:rPr>
          <w:color w:val="auto"/>
          <w:sz w:val="24"/>
          <w:szCs w:val="24"/>
        </w:rPr>
        <w:t>73</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4.2</w:t>
      </w:r>
      <w:r>
        <w:rPr>
          <w:rFonts w:hint="eastAsia" w:hAnsi="Times New Roman" w:eastAsiaTheme="minorEastAsia"/>
          <w:color w:val="auto"/>
          <w:sz w:val="24"/>
          <w:szCs w:val="24"/>
        </w:rPr>
        <w:t>环境保护目标调查</w:t>
      </w:r>
      <w:r>
        <w:rPr>
          <w:color w:val="auto"/>
          <w:sz w:val="24"/>
          <w:szCs w:val="24"/>
        </w:rPr>
        <w:tab/>
      </w:r>
      <w:r>
        <w:rPr>
          <w:color w:val="auto"/>
          <w:sz w:val="24"/>
          <w:szCs w:val="24"/>
        </w:rPr>
        <w:fldChar w:fldCharType="begin"/>
      </w:r>
      <w:r>
        <w:rPr>
          <w:color w:val="auto"/>
          <w:sz w:val="24"/>
          <w:szCs w:val="24"/>
        </w:rPr>
        <w:instrText xml:space="preserve"> PAGEREF _Toc519693572 \h </w:instrText>
      </w:r>
      <w:r>
        <w:rPr>
          <w:color w:val="auto"/>
          <w:sz w:val="24"/>
          <w:szCs w:val="24"/>
        </w:rPr>
        <w:fldChar w:fldCharType="separate"/>
      </w:r>
      <w:r>
        <w:rPr>
          <w:color w:val="auto"/>
          <w:sz w:val="24"/>
          <w:szCs w:val="24"/>
        </w:rPr>
        <w:t>83</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4.3</w:t>
      </w:r>
      <w:r>
        <w:rPr>
          <w:rFonts w:hint="eastAsia" w:hAnsi="Times New Roman" w:eastAsiaTheme="minorEastAsia"/>
          <w:color w:val="auto"/>
          <w:sz w:val="24"/>
          <w:szCs w:val="24"/>
        </w:rPr>
        <w:t>环境空气质量现状评价</w:t>
      </w:r>
      <w:r>
        <w:rPr>
          <w:color w:val="auto"/>
          <w:sz w:val="24"/>
          <w:szCs w:val="24"/>
        </w:rPr>
        <w:tab/>
      </w:r>
      <w:r>
        <w:rPr>
          <w:color w:val="auto"/>
          <w:sz w:val="24"/>
          <w:szCs w:val="24"/>
        </w:rPr>
        <w:fldChar w:fldCharType="begin"/>
      </w:r>
      <w:r>
        <w:rPr>
          <w:color w:val="auto"/>
          <w:sz w:val="24"/>
          <w:szCs w:val="24"/>
        </w:rPr>
        <w:instrText xml:space="preserve"> PAGEREF _Toc519693573 \h </w:instrText>
      </w:r>
      <w:r>
        <w:rPr>
          <w:color w:val="auto"/>
          <w:sz w:val="24"/>
          <w:szCs w:val="24"/>
        </w:rPr>
        <w:fldChar w:fldCharType="separate"/>
      </w:r>
      <w:r>
        <w:rPr>
          <w:color w:val="auto"/>
          <w:sz w:val="24"/>
          <w:szCs w:val="24"/>
        </w:rPr>
        <w:t>83</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4.4</w:t>
      </w:r>
      <w:r>
        <w:rPr>
          <w:rFonts w:hint="eastAsia" w:hAnsi="Times New Roman" w:eastAsiaTheme="minorEastAsia"/>
          <w:color w:val="auto"/>
          <w:sz w:val="24"/>
          <w:szCs w:val="24"/>
        </w:rPr>
        <w:t>地表水环境质量现状评价</w:t>
      </w:r>
      <w:r>
        <w:rPr>
          <w:color w:val="auto"/>
          <w:sz w:val="24"/>
          <w:szCs w:val="24"/>
        </w:rPr>
        <w:tab/>
      </w:r>
      <w:r>
        <w:rPr>
          <w:color w:val="auto"/>
          <w:sz w:val="24"/>
          <w:szCs w:val="24"/>
        </w:rPr>
        <w:fldChar w:fldCharType="begin"/>
      </w:r>
      <w:r>
        <w:rPr>
          <w:color w:val="auto"/>
          <w:sz w:val="24"/>
          <w:szCs w:val="24"/>
        </w:rPr>
        <w:instrText xml:space="preserve"> PAGEREF _Toc519693574 \h </w:instrText>
      </w:r>
      <w:r>
        <w:rPr>
          <w:color w:val="auto"/>
          <w:sz w:val="24"/>
          <w:szCs w:val="24"/>
        </w:rPr>
        <w:fldChar w:fldCharType="separate"/>
      </w:r>
      <w:r>
        <w:rPr>
          <w:color w:val="auto"/>
          <w:sz w:val="24"/>
          <w:szCs w:val="24"/>
        </w:rPr>
        <w:t>88</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4.5</w:t>
      </w:r>
      <w:r>
        <w:rPr>
          <w:rFonts w:hint="eastAsia" w:hAnsi="Times New Roman" w:eastAsiaTheme="minorEastAsia"/>
          <w:color w:val="auto"/>
          <w:sz w:val="24"/>
          <w:szCs w:val="24"/>
        </w:rPr>
        <w:t>声环境质量现状评价</w:t>
      </w:r>
      <w:r>
        <w:rPr>
          <w:color w:val="auto"/>
          <w:sz w:val="24"/>
          <w:szCs w:val="24"/>
        </w:rPr>
        <w:tab/>
      </w:r>
      <w:r>
        <w:rPr>
          <w:color w:val="auto"/>
          <w:sz w:val="24"/>
          <w:szCs w:val="24"/>
        </w:rPr>
        <w:fldChar w:fldCharType="begin"/>
      </w:r>
      <w:r>
        <w:rPr>
          <w:color w:val="auto"/>
          <w:sz w:val="24"/>
          <w:szCs w:val="24"/>
        </w:rPr>
        <w:instrText xml:space="preserve"> PAGEREF _Toc519693575 \h </w:instrText>
      </w:r>
      <w:r>
        <w:rPr>
          <w:color w:val="auto"/>
          <w:sz w:val="24"/>
          <w:szCs w:val="24"/>
        </w:rPr>
        <w:fldChar w:fldCharType="separate"/>
      </w:r>
      <w:r>
        <w:rPr>
          <w:color w:val="auto"/>
          <w:sz w:val="24"/>
          <w:szCs w:val="24"/>
        </w:rPr>
        <w:t>91</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4.6</w:t>
      </w:r>
      <w:r>
        <w:rPr>
          <w:rFonts w:hint="eastAsia" w:hAnsi="Times New Roman" w:eastAsiaTheme="minorEastAsia"/>
          <w:color w:val="auto"/>
          <w:sz w:val="24"/>
          <w:szCs w:val="24"/>
        </w:rPr>
        <w:t>生态环境现状调查</w:t>
      </w:r>
      <w:r>
        <w:rPr>
          <w:color w:val="auto"/>
          <w:sz w:val="24"/>
          <w:szCs w:val="24"/>
        </w:rPr>
        <w:tab/>
      </w:r>
      <w:r>
        <w:rPr>
          <w:color w:val="auto"/>
          <w:sz w:val="24"/>
          <w:szCs w:val="24"/>
        </w:rPr>
        <w:fldChar w:fldCharType="begin"/>
      </w:r>
      <w:r>
        <w:rPr>
          <w:color w:val="auto"/>
          <w:sz w:val="24"/>
          <w:szCs w:val="24"/>
        </w:rPr>
        <w:instrText xml:space="preserve"> PAGEREF _Toc519693576 \h </w:instrText>
      </w:r>
      <w:r>
        <w:rPr>
          <w:color w:val="auto"/>
          <w:sz w:val="24"/>
          <w:szCs w:val="24"/>
        </w:rPr>
        <w:fldChar w:fldCharType="separate"/>
      </w:r>
      <w:r>
        <w:rPr>
          <w:color w:val="auto"/>
          <w:sz w:val="24"/>
          <w:szCs w:val="24"/>
        </w:rPr>
        <w:t>93</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4.7</w:t>
      </w:r>
      <w:r>
        <w:rPr>
          <w:rFonts w:hint="eastAsia" w:hAnsi="Times New Roman" w:eastAsiaTheme="minorEastAsia"/>
          <w:color w:val="auto"/>
          <w:sz w:val="24"/>
          <w:szCs w:val="24"/>
        </w:rPr>
        <w:t>项目与周边敏感区位置关系</w:t>
      </w:r>
      <w:r>
        <w:rPr>
          <w:color w:val="auto"/>
          <w:sz w:val="24"/>
          <w:szCs w:val="24"/>
        </w:rPr>
        <w:tab/>
      </w:r>
      <w:r>
        <w:rPr>
          <w:color w:val="auto"/>
          <w:sz w:val="24"/>
          <w:szCs w:val="24"/>
        </w:rPr>
        <w:fldChar w:fldCharType="begin"/>
      </w:r>
      <w:r>
        <w:rPr>
          <w:color w:val="auto"/>
          <w:sz w:val="24"/>
          <w:szCs w:val="24"/>
        </w:rPr>
        <w:instrText xml:space="preserve"> PAGEREF _Toc519693577 \h </w:instrText>
      </w:r>
      <w:r>
        <w:rPr>
          <w:color w:val="auto"/>
          <w:sz w:val="24"/>
          <w:szCs w:val="24"/>
        </w:rPr>
        <w:fldChar w:fldCharType="separate"/>
      </w:r>
      <w:r>
        <w:rPr>
          <w:color w:val="auto"/>
          <w:sz w:val="24"/>
          <w:szCs w:val="24"/>
        </w:rPr>
        <w:t>99</w:t>
      </w:r>
      <w:r>
        <w:rPr>
          <w:color w:val="auto"/>
          <w:sz w:val="24"/>
          <w:szCs w:val="24"/>
        </w:rPr>
        <w:fldChar w:fldCharType="end"/>
      </w:r>
    </w:p>
    <w:p>
      <w:pPr>
        <w:pStyle w:val="33"/>
        <w:tabs>
          <w:tab w:val="right" w:leader="dot" w:pos="8296"/>
        </w:tabs>
        <w:rPr>
          <w:rFonts w:asciiTheme="minorHAnsi" w:hAnsiTheme="minorHAnsi" w:eastAsiaTheme="minorEastAsia" w:cstheme="minorBidi"/>
          <w:b w:val="0"/>
          <w:bCs w:val="0"/>
          <w:caps w:val="0"/>
          <w:color w:val="auto"/>
          <w:sz w:val="24"/>
          <w:szCs w:val="24"/>
        </w:rPr>
      </w:pPr>
      <w:r>
        <w:rPr>
          <w:rFonts w:eastAsiaTheme="minorEastAsia"/>
          <w:color w:val="auto"/>
          <w:sz w:val="24"/>
          <w:szCs w:val="24"/>
        </w:rPr>
        <w:t>5</w:t>
      </w:r>
      <w:r>
        <w:rPr>
          <w:rFonts w:hint="eastAsia" w:eastAsiaTheme="minorEastAsia"/>
          <w:color w:val="auto"/>
          <w:sz w:val="24"/>
          <w:szCs w:val="24"/>
        </w:rPr>
        <w:t>环境影响预测与评价</w:t>
      </w:r>
      <w:r>
        <w:rPr>
          <w:color w:val="auto"/>
          <w:sz w:val="24"/>
          <w:szCs w:val="24"/>
        </w:rPr>
        <w:tab/>
      </w:r>
      <w:r>
        <w:rPr>
          <w:color w:val="auto"/>
          <w:sz w:val="24"/>
          <w:szCs w:val="24"/>
        </w:rPr>
        <w:fldChar w:fldCharType="begin"/>
      </w:r>
      <w:r>
        <w:rPr>
          <w:color w:val="auto"/>
          <w:sz w:val="24"/>
          <w:szCs w:val="24"/>
        </w:rPr>
        <w:instrText xml:space="preserve"> PAGEREF _Toc519693578 \h </w:instrText>
      </w:r>
      <w:r>
        <w:rPr>
          <w:color w:val="auto"/>
          <w:sz w:val="24"/>
          <w:szCs w:val="24"/>
        </w:rPr>
        <w:fldChar w:fldCharType="separate"/>
      </w:r>
      <w:r>
        <w:rPr>
          <w:color w:val="auto"/>
          <w:sz w:val="24"/>
          <w:szCs w:val="24"/>
        </w:rPr>
        <w:t>102</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5.1</w:t>
      </w:r>
      <w:r>
        <w:rPr>
          <w:rFonts w:hint="eastAsia" w:hAnsi="Times New Roman" w:eastAsiaTheme="minorEastAsia"/>
          <w:color w:val="auto"/>
          <w:sz w:val="24"/>
          <w:szCs w:val="24"/>
        </w:rPr>
        <w:t>施工期环境影响预测与评价</w:t>
      </w:r>
      <w:r>
        <w:rPr>
          <w:color w:val="auto"/>
          <w:sz w:val="24"/>
          <w:szCs w:val="24"/>
        </w:rPr>
        <w:tab/>
      </w:r>
      <w:r>
        <w:rPr>
          <w:color w:val="auto"/>
          <w:sz w:val="24"/>
          <w:szCs w:val="24"/>
        </w:rPr>
        <w:fldChar w:fldCharType="begin"/>
      </w:r>
      <w:r>
        <w:rPr>
          <w:color w:val="auto"/>
          <w:sz w:val="24"/>
          <w:szCs w:val="24"/>
        </w:rPr>
        <w:instrText xml:space="preserve"> PAGEREF _Toc519693579 \h </w:instrText>
      </w:r>
      <w:r>
        <w:rPr>
          <w:color w:val="auto"/>
          <w:sz w:val="24"/>
          <w:szCs w:val="24"/>
        </w:rPr>
        <w:fldChar w:fldCharType="separate"/>
      </w:r>
      <w:r>
        <w:rPr>
          <w:color w:val="auto"/>
          <w:sz w:val="24"/>
          <w:szCs w:val="24"/>
        </w:rPr>
        <w:t>102</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5.2</w:t>
      </w:r>
      <w:r>
        <w:rPr>
          <w:rFonts w:hint="eastAsia" w:hAnsi="Times New Roman" w:eastAsiaTheme="minorEastAsia"/>
          <w:color w:val="auto"/>
          <w:sz w:val="24"/>
          <w:szCs w:val="24"/>
        </w:rPr>
        <w:t>运行期环境影响预测与评价</w:t>
      </w:r>
      <w:r>
        <w:rPr>
          <w:color w:val="auto"/>
          <w:sz w:val="24"/>
          <w:szCs w:val="24"/>
        </w:rPr>
        <w:tab/>
      </w:r>
      <w:r>
        <w:rPr>
          <w:color w:val="auto"/>
          <w:sz w:val="24"/>
          <w:szCs w:val="24"/>
        </w:rPr>
        <w:fldChar w:fldCharType="begin"/>
      </w:r>
      <w:r>
        <w:rPr>
          <w:color w:val="auto"/>
          <w:sz w:val="24"/>
          <w:szCs w:val="24"/>
        </w:rPr>
        <w:instrText xml:space="preserve"> PAGEREF _Toc519693580 \h </w:instrText>
      </w:r>
      <w:r>
        <w:rPr>
          <w:color w:val="auto"/>
          <w:sz w:val="24"/>
          <w:szCs w:val="24"/>
        </w:rPr>
        <w:fldChar w:fldCharType="separate"/>
      </w:r>
      <w:r>
        <w:rPr>
          <w:color w:val="auto"/>
          <w:sz w:val="24"/>
          <w:szCs w:val="24"/>
        </w:rPr>
        <w:t>106</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5.3</w:t>
      </w:r>
      <w:r>
        <w:rPr>
          <w:rFonts w:hint="eastAsia" w:hAnsi="Times New Roman" w:eastAsiaTheme="minorEastAsia"/>
          <w:color w:val="auto"/>
          <w:sz w:val="24"/>
          <w:szCs w:val="24"/>
        </w:rPr>
        <w:t>服务期满后环境影响分析</w:t>
      </w:r>
      <w:r>
        <w:rPr>
          <w:color w:val="auto"/>
          <w:sz w:val="24"/>
          <w:szCs w:val="24"/>
        </w:rPr>
        <w:tab/>
      </w:r>
      <w:r>
        <w:rPr>
          <w:color w:val="auto"/>
          <w:sz w:val="24"/>
          <w:szCs w:val="24"/>
        </w:rPr>
        <w:fldChar w:fldCharType="begin"/>
      </w:r>
      <w:r>
        <w:rPr>
          <w:color w:val="auto"/>
          <w:sz w:val="24"/>
          <w:szCs w:val="24"/>
        </w:rPr>
        <w:instrText xml:space="preserve"> PAGEREF _Toc519693581 \h </w:instrText>
      </w:r>
      <w:r>
        <w:rPr>
          <w:color w:val="auto"/>
          <w:sz w:val="24"/>
          <w:szCs w:val="24"/>
        </w:rPr>
        <w:fldChar w:fldCharType="separate"/>
      </w:r>
      <w:r>
        <w:rPr>
          <w:color w:val="auto"/>
          <w:sz w:val="24"/>
          <w:szCs w:val="24"/>
        </w:rPr>
        <w:t>130</w:t>
      </w:r>
      <w:r>
        <w:rPr>
          <w:color w:val="auto"/>
          <w:sz w:val="24"/>
          <w:szCs w:val="24"/>
        </w:rPr>
        <w:fldChar w:fldCharType="end"/>
      </w:r>
    </w:p>
    <w:p>
      <w:pPr>
        <w:pStyle w:val="33"/>
        <w:tabs>
          <w:tab w:val="right" w:leader="dot" w:pos="8296"/>
        </w:tabs>
        <w:rPr>
          <w:rFonts w:asciiTheme="minorHAnsi" w:hAnsiTheme="minorHAnsi" w:eastAsiaTheme="minorEastAsia" w:cstheme="minorBidi"/>
          <w:bCs w:val="0"/>
          <w:caps w:val="0"/>
          <w:color w:val="auto"/>
          <w:sz w:val="24"/>
          <w:szCs w:val="24"/>
        </w:rPr>
      </w:pPr>
      <w:r>
        <w:rPr>
          <w:rFonts w:eastAsiaTheme="minorEastAsia"/>
          <w:color w:val="auto"/>
          <w:sz w:val="24"/>
          <w:szCs w:val="24"/>
        </w:rPr>
        <w:t>6</w:t>
      </w:r>
      <w:r>
        <w:rPr>
          <w:rFonts w:hint="eastAsia" w:eastAsiaTheme="minorEastAsia"/>
          <w:color w:val="auto"/>
          <w:sz w:val="24"/>
          <w:szCs w:val="24"/>
        </w:rPr>
        <w:t>环境保护措施及其可行性分析</w:t>
      </w:r>
      <w:r>
        <w:rPr>
          <w:color w:val="auto"/>
          <w:sz w:val="24"/>
          <w:szCs w:val="24"/>
        </w:rPr>
        <w:tab/>
      </w:r>
      <w:r>
        <w:rPr>
          <w:color w:val="auto"/>
          <w:sz w:val="24"/>
          <w:szCs w:val="24"/>
        </w:rPr>
        <w:fldChar w:fldCharType="begin"/>
      </w:r>
      <w:r>
        <w:rPr>
          <w:color w:val="auto"/>
          <w:sz w:val="24"/>
          <w:szCs w:val="24"/>
        </w:rPr>
        <w:instrText xml:space="preserve"> PAGEREF _Toc519693582 \h </w:instrText>
      </w:r>
      <w:r>
        <w:rPr>
          <w:color w:val="auto"/>
          <w:sz w:val="24"/>
          <w:szCs w:val="24"/>
        </w:rPr>
        <w:fldChar w:fldCharType="separate"/>
      </w:r>
      <w:r>
        <w:rPr>
          <w:color w:val="auto"/>
          <w:sz w:val="24"/>
          <w:szCs w:val="24"/>
        </w:rPr>
        <w:t>131</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6.1</w:t>
      </w:r>
      <w:r>
        <w:rPr>
          <w:rFonts w:hint="eastAsia" w:hAnsi="Times New Roman" w:eastAsiaTheme="minorEastAsia"/>
          <w:color w:val="auto"/>
          <w:sz w:val="24"/>
          <w:szCs w:val="24"/>
        </w:rPr>
        <w:t>施工期环境保护措施</w:t>
      </w:r>
      <w:r>
        <w:rPr>
          <w:color w:val="auto"/>
          <w:sz w:val="24"/>
          <w:szCs w:val="24"/>
        </w:rPr>
        <w:tab/>
      </w:r>
      <w:r>
        <w:rPr>
          <w:color w:val="auto"/>
          <w:sz w:val="24"/>
          <w:szCs w:val="24"/>
        </w:rPr>
        <w:fldChar w:fldCharType="begin"/>
      </w:r>
      <w:r>
        <w:rPr>
          <w:color w:val="auto"/>
          <w:sz w:val="24"/>
          <w:szCs w:val="24"/>
        </w:rPr>
        <w:instrText xml:space="preserve"> PAGEREF _Toc519693583 \h </w:instrText>
      </w:r>
      <w:r>
        <w:rPr>
          <w:color w:val="auto"/>
          <w:sz w:val="24"/>
          <w:szCs w:val="24"/>
        </w:rPr>
        <w:fldChar w:fldCharType="separate"/>
      </w:r>
      <w:r>
        <w:rPr>
          <w:color w:val="auto"/>
          <w:sz w:val="24"/>
          <w:szCs w:val="24"/>
        </w:rPr>
        <w:t>131</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6.2</w:t>
      </w:r>
      <w:r>
        <w:rPr>
          <w:rFonts w:hint="eastAsia" w:hAnsi="Times New Roman" w:eastAsiaTheme="minorEastAsia"/>
          <w:color w:val="auto"/>
          <w:sz w:val="24"/>
          <w:szCs w:val="24"/>
        </w:rPr>
        <w:t>运行期环境保护措施及可行性分析</w:t>
      </w:r>
      <w:r>
        <w:rPr>
          <w:color w:val="auto"/>
          <w:sz w:val="24"/>
          <w:szCs w:val="24"/>
        </w:rPr>
        <w:tab/>
      </w:r>
      <w:r>
        <w:rPr>
          <w:color w:val="auto"/>
          <w:sz w:val="24"/>
          <w:szCs w:val="24"/>
        </w:rPr>
        <w:fldChar w:fldCharType="begin"/>
      </w:r>
      <w:r>
        <w:rPr>
          <w:color w:val="auto"/>
          <w:sz w:val="24"/>
          <w:szCs w:val="24"/>
        </w:rPr>
        <w:instrText xml:space="preserve"> PAGEREF _Toc519693584 \h </w:instrText>
      </w:r>
      <w:r>
        <w:rPr>
          <w:color w:val="auto"/>
          <w:sz w:val="24"/>
          <w:szCs w:val="24"/>
        </w:rPr>
        <w:fldChar w:fldCharType="separate"/>
      </w:r>
      <w:r>
        <w:rPr>
          <w:color w:val="auto"/>
          <w:sz w:val="24"/>
          <w:szCs w:val="24"/>
        </w:rPr>
        <w:t>133</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6.3</w:t>
      </w:r>
      <w:r>
        <w:rPr>
          <w:rFonts w:hint="eastAsia" w:hAnsi="Times New Roman" w:eastAsiaTheme="minorEastAsia"/>
          <w:color w:val="auto"/>
          <w:sz w:val="24"/>
          <w:szCs w:val="24"/>
        </w:rPr>
        <w:t>服务期满后生态恢复措施及其可行性分析</w:t>
      </w:r>
      <w:r>
        <w:rPr>
          <w:color w:val="auto"/>
          <w:sz w:val="24"/>
          <w:szCs w:val="24"/>
        </w:rPr>
        <w:tab/>
      </w:r>
      <w:r>
        <w:rPr>
          <w:color w:val="auto"/>
          <w:sz w:val="24"/>
          <w:szCs w:val="24"/>
        </w:rPr>
        <w:fldChar w:fldCharType="begin"/>
      </w:r>
      <w:r>
        <w:rPr>
          <w:color w:val="auto"/>
          <w:sz w:val="24"/>
          <w:szCs w:val="24"/>
        </w:rPr>
        <w:instrText xml:space="preserve"> PAGEREF _Toc519693585 \h </w:instrText>
      </w:r>
      <w:r>
        <w:rPr>
          <w:color w:val="auto"/>
          <w:sz w:val="24"/>
          <w:szCs w:val="24"/>
        </w:rPr>
        <w:fldChar w:fldCharType="separate"/>
      </w:r>
      <w:r>
        <w:rPr>
          <w:color w:val="auto"/>
          <w:sz w:val="24"/>
          <w:szCs w:val="24"/>
        </w:rPr>
        <w:t>144</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6.4</w:t>
      </w:r>
      <w:r>
        <w:rPr>
          <w:rFonts w:hint="eastAsia" w:hAnsi="Times New Roman" w:eastAsiaTheme="minorEastAsia"/>
          <w:color w:val="auto"/>
          <w:sz w:val="24"/>
          <w:szCs w:val="24"/>
        </w:rPr>
        <w:t>污染防治措施汇总及环境保护投资</w:t>
      </w:r>
      <w:r>
        <w:rPr>
          <w:color w:val="auto"/>
          <w:sz w:val="24"/>
          <w:szCs w:val="24"/>
        </w:rPr>
        <w:tab/>
      </w:r>
      <w:r>
        <w:rPr>
          <w:color w:val="auto"/>
          <w:sz w:val="24"/>
          <w:szCs w:val="24"/>
        </w:rPr>
        <w:fldChar w:fldCharType="begin"/>
      </w:r>
      <w:r>
        <w:rPr>
          <w:color w:val="auto"/>
          <w:sz w:val="24"/>
          <w:szCs w:val="24"/>
        </w:rPr>
        <w:instrText xml:space="preserve"> PAGEREF _Toc519693586 \h </w:instrText>
      </w:r>
      <w:r>
        <w:rPr>
          <w:color w:val="auto"/>
          <w:sz w:val="24"/>
          <w:szCs w:val="24"/>
        </w:rPr>
        <w:fldChar w:fldCharType="separate"/>
      </w:r>
      <w:r>
        <w:rPr>
          <w:color w:val="auto"/>
          <w:sz w:val="24"/>
          <w:szCs w:val="24"/>
        </w:rPr>
        <w:t>148</w:t>
      </w:r>
      <w:r>
        <w:rPr>
          <w:color w:val="auto"/>
          <w:sz w:val="24"/>
          <w:szCs w:val="24"/>
        </w:rPr>
        <w:fldChar w:fldCharType="end"/>
      </w:r>
    </w:p>
    <w:p>
      <w:pPr>
        <w:pStyle w:val="33"/>
        <w:tabs>
          <w:tab w:val="right" w:leader="dot" w:pos="8296"/>
        </w:tabs>
        <w:rPr>
          <w:rFonts w:asciiTheme="minorHAnsi" w:hAnsiTheme="minorHAnsi" w:eastAsiaTheme="minorEastAsia" w:cstheme="minorBidi"/>
          <w:bCs w:val="0"/>
          <w:caps w:val="0"/>
          <w:color w:val="auto"/>
          <w:sz w:val="24"/>
          <w:szCs w:val="24"/>
        </w:rPr>
      </w:pPr>
      <w:r>
        <w:rPr>
          <w:rFonts w:eastAsiaTheme="minorEastAsia"/>
          <w:color w:val="auto"/>
          <w:sz w:val="24"/>
          <w:szCs w:val="24"/>
        </w:rPr>
        <w:t>7</w:t>
      </w:r>
      <w:r>
        <w:rPr>
          <w:rFonts w:hint="eastAsia" w:eastAsiaTheme="minorEastAsia"/>
          <w:color w:val="auto"/>
          <w:sz w:val="24"/>
          <w:szCs w:val="24"/>
        </w:rPr>
        <w:t>环境影响经济损益分析</w:t>
      </w:r>
      <w:r>
        <w:rPr>
          <w:color w:val="auto"/>
          <w:sz w:val="24"/>
          <w:szCs w:val="24"/>
        </w:rPr>
        <w:tab/>
      </w:r>
      <w:r>
        <w:rPr>
          <w:color w:val="auto"/>
          <w:sz w:val="24"/>
          <w:szCs w:val="24"/>
        </w:rPr>
        <w:fldChar w:fldCharType="begin"/>
      </w:r>
      <w:r>
        <w:rPr>
          <w:color w:val="auto"/>
          <w:sz w:val="24"/>
          <w:szCs w:val="24"/>
        </w:rPr>
        <w:instrText xml:space="preserve"> PAGEREF _Toc519693587 \h </w:instrText>
      </w:r>
      <w:r>
        <w:rPr>
          <w:color w:val="auto"/>
          <w:sz w:val="24"/>
          <w:szCs w:val="24"/>
        </w:rPr>
        <w:fldChar w:fldCharType="separate"/>
      </w:r>
      <w:r>
        <w:rPr>
          <w:color w:val="auto"/>
          <w:sz w:val="24"/>
          <w:szCs w:val="24"/>
        </w:rPr>
        <w:t>150</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7.1</w:t>
      </w:r>
      <w:r>
        <w:rPr>
          <w:rFonts w:hint="eastAsia" w:hAnsi="Times New Roman" w:eastAsiaTheme="minorEastAsia"/>
          <w:color w:val="auto"/>
          <w:sz w:val="24"/>
          <w:szCs w:val="24"/>
        </w:rPr>
        <w:t>社会效益分析</w:t>
      </w:r>
      <w:r>
        <w:rPr>
          <w:color w:val="auto"/>
          <w:sz w:val="24"/>
          <w:szCs w:val="24"/>
        </w:rPr>
        <w:tab/>
      </w:r>
      <w:r>
        <w:rPr>
          <w:color w:val="auto"/>
          <w:sz w:val="24"/>
          <w:szCs w:val="24"/>
        </w:rPr>
        <w:fldChar w:fldCharType="begin"/>
      </w:r>
      <w:r>
        <w:rPr>
          <w:color w:val="auto"/>
          <w:sz w:val="24"/>
          <w:szCs w:val="24"/>
        </w:rPr>
        <w:instrText xml:space="preserve"> PAGEREF _Toc519693588 \h </w:instrText>
      </w:r>
      <w:r>
        <w:rPr>
          <w:color w:val="auto"/>
          <w:sz w:val="24"/>
          <w:szCs w:val="24"/>
        </w:rPr>
        <w:fldChar w:fldCharType="separate"/>
      </w:r>
      <w:r>
        <w:rPr>
          <w:color w:val="auto"/>
          <w:sz w:val="24"/>
          <w:szCs w:val="24"/>
        </w:rPr>
        <w:t>150</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7.2</w:t>
      </w:r>
      <w:r>
        <w:rPr>
          <w:rFonts w:hint="eastAsia" w:hAnsi="Times New Roman" w:eastAsiaTheme="minorEastAsia"/>
          <w:color w:val="auto"/>
          <w:sz w:val="24"/>
          <w:szCs w:val="24"/>
        </w:rPr>
        <w:t>经济效益分析</w:t>
      </w:r>
      <w:r>
        <w:rPr>
          <w:color w:val="auto"/>
          <w:sz w:val="24"/>
          <w:szCs w:val="24"/>
        </w:rPr>
        <w:tab/>
      </w:r>
      <w:r>
        <w:rPr>
          <w:color w:val="auto"/>
          <w:sz w:val="24"/>
          <w:szCs w:val="24"/>
        </w:rPr>
        <w:fldChar w:fldCharType="begin"/>
      </w:r>
      <w:r>
        <w:rPr>
          <w:color w:val="auto"/>
          <w:sz w:val="24"/>
          <w:szCs w:val="24"/>
        </w:rPr>
        <w:instrText xml:space="preserve"> PAGEREF _Toc519693589 \h </w:instrText>
      </w:r>
      <w:r>
        <w:rPr>
          <w:color w:val="auto"/>
          <w:sz w:val="24"/>
          <w:szCs w:val="24"/>
        </w:rPr>
        <w:fldChar w:fldCharType="separate"/>
      </w:r>
      <w:r>
        <w:rPr>
          <w:color w:val="auto"/>
          <w:sz w:val="24"/>
          <w:szCs w:val="24"/>
        </w:rPr>
        <w:t>150</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7.3</w:t>
      </w:r>
      <w:r>
        <w:rPr>
          <w:rFonts w:hint="eastAsia" w:hAnsi="Times New Roman" w:eastAsiaTheme="minorEastAsia"/>
          <w:color w:val="auto"/>
          <w:sz w:val="24"/>
          <w:szCs w:val="24"/>
        </w:rPr>
        <w:t>环境效益分析</w:t>
      </w:r>
      <w:r>
        <w:rPr>
          <w:color w:val="auto"/>
          <w:sz w:val="24"/>
          <w:szCs w:val="24"/>
        </w:rPr>
        <w:tab/>
      </w:r>
      <w:r>
        <w:rPr>
          <w:color w:val="auto"/>
          <w:sz w:val="24"/>
          <w:szCs w:val="24"/>
        </w:rPr>
        <w:fldChar w:fldCharType="begin"/>
      </w:r>
      <w:r>
        <w:rPr>
          <w:color w:val="auto"/>
          <w:sz w:val="24"/>
          <w:szCs w:val="24"/>
        </w:rPr>
        <w:instrText xml:space="preserve"> PAGEREF _Toc519693590 \h </w:instrText>
      </w:r>
      <w:r>
        <w:rPr>
          <w:color w:val="auto"/>
          <w:sz w:val="24"/>
          <w:szCs w:val="24"/>
        </w:rPr>
        <w:fldChar w:fldCharType="separate"/>
      </w:r>
      <w:r>
        <w:rPr>
          <w:color w:val="auto"/>
          <w:sz w:val="24"/>
          <w:szCs w:val="24"/>
        </w:rPr>
        <w:t>151</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7.4</w:t>
      </w:r>
      <w:r>
        <w:rPr>
          <w:rFonts w:hint="eastAsia" w:hAnsi="Times New Roman" w:eastAsiaTheme="minorEastAsia"/>
          <w:color w:val="auto"/>
          <w:sz w:val="24"/>
          <w:szCs w:val="24"/>
        </w:rPr>
        <w:t>结论</w:t>
      </w:r>
      <w:r>
        <w:rPr>
          <w:color w:val="auto"/>
          <w:sz w:val="24"/>
          <w:szCs w:val="24"/>
        </w:rPr>
        <w:tab/>
      </w:r>
      <w:r>
        <w:rPr>
          <w:color w:val="auto"/>
          <w:sz w:val="24"/>
          <w:szCs w:val="24"/>
        </w:rPr>
        <w:fldChar w:fldCharType="begin"/>
      </w:r>
      <w:r>
        <w:rPr>
          <w:color w:val="auto"/>
          <w:sz w:val="24"/>
          <w:szCs w:val="24"/>
        </w:rPr>
        <w:instrText xml:space="preserve"> PAGEREF _Toc519693591 \h </w:instrText>
      </w:r>
      <w:r>
        <w:rPr>
          <w:color w:val="auto"/>
          <w:sz w:val="24"/>
          <w:szCs w:val="24"/>
        </w:rPr>
        <w:fldChar w:fldCharType="separate"/>
      </w:r>
      <w:r>
        <w:rPr>
          <w:color w:val="auto"/>
          <w:sz w:val="24"/>
          <w:szCs w:val="24"/>
        </w:rPr>
        <w:t>152</w:t>
      </w:r>
      <w:r>
        <w:rPr>
          <w:color w:val="auto"/>
          <w:sz w:val="24"/>
          <w:szCs w:val="24"/>
        </w:rPr>
        <w:fldChar w:fldCharType="end"/>
      </w:r>
    </w:p>
    <w:p>
      <w:pPr>
        <w:pStyle w:val="33"/>
        <w:tabs>
          <w:tab w:val="right" w:leader="dot" w:pos="8296"/>
        </w:tabs>
        <w:rPr>
          <w:rFonts w:asciiTheme="minorHAnsi" w:hAnsiTheme="minorHAnsi" w:eastAsiaTheme="minorEastAsia" w:cstheme="minorBidi"/>
          <w:bCs w:val="0"/>
          <w:caps w:val="0"/>
          <w:color w:val="auto"/>
          <w:sz w:val="24"/>
          <w:szCs w:val="24"/>
        </w:rPr>
      </w:pPr>
      <w:r>
        <w:rPr>
          <w:rFonts w:eastAsiaTheme="minorEastAsia"/>
          <w:color w:val="auto"/>
          <w:sz w:val="24"/>
          <w:szCs w:val="24"/>
        </w:rPr>
        <w:t>8</w:t>
      </w:r>
      <w:r>
        <w:rPr>
          <w:rFonts w:hint="eastAsia" w:eastAsiaTheme="minorEastAsia"/>
          <w:color w:val="auto"/>
          <w:sz w:val="24"/>
          <w:szCs w:val="24"/>
        </w:rPr>
        <w:t>环境管理与监测计划</w:t>
      </w:r>
      <w:r>
        <w:rPr>
          <w:color w:val="auto"/>
          <w:sz w:val="24"/>
          <w:szCs w:val="24"/>
        </w:rPr>
        <w:tab/>
      </w:r>
      <w:r>
        <w:rPr>
          <w:color w:val="auto"/>
          <w:sz w:val="24"/>
          <w:szCs w:val="24"/>
        </w:rPr>
        <w:fldChar w:fldCharType="begin"/>
      </w:r>
      <w:r>
        <w:rPr>
          <w:color w:val="auto"/>
          <w:sz w:val="24"/>
          <w:szCs w:val="24"/>
        </w:rPr>
        <w:instrText xml:space="preserve"> PAGEREF _Toc519693592 \h </w:instrText>
      </w:r>
      <w:r>
        <w:rPr>
          <w:color w:val="auto"/>
          <w:sz w:val="24"/>
          <w:szCs w:val="24"/>
        </w:rPr>
        <w:fldChar w:fldCharType="separate"/>
      </w:r>
      <w:r>
        <w:rPr>
          <w:color w:val="auto"/>
          <w:sz w:val="24"/>
          <w:szCs w:val="24"/>
        </w:rPr>
        <w:t>153</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8.1</w:t>
      </w:r>
      <w:r>
        <w:rPr>
          <w:rFonts w:hint="eastAsia" w:hAnsi="Times New Roman" w:eastAsiaTheme="minorEastAsia"/>
          <w:color w:val="auto"/>
          <w:sz w:val="24"/>
          <w:szCs w:val="24"/>
        </w:rPr>
        <w:t>环境管理</w:t>
      </w:r>
      <w:r>
        <w:rPr>
          <w:color w:val="auto"/>
          <w:sz w:val="24"/>
          <w:szCs w:val="24"/>
        </w:rPr>
        <w:tab/>
      </w:r>
      <w:r>
        <w:rPr>
          <w:color w:val="auto"/>
          <w:sz w:val="24"/>
          <w:szCs w:val="24"/>
        </w:rPr>
        <w:fldChar w:fldCharType="begin"/>
      </w:r>
      <w:r>
        <w:rPr>
          <w:color w:val="auto"/>
          <w:sz w:val="24"/>
          <w:szCs w:val="24"/>
        </w:rPr>
        <w:instrText xml:space="preserve"> PAGEREF _Toc519693593 \h </w:instrText>
      </w:r>
      <w:r>
        <w:rPr>
          <w:color w:val="auto"/>
          <w:sz w:val="24"/>
          <w:szCs w:val="24"/>
        </w:rPr>
        <w:fldChar w:fldCharType="separate"/>
      </w:r>
      <w:r>
        <w:rPr>
          <w:color w:val="auto"/>
          <w:sz w:val="24"/>
          <w:szCs w:val="24"/>
        </w:rPr>
        <w:t>153</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8.2</w:t>
      </w:r>
      <w:r>
        <w:rPr>
          <w:rFonts w:hint="eastAsia" w:hAnsi="Times New Roman" w:eastAsiaTheme="minorEastAsia"/>
          <w:color w:val="auto"/>
          <w:sz w:val="24"/>
          <w:szCs w:val="24"/>
        </w:rPr>
        <w:t>环境监测计划</w:t>
      </w:r>
      <w:r>
        <w:rPr>
          <w:color w:val="auto"/>
          <w:sz w:val="24"/>
          <w:szCs w:val="24"/>
        </w:rPr>
        <w:tab/>
      </w:r>
      <w:r>
        <w:rPr>
          <w:color w:val="auto"/>
          <w:sz w:val="24"/>
          <w:szCs w:val="24"/>
        </w:rPr>
        <w:fldChar w:fldCharType="begin"/>
      </w:r>
      <w:r>
        <w:rPr>
          <w:color w:val="auto"/>
          <w:sz w:val="24"/>
          <w:szCs w:val="24"/>
        </w:rPr>
        <w:instrText xml:space="preserve"> PAGEREF _Toc519693594 \h </w:instrText>
      </w:r>
      <w:r>
        <w:rPr>
          <w:color w:val="auto"/>
          <w:sz w:val="24"/>
          <w:szCs w:val="24"/>
        </w:rPr>
        <w:fldChar w:fldCharType="separate"/>
      </w:r>
      <w:r>
        <w:rPr>
          <w:color w:val="auto"/>
          <w:sz w:val="24"/>
          <w:szCs w:val="24"/>
        </w:rPr>
        <w:t>161</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8.3“</w:t>
      </w:r>
      <w:r>
        <w:rPr>
          <w:rFonts w:hint="eastAsia" w:hAnsi="Times New Roman" w:eastAsiaTheme="minorEastAsia"/>
          <w:color w:val="auto"/>
          <w:sz w:val="24"/>
          <w:szCs w:val="24"/>
        </w:rPr>
        <w:t>三同时</w:t>
      </w:r>
      <w:r>
        <w:rPr>
          <w:rFonts w:hAnsi="Times New Roman" w:eastAsiaTheme="minorEastAsia"/>
          <w:color w:val="auto"/>
          <w:sz w:val="24"/>
          <w:szCs w:val="24"/>
        </w:rPr>
        <w:t>”</w:t>
      </w:r>
      <w:r>
        <w:rPr>
          <w:rFonts w:hint="eastAsia" w:hAnsi="Times New Roman" w:eastAsiaTheme="minorEastAsia"/>
          <w:color w:val="auto"/>
          <w:sz w:val="24"/>
          <w:szCs w:val="24"/>
        </w:rPr>
        <w:t>验收内容</w:t>
      </w:r>
      <w:r>
        <w:rPr>
          <w:color w:val="auto"/>
          <w:sz w:val="24"/>
          <w:szCs w:val="24"/>
        </w:rPr>
        <w:tab/>
      </w:r>
      <w:r>
        <w:rPr>
          <w:color w:val="auto"/>
          <w:sz w:val="24"/>
          <w:szCs w:val="24"/>
        </w:rPr>
        <w:fldChar w:fldCharType="begin"/>
      </w:r>
      <w:r>
        <w:rPr>
          <w:color w:val="auto"/>
          <w:sz w:val="24"/>
          <w:szCs w:val="24"/>
        </w:rPr>
        <w:instrText xml:space="preserve"> PAGEREF _Toc519693595 \h </w:instrText>
      </w:r>
      <w:r>
        <w:rPr>
          <w:color w:val="auto"/>
          <w:sz w:val="24"/>
          <w:szCs w:val="24"/>
        </w:rPr>
        <w:fldChar w:fldCharType="separate"/>
      </w:r>
      <w:r>
        <w:rPr>
          <w:color w:val="auto"/>
          <w:sz w:val="24"/>
          <w:szCs w:val="24"/>
        </w:rPr>
        <w:t>162</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8.4</w:t>
      </w:r>
      <w:r>
        <w:rPr>
          <w:rFonts w:hint="eastAsia" w:hAnsi="Times New Roman" w:eastAsiaTheme="minorEastAsia"/>
          <w:color w:val="auto"/>
          <w:sz w:val="24"/>
          <w:szCs w:val="24"/>
        </w:rPr>
        <w:t>污染物总量控制分析</w:t>
      </w:r>
      <w:r>
        <w:rPr>
          <w:color w:val="auto"/>
          <w:sz w:val="24"/>
          <w:szCs w:val="24"/>
        </w:rPr>
        <w:tab/>
      </w:r>
      <w:r>
        <w:rPr>
          <w:color w:val="auto"/>
          <w:sz w:val="24"/>
          <w:szCs w:val="24"/>
        </w:rPr>
        <w:fldChar w:fldCharType="begin"/>
      </w:r>
      <w:r>
        <w:rPr>
          <w:color w:val="auto"/>
          <w:sz w:val="24"/>
          <w:szCs w:val="24"/>
        </w:rPr>
        <w:instrText xml:space="preserve"> PAGEREF _Toc519693596 \h </w:instrText>
      </w:r>
      <w:r>
        <w:rPr>
          <w:color w:val="auto"/>
          <w:sz w:val="24"/>
          <w:szCs w:val="24"/>
        </w:rPr>
        <w:fldChar w:fldCharType="separate"/>
      </w:r>
      <w:r>
        <w:rPr>
          <w:color w:val="auto"/>
          <w:sz w:val="24"/>
          <w:szCs w:val="24"/>
        </w:rPr>
        <w:t>163</w:t>
      </w:r>
      <w:r>
        <w:rPr>
          <w:color w:val="auto"/>
          <w:sz w:val="24"/>
          <w:szCs w:val="24"/>
        </w:rPr>
        <w:fldChar w:fldCharType="end"/>
      </w:r>
    </w:p>
    <w:p>
      <w:pPr>
        <w:pStyle w:val="33"/>
        <w:tabs>
          <w:tab w:val="right" w:leader="dot" w:pos="8296"/>
        </w:tabs>
        <w:rPr>
          <w:rFonts w:asciiTheme="minorHAnsi" w:hAnsiTheme="minorHAnsi" w:eastAsiaTheme="minorEastAsia" w:cstheme="minorBidi"/>
          <w:bCs w:val="0"/>
          <w:caps w:val="0"/>
          <w:color w:val="auto"/>
          <w:sz w:val="24"/>
          <w:szCs w:val="24"/>
        </w:rPr>
      </w:pPr>
      <w:r>
        <w:rPr>
          <w:rFonts w:eastAsiaTheme="minorEastAsia"/>
          <w:color w:val="auto"/>
          <w:sz w:val="24"/>
          <w:szCs w:val="24"/>
        </w:rPr>
        <w:t>9</w:t>
      </w:r>
      <w:r>
        <w:rPr>
          <w:rFonts w:hint="eastAsia" w:eastAsiaTheme="minorEastAsia"/>
          <w:color w:val="auto"/>
          <w:sz w:val="24"/>
          <w:szCs w:val="24"/>
        </w:rPr>
        <w:t>环境影响评价结论</w:t>
      </w:r>
      <w:r>
        <w:rPr>
          <w:color w:val="auto"/>
          <w:sz w:val="24"/>
          <w:szCs w:val="24"/>
        </w:rPr>
        <w:tab/>
      </w:r>
      <w:r>
        <w:rPr>
          <w:color w:val="auto"/>
          <w:sz w:val="24"/>
          <w:szCs w:val="24"/>
        </w:rPr>
        <w:fldChar w:fldCharType="begin"/>
      </w:r>
      <w:r>
        <w:rPr>
          <w:color w:val="auto"/>
          <w:sz w:val="24"/>
          <w:szCs w:val="24"/>
        </w:rPr>
        <w:instrText xml:space="preserve"> PAGEREF _Toc519693597 \h </w:instrText>
      </w:r>
      <w:r>
        <w:rPr>
          <w:color w:val="auto"/>
          <w:sz w:val="24"/>
          <w:szCs w:val="24"/>
        </w:rPr>
        <w:fldChar w:fldCharType="separate"/>
      </w:r>
      <w:r>
        <w:rPr>
          <w:color w:val="auto"/>
          <w:sz w:val="24"/>
          <w:szCs w:val="24"/>
        </w:rPr>
        <w:t>165</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9.1</w:t>
      </w:r>
      <w:r>
        <w:rPr>
          <w:rFonts w:hint="eastAsia" w:hAnsi="Times New Roman" w:eastAsiaTheme="minorEastAsia"/>
          <w:color w:val="auto"/>
          <w:sz w:val="24"/>
          <w:szCs w:val="24"/>
        </w:rPr>
        <w:t>建设项目概况</w:t>
      </w:r>
      <w:r>
        <w:rPr>
          <w:color w:val="auto"/>
          <w:sz w:val="24"/>
          <w:szCs w:val="24"/>
        </w:rPr>
        <w:tab/>
      </w:r>
      <w:r>
        <w:rPr>
          <w:color w:val="auto"/>
          <w:sz w:val="24"/>
          <w:szCs w:val="24"/>
        </w:rPr>
        <w:fldChar w:fldCharType="begin"/>
      </w:r>
      <w:r>
        <w:rPr>
          <w:color w:val="auto"/>
          <w:sz w:val="24"/>
          <w:szCs w:val="24"/>
        </w:rPr>
        <w:instrText xml:space="preserve"> PAGEREF _Toc519693598 \h </w:instrText>
      </w:r>
      <w:r>
        <w:rPr>
          <w:color w:val="auto"/>
          <w:sz w:val="24"/>
          <w:szCs w:val="24"/>
        </w:rPr>
        <w:fldChar w:fldCharType="separate"/>
      </w:r>
      <w:r>
        <w:rPr>
          <w:color w:val="auto"/>
          <w:sz w:val="24"/>
          <w:szCs w:val="24"/>
        </w:rPr>
        <w:t>165</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9.2</w:t>
      </w:r>
      <w:r>
        <w:rPr>
          <w:rFonts w:hint="eastAsia" w:hAnsi="Times New Roman" w:eastAsiaTheme="minorEastAsia"/>
          <w:color w:val="auto"/>
          <w:sz w:val="24"/>
          <w:szCs w:val="24"/>
        </w:rPr>
        <w:t>环境质量现状评价结论</w:t>
      </w:r>
      <w:r>
        <w:rPr>
          <w:color w:val="auto"/>
          <w:sz w:val="24"/>
          <w:szCs w:val="24"/>
        </w:rPr>
        <w:tab/>
      </w:r>
      <w:r>
        <w:rPr>
          <w:color w:val="auto"/>
          <w:sz w:val="24"/>
          <w:szCs w:val="24"/>
        </w:rPr>
        <w:fldChar w:fldCharType="begin"/>
      </w:r>
      <w:r>
        <w:rPr>
          <w:color w:val="auto"/>
          <w:sz w:val="24"/>
          <w:szCs w:val="24"/>
        </w:rPr>
        <w:instrText xml:space="preserve"> PAGEREF _Toc519693599 \h </w:instrText>
      </w:r>
      <w:r>
        <w:rPr>
          <w:color w:val="auto"/>
          <w:sz w:val="24"/>
          <w:szCs w:val="24"/>
        </w:rPr>
        <w:fldChar w:fldCharType="separate"/>
      </w:r>
      <w:r>
        <w:rPr>
          <w:color w:val="auto"/>
          <w:sz w:val="24"/>
          <w:szCs w:val="24"/>
        </w:rPr>
        <w:t>165</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9.3</w:t>
      </w:r>
      <w:r>
        <w:rPr>
          <w:rFonts w:hint="eastAsia" w:hAnsi="Times New Roman" w:eastAsiaTheme="minorEastAsia"/>
          <w:color w:val="auto"/>
          <w:sz w:val="24"/>
          <w:szCs w:val="24"/>
        </w:rPr>
        <w:t>环境影响评价结论</w:t>
      </w:r>
      <w:r>
        <w:rPr>
          <w:color w:val="auto"/>
          <w:sz w:val="24"/>
          <w:szCs w:val="24"/>
        </w:rPr>
        <w:tab/>
      </w:r>
      <w:r>
        <w:rPr>
          <w:color w:val="auto"/>
          <w:sz w:val="24"/>
          <w:szCs w:val="24"/>
        </w:rPr>
        <w:fldChar w:fldCharType="begin"/>
      </w:r>
      <w:r>
        <w:rPr>
          <w:color w:val="auto"/>
          <w:sz w:val="24"/>
          <w:szCs w:val="24"/>
        </w:rPr>
        <w:instrText xml:space="preserve"> PAGEREF _Toc519693600 \h </w:instrText>
      </w:r>
      <w:r>
        <w:rPr>
          <w:color w:val="auto"/>
          <w:sz w:val="24"/>
          <w:szCs w:val="24"/>
        </w:rPr>
        <w:fldChar w:fldCharType="separate"/>
      </w:r>
      <w:r>
        <w:rPr>
          <w:color w:val="auto"/>
          <w:sz w:val="24"/>
          <w:szCs w:val="24"/>
        </w:rPr>
        <w:t>166</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9.4</w:t>
      </w:r>
      <w:r>
        <w:rPr>
          <w:rFonts w:hint="eastAsia" w:hAnsi="Times New Roman" w:eastAsiaTheme="minorEastAsia"/>
          <w:color w:val="auto"/>
          <w:sz w:val="24"/>
          <w:szCs w:val="24"/>
        </w:rPr>
        <w:t>环境保护措施</w:t>
      </w:r>
      <w:r>
        <w:rPr>
          <w:color w:val="auto"/>
          <w:sz w:val="24"/>
          <w:szCs w:val="24"/>
        </w:rPr>
        <w:tab/>
      </w:r>
      <w:r>
        <w:rPr>
          <w:color w:val="auto"/>
          <w:sz w:val="24"/>
          <w:szCs w:val="24"/>
        </w:rPr>
        <w:fldChar w:fldCharType="begin"/>
      </w:r>
      <w:r>
        <w:rPr>
          <w:color w:val="auto"/>
          <w:sz w:val="24"/>
          <w:szCs w:val="24"/>
        </w:rPr>
        <w:instrText xml:space="preserve"> PAGEREF _Toc519693601 \h </w:instrText>
      </w:r>
      <w:r>
        <w:rPr>
          <w:color w:val="auto"/>
          <w:sz w:val="24"/>
          <w:szCs w:val="24"/>
        </w:rPr>
        <w:fldChar w:fldCharType="separate"/>
      </w:r>
      <w:r>
        <w:rPr>
          <w:color w:val="auto"/>
          <w:sz w:val="24"/>
          <w:szCs w:val="24"/>
        </w:rPr>
        <w:t>168</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9.5</w:t>
      </w:r>
      <w:r>
        <w:rPr>
          <w:rFonts w:hint="eastAsia" w:hAnsi="Times New Roman" w:eastAsiaTheme="minorEastAsia"/>
          <w:color w:val="auto"/>
          <w:sz w:val="24"/>
          <w:szCs w:val="24"/>
        </w:rPr>
        <w:t>环境影响经济损益分析</w:t>
      </w:r>
      <w:r>
        <w:rPr>
          <w:color w:val="auto"/>
          <w:sz w:val="24"/>
          <w:szCs w:val="24"/>
        </w:rPr>
        <w:tab/>
      </w:r>
      <w:r>
        <w:rPr>
          <w:color w:val="auto"/>
          <w:sz w:val="24"/>
          <w:szCs w:val="24"/>
        </w:rPr>
        <w:fldChar w:fldCharType="begin"/>
      </w:r>
      <w:r>
        <w:rPr>
          <w:color w:val="auto"/>
          <w:sz w:val="24"/>
          <w:szCs w:val="24"/>
        </w:rPr>
        <w:instrText xml:space="preserve"> PAGEREF _Toc519693602 \h </w:instrText>
      </w:r>
      <w:r>
        <w:rPr>
          <w:color w:val="auto"/>
          <w:sz w:val="24"/>
          <w:szCs w:val="24"/>
        </w:rPr>
        <w:fldChar w:fldCharType="separate"/>
      </w:r>
      <w:r>
        <w:rPr>
          <w:color w:val="auto"/>
          <w:sz w:val="24"/>
          <w:szCs w:val="24"/>
        </w:rPr>
        <w:t>170</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9.6</w:t>
      </w:r>
      <w:r>
        <w:rPr>
          <w:rFonts w:hint="eastAsia" w:hAnsi="Times New Roman" w:eastAsiaTheme="minorEastAsia"/>
          <w:color w:val="auto"/>
          <w:sz w:val="24"/>
          <w:szCs w:val="24"/>
        </w:rPr>
        <w:t>公众意见采纳情况</w:t>
      </w:r>
      <w:r>
        <w:rPr>
          <w:color w:val="auto"/>
          <w:sz w:val="24"/>
          <w:szCs w:val="24"/>
        </w:rPr>
        <w:tab/>
      </w:r>
      <w:r>
        <w:rPr>
          <w:color w:val="auto"/>
          <w:sz w:val="24"/>
          <w:szCs w:val="24"/>
        </w:rPr>
        <w:fldChar w:fldCharType="begin"/>
      </w:r>
      <w:r>
        <w:rPr>
          <w:color w:val="auto"/>
          <w:sz w:val="24"/>
          <w:szCs w:val="24"/>
        </w:rPr>
        <w:instrText xml:space="preserve"> PAGEREF _Toc519693603 \h </w:instrText>
      </w:r>
      <w:r>
        <w:rPr>
          <w:color w:val="auto"/>
          <w:sz w:val="24"/>
          <w:szCs w:val="24"/>
        </w:rPr>
        <w:fldChar w:fldCharType="separate"/>
      </w:r>
      <w:r>
        <w:rPr>
          <w:color w:val="auto"/>
          <w:sz w:val="24"/>
          <w:szCs w:val="24"/>
        </w:rPr>
        <w:t>171</w:t>
      </w:r>
      <w:r>
        <w:rPr>
          <w:color w:val="auto"/>
          <w:sz w:val="24"/>
          <w:szCs w:val="24"/>
        </w:rPr>
        <w:fldChar w:fldCharType="end"/>
      </w:r>
    </w:p>
    <w:p>
      <w:pPr>
        <w:pStyle w:val="39"/>
        <w:tabs>
          <w:tab w:val="right" w:leader="dot" w:pos="8296"/>
        </w:tabs>
        <w:rPr>
          <w:rFonts w:asciiTheme="minorHAnsi" w:hAnsiTheme="minorHAnsi" w:eastAsiaTheme="minorEastAsia" w:cstheme="minorBidi"/>
          <w:smallCaps w:val="0"/>
          <w:color w:val="auto"/>
          <w:sz w:val="24"/>
          <w:szCs w:val="24"/>
        </w:rPr>
      </w:pPr>
      <w:r>
        <w:rPr>
          <w:rFonts w:hAnsi="Times New Roman" w:eastAsiaTheme="minorEastAsia"/>
          <w:color w:val="auto"/>
          <w:sz w:val="24"/>
          <w:szCs w:val="24"/>
        </w:rPr>
        <w:t>9.7</w:t>
      </w:r>
      <w:r>
        <w:rPr>
          <w:rFonts w:hint="eastAsia" w:hAnsi="Times New Roman" w:eastAsiaTheme="minorEastAsia"/>
          <w:color w:val="auto"/>
          <w:sz w:val="24"/>
          <w:szCs w:val="24"/>
        </w:rPr>
        <w:t>环境影响评价综合结论</w:t>
      </w:r>
      <w:r>
        <w:rPr>
          <w:color w:val="auto"/>
          <w:sz w:val="24"/>
          <w:szCs w:val="24"/>
        </w:rPr>
        <w:tab/>
      </w:r>
      <w:r>
        <w:rPr>
          <w:color w:val="auto"/>
          <w:sz w:val="24"/>
          <w:szCs w:val="24"/>
        </w:rPr>
        <w:fldChar w:fldCharType="begin"/>
      </w:r>
      <w:r>
        <w:rPr>
          <w:color w:val="auto"/>
          <w:sz w:val="24"/>
          <w:szCs w:val="24"/>
        </w:rPr>
        <w:instrText xml:space="preserve"> PAGEREF _Toc519693604 \h </w:instrText>
      </w:r>
      <w:r>
        <w:rPr>
          <w:color w:val="auto"/>
          <w:sz w:val="24"/>
          <w:szCs w:val="24"/>
        </w:rPr>
        <w:fldChar w:fldCharType="separate"/>
      </w:r>
      <w:r>
        <w:rPr>
          <w:color w:val="auto"/>
          <w:sz w:val="24"/>
          <w:szCs w:val="24"/>
        </w:rPr>
        <w:t>171</w:t>
      </w:r>
      <w:r>
        <w:rPr>
          <w:color w:val="auto"/>
          <w:sz w:val="24"/>
          <w:szCs w:val="24"/>
        </w:rPr>
        <w:fldChar w:fldCharType="end"/>
      </w:r>
    </w:p>
    <w:p>
      <w:pPr>
        <w:spacing w:line="240" w:lineRule="auto"/>
        <w:rPr>
          <w:rStyle w:val="51"/>
          <w:rFonts w:eastAsiaTheme="minorEastAsia"/>
          <w:b/>
          <w:color w:val="auto"/>
          <w:kern w:val="0"/>
        </w:rPr>
      </w:pPr>
      <w:r>
        <w:rPr>
          <w:rFonts w:eastAsiaTheme="minorEastAsia"/>
          <w:color w:val="auto"/>
          <w:szCs w:val="24"/>
        </w:rPr>
        <w:fldChar w:fldCharType="end"/>
      </w:r>
      <w:r>
        <w:rPr>
          <w:rStyle w:val="51"/>
          <w:rFonts w:eastAsiaTheme="minorEastAsia"/>
          <w:b/>
          <w:color w:val="auto"/>
          <w:kern w:val="0"/>
        </w:rPr>
        <w:t>附表：</w:t>
      </w:r>
    </w:p>
    <w:p>
      <w:pPr>
        <w:spacing w:line="240" w:lineRule="auto"/>
        <w:rPr>
          <w:rFonts w:eastAsiaTheme="minorEastAsia"/>
          <w:color w:val="auto"/>
          <w:szCs w:val="24"/>
        </w:rPr>
      </w:pPr>
      <w:r>
        <w:rPr>
          <w:rFonts w:eastAsiaTheme="minorEastAsia"/>
          <w:color w:val="auto"/>
          <w:szCs w:val="24"/>
        </w:rPr>
        <w:t xml:space="preserve">  </w:t>
      </w:r>
      <w:r>
        <w:rPr>
          <w:rStyle w:val="51"/>
          <w:rFonts w:eastAsiaTheme="minorEastAsia"/>
          <w:color w:val="auto"/>
          <w:kern w:val="0"/>
        </w:rPr>
        <w:t xml:space="preserve"> 项目基础信息登记表</w:t>
      </w:r>
    </w:p>
    <w:p>
      <w:pPr>
        <w:spacing w:line="240" w:lineRule="auto"/>
        <w:rPr>
          <w:rStyle w:val="51"/>
          <w:rFonts w:eastAsiaTheme="minorEastAsia"/>
          <w:b/>
          <w:color w:val="auto"/>
          <w:kern w:val="0"/>
        </w:rPr>
      </w:pPr>
      <w:r>
        <w:rPr>
          <w:rStyle w:val="51"/>
          <w:rFonts w:eastAsiaTheme="minorEastAsia"/>
          <w:b/>
          <w:color w:val="auto"/>
          <w:kern w:val="0"/>
        </w:rPr>
        <w:t>附件：</w:t>
      </w:r>
    </w:p>
    <w:p>
      <w:pPr>
        <w:spacing w:line="312" w:lineRule="auto"/>
        <w:ind w:firstLine="420" w:firstLineChars="200"/>
        <w:rPr>
          <w:rStyle w:val="51"/>
          <w:rFonts w:eastAsiaTheme="minorEastAsia"/>
          <w:color w:val="auto"/>
          <w:kern w:val="0"/>
        </w:rPr>
      </w:pPr>
      <w:r>
        <w:rPr>
          <w:rStyle w:val="51"/>
          <w:rFonts w:eastAsiaTheme="minorEastAsia"/>
          <w:color w:val="auto"/>
          <w:kern w:val="0"/>
        </w:rPr>
        <w:t>附件1营业执照</w:t>
      </w:r>
    </w:p>
    <w:p>
      <w:pPr>
        <w:spacing w:line="312" w:lineRule="auto"/>
        <w:ind w:firstLine="420" w:firstLineChars="200"/>
        <w:rPr>
          <w:rStyle w:val="51"/>
          <w:rFonts w:eastAsiaTheme="minorEastAsia"/>
          <w:color w:val="auto"/>
          <w:kern w:val="0"/>
        </w:rPr>
      </w:pPr>
      <w:r>
        <w:rPr>
          <w:rStyle w:val="51"/>
          <w:rFonts w:eastAsiaTheme="minorEastAsia"/>
          <w:color w:val="auto"/>
          <w:kern w:val="0"/>
        </w:rPr>
        <w:t>附件2采矿许可证</w:t>
      </w:r>
    </w:p>
    <w:p>
      <w:pPr>
        <w:spacing w:line="312" w:lineRule="auto"/>
        <w:ind w:firstLine="420" w:firstLineChars="200"/>
        <w:rPr>
          <w:rStyle w:val="51"/>
          <w:rFonts w:eastAsiaTheme="minorEastAsia"/>
          <w:color w:val="auto"/>
          <w:kern w:val="0"/>
        </w:rPr>
      </w:pPr>
      <w:r>
        <w:rPr>
          <w:rStyle w:val="51"/>
          <w:rFonts w:eastAsiaTheme="minorEastAsia"/>
          <w:color w:val="auto"/>
          <w:kern w:val="0"/>
        </w:rPr>
        <w:t>附件3安全生产许可证</w:t>
      </w:r>
    </w:p>
    <w:p>
      <w:pPr>
        <w:spacing w:line="312" w:lineRule="auto"/>
        <w:ind w:firstLine="420" w:firstLineChars="200"/>
        <w:rPr>
          <w:rStyle w:val="51"/>
          <w:rFonts w:eastAsiaTheme="minorEastAsia"/>
          <w:color w:val="auto"/>
          <w:kern w:val="0"/>
        </w:rPr>
      </w:pPr>
      <w:r>
        <w:rPr>
          <w:rStyle w:val="51"/>
          <w:rFonts w:eastAsiaTheme="minorEastAsia"/>
          <w:color w:val="auto"/>
          <w:kern w:val="0"/>
        </w:rPr>
        <w:t>附件4爆破委托协议</w:t>
      </w:r>
    </w:p>
    <w:p>
      <w:pPr>
        <w:spacing w:line="312" w:lineRule="auto"/>
        <w:ind w:firstLine="420" w:firstLineChars="200"/>
        <w:rPr>
          <w:rStyle w:val="51"/>
          <w:rFonts w:eastAsiaTheme="minorEastAsia"/>
          <w:color w:val="auto"/>
          <w:kern w:val="0"/>
        </w:rPr>
      </w:pPr>
      <w:r>
        <w:rPr>
          <w:rStyle w:val="51"/>
          <w:rFonts w:eastAsiaTheme="minorEastAsia"/>
          <w:color w:val="auto"/>
          <w:kern w:val="0"/>
        </w:rPr>
        <w:t>附件5监测报告</w:t>
      </w:r>
    </w:p>
    <w:p>
      <w:pPr>
        <w:spacing w:line="312" w:lineRule="auto"/>
        <w:ind w:firstLine="420" w:firstLineChars="200"/>
        <w:rPr>
          <w:rStyle w:val="51"/>
          <w:rFonts w:eastAsiaTheme="minorEastAsia"/>
          <w:color w:val="auto"/>
          <w:kern w:val="0"/>
        </w:rPr>
      </w:pPr>
      <w:r>
        <w:rPr>
          <w:rStyle w:val="51"/>
          <w:rFonts w:eastAsiaTheme="minorEastAsia"/>
          <w:color w:val="auto"/>
          <w:kern w:val="0"/>
        </w:rPr>
        <w:t>附件6矿石检测报告</w:t>
      </w:r>
    </w:p>
    <w:p>
      <w:pPr>
        <w:spacing w:line="312" w:lineRule="auto"/>
        <w:ind w:firstLine="420" w:firstLineChars="200"/>
        <w:rPr>
          <w:rStyle w:val="51"/>
          <w:rFonts w:eastAsiaTheme="minorEastAsia"/>
          <w:color w:val="auto"/>
          <w:kern w:val="0"/>
        </w:rPr>
      </w:pPr>
      <w:r>
        <w:rPr>
          <w:rStyle w:val="51"/>
          <w:rFonts w:eastAsiaTheme="minorEastAsia"/>
          <w:color w:val="auto"/>
          <w:kern w:val="0"/>
        </w:rPr>
        <w:t>附件7黑龙江省</w:t>
      </w:r>
      <w:r>
        <w:rPr>
          <w:rStyle w:val="51"/>
          <w:rFonts w:hint="eastAsia" w:eastAsiaTheme="minorEastAsia"/>
          <w:color w:val="auto"/>
          <w:kern w:val="0"/>
          <w:lang w:eastAsia="zh-CN"/>
        </w:rPr>
        <w:t>佳木斯市郊区新华采石场佳华分厂</w:t>
      </w:r>
      <w:r>
        <w:rPr>
          <w:rStyle w:val="51"/>
          <w:rFonts w:eastAsiaTheme="minorEastAsia"/>
          <w:color w:val="auto"/>
          <w:kern w:val="0"/>
        </w:rPr>
        <w:t>二〇一七年储量年度报告评审意见书</w:t>
      </w:r>
    </w:p>
    <w:p>
      <w:pPr>
        <w:spacing w:line="312" w:lineRule="auto"/>
        <w:rPr>
          <w:rStyle w:val="51"/>
          <w:rFonts w:eastAsiaTheme="minorEastAsia"/>
          <w:b/>
          <w:color w:val="auto"/>
          <w:kern w:val="0"/>
        </w:rPr>
      </w:pPr>
      <w:r>
        <w:rPr>
          <w:rStyle w:val="51"/>
          <w:rFonts w:eastAsiaTheme="minorEastAsia"/>
          <w:b/>
          <w:color w:val="auto"/>
          <w:kern w:val="0"/>
        </w:rPr>
        <w:t>附图：</w:t>
      </w:r>
    </w:p>
    <w:p>
      <w:pPr>
        <w:spacing w:line="312" w:lineRule="auto"/>
        <w:ind w:firstLine="420" w:firstLineChars="200"/>
        <w:rPr>
          <w:rStyle w:val="51"/>
          <w:rFonts w:eastAsiaTheme="minorEastAsia"/>
          <w:color w:val="auto"/>
          <w:kern w:val="0"/>
        </w:rPr>
      </w:pPr>
      <w:r>
        <w:rPr>
          <w:rStyle w:val="51"/>
          <w:rFonts w:eastAsiaTheme="minorEastAsia"/>
          <w:color w:val="auto"/>
          <w:kern w:val="0"/>
        </w:rPr>
        <w:t>附图1平面布置图</w:t>
      </w:r>
    </w:p>
    <w:p>
      <w:pPr>
        <w:spacing w:line="312" w:lineRule="auto"/>
        <w:ind w:firstLine="420" w:firstLineChars="200"/>
        <w:rPr>
          <w:rStyle w:val="51"/>
          <w:rFonts w:eastAsiaTheme="minorEastAsia"/>
          <w:color w:val="auto"/>
          <w:kern w:val="0"/>
        </w:rPr>
      </w:pPr>
      <w:r>
        <w:rPr>
          <w:rStyle w:val="51"/>
          <w:rFonts w:eastAsiaTheme="minorEastAsia"/>
          <w:color w:val="auto"/>
          <w:kern w:val="0"/>
        </w:rPr>
        <w:t>附图2全本公示截图</w:t>
      </w:r>
    </w:p>
    <w:p>
      <w:pPr>
        <w:spacing w:line="312" w:lineRule="auto"/>
        <w:ind w:firstLine="420" w:firstLineChars="200"/>
        <w:rPr>
          <w:rStyle w:val="51"/>
          <w:rFonts w:eastAsiaTheme="minorEastAsia"/>
          <w:color w:val="auto"/>
          <w:kern w:val="0"/>
        </w:rPr>
      </w:pPr>
      <w:r>
        <w:rPr>
          <w:rStyle w:val="51"/>
          <w:rFonts w:eastAsiaTheme="minorEastAsia"/>
          <w:color w:val="auto"/>
          <w:kern w:val="0"/>
        </w:rPr>
        <w:t>附图3现场照片</w:t>
      </w:r>
    </w:p>
    <w:p>
      <w:pPr>
        <w:spacing w:line="312" w:lineRule="auto"/>
        <w:rPr>
          <w:rStyle w:val="51"/>
          <w:rFonts w:eastAsiaTheme="minorEastAsia"/>
          <w:color w:val="auto"/>
          <w:kern w:val="0"/>
        </w:rPr>
      </w:pPr>
    </w:p>
    <w:p>
      <w:pPr>
        <w:rPr>
          <w:rFonts w:eastAsiaTheme="minorEastAsia"/>
          <w:color w:val="auto"/>
        </w:rPr>
        <w:sectPr>
          <w:headerReference r:id="rId4" w:type="first"/>
          <w:headerReference r:id="rId3"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upperRoman" w:start="1"/>
          <w:cols w:space="720" w:num="1"/>
          <w:titlePg/>
          <w:docGrid w:type="lines" w:linePitch="326" w:charSpace="0"/>
        </w:sectPr>
      </w:pPr>
    </w:p>
    <w:p>
      <w:pPr>
        <w:pStyle w:val="236"/>
        <w:spacing w:line="360" w:lineRule="auto"/>
        <w:rPr>
          <w:rFonts w:eastAsiaTheme="minorEastAsia"/>
          <w:color w:val="auto"/>
        </w:rPr>
      </w:pPr>
      <w:bookmarkStart w:id="5" w:name="_Toc440973651"/>
      <w:bookmarkStart w:id="6" w:name="_Toc440973385"/>
      <w:bookmarkStart w:id="7" w:name="_Toc519693551"/>
      <w:r>
        <w:rPr>
          <w:rFonts w:eastAsiaTheme="minorEastAsia"/>
          <w:color w:val="auto"/>
        </w:rPr>
        <w:t>1</w:t>
      </w:r>
      <w:bookmarkEnd w:id="5"/>
      <w:bookmarkEnd w:id="6"/>
      <w:r>
        <w:rPr>
          <w:rFonts w:eastAsiaTheme="minorEastAsia"/>
          <w:color w:val="auto"/>
        </w:rPr>
        <w:t>概述</w:t>
      </w:r>
      <w:bookmarkEnd w:id="7"/>
    </w:p>
    <w:p>
      <w:pPr>
        <w:pStyle w:val="238"/>
        <w:spacing w:line="360" w:lineRule="auto"/>
        <w:rPr>
          <w:rFonts w:hAnsi="Times New Roman" w:eastAsiaTheme="minorEastAsia"/>
          <w:color w:val="auto"/>
        </w:rPr>
      </w:pPr>
      <w:bookmarkStart w:id="8" w:name="_Toc519693552"/>
      <w:bookmarkStart w:id="9" w:name="_Toc440973652"/>
      <w:bookmarkStart w:id="10" w:name="_Toc440973386"/>
      <w:r>
        <w:rPr>
          <w:rFonts w:hAnsi="Times New Roman" w:eastAsiaTheme="minorEastAsia"/>
          <w:color w:val="auto"/>
        </w:rPr>
        <w:t>1.1项目由来</w:t>
      </w:r>
      <w:bookmarkEnd w:id="8"/>
      <w:bookmarkEnd w:id="9"/>
      <w:bookmarkEnd w:id="10"/>
    </w:p>
    <w:p>
      <w:pPr>
        <w:pStyle w:val="276"/>
        <w:adjustRightInd w:val="0"/>
        <w:snapToGrid w:val="0"/>
        <w:spacing w:line="360" w:lineRule="auto"/>
        <w:rPr>
          <w:rFonts w:eastAsiaTheme="minorEastAsia"/>
          <w:color w:val="auto"/>
        </w:rPr>
      </w:pPr>
      <w:r>
        <w:rPr>
          <w:rFonts w:eastAsiaTheme="minorEastAsia"/>
          <w:color w:val="auto"/>
        </w:rPr>
        <w:t>随着社会快速进步，城市化建设进度加快，建筑行业迅猛发展，急需要大量的建筑材料，而</w:t>
      </w:r>
      <w:r>
        <w:rPr>
          <w:rFonts w:hint="eastAsia" w:eastAsiaTheme="minorEastAsia"/>
          <w:color w:val="auto"/>
          <w:lang w:eastAsia="zh-CN"/>
        </w:rPr>
        <w:t>佳木斯市</w:t>
      </w:r>
      <w:r>
        <w:rPr>
          <w:rFonts w:eastAsiaTheme="minorEastAsia"/>
          <w:color w:val="auto"/>
        </w:rPr>
        <w:t>境内矿产资源十分丰富。</w:t>
      </w:r>
    </w:p>
    <w:p>
      <w:pPr>
        <w:pStyle w:val="276"/>
        <w:spacing w:line="360" w:lineRule="auto"/>
        <w:rPr>
          <w:rFonts w:eastAsiaTheme="minorEastAsia"/>
          <w:color w:val="auto"/>
        </w:rPr>
      </w:pPr>
      <w:r>
        <w:rPr>
          <w:rFonts w:hint="eastAsia" w:eastAsiaTheme="minorEastAsia"/>
          <w:color w:val="auto"/>
          <w:lang w:eastAsia="zh-CN"/>
        </w:rPr>
        <w:t>佳木斯市郊区佳华石料厂是佳木斯市郊区新华采石场多个矿区其中之一，佳木斯市郊区佳华石料厂多个矿区集体办理一个采矿许可证。</w:t>
      </w:r>
      <w:r>
        <w:rPr>
          <w:rFonts w:eastAsiaTheme="minorEastAsia"/>
          <w:color w:val="auto"/>
        </w:rPr>
        <w:t>该矿</w:t>
      </w:r>
      <w:r>
        <w:rPr>
          <w:rFonts w:hint="eastAsia" w:eastAsiaTheme="minorEastAsia"/>
          <w:color w:val="auto"/>
          <w:lang w:eastAsia="zh-CN"/>
        </w:rPr>
        <w:t>已被开采近</w:t>
      </w:r>
      <w:r>
        <w:rPr>
          <w:rFonts w:hint="eastAsia" w:eastAsiaTheme="minorEastAsia"/>
          <w:color w:val="auto"/>
          <w:lang w:val="en-US" w:eastAsia="zh-CN"/>
        </w:rPr>
        <w:t>20年，</w:t>
      </w:r>
      <w:r>
        <w:rPr>
          <w:rFonts w:eastAsiaTheme="minorEastAsia"/>
          <w:color w:val="auto"/>
        </w:rPr>
        <w:t>矿山露天形式开采</w:t>
      </w:r>
      <w:r>
        <w:rPr>
          <w:rFonts w:hint="eastAsia" w:eastAsiaTheme="minorEastAsia"/>
          <w:color w:val="auto"/>
          <w:lang w:eastAsia="zh-CN"/>
        </w:rPr>
        <w:t>。</w:t>
      </w:r>
      <w:r>
        <w:rPr>
          <w:rFonts w:hint="eastAsia" w:eastAsiaTheme="minorEastAsia"/>
          <w:color w:val="auto"/>
          <w:lang w:val="en-US" w:eastAsia="zh-CN"/>
        </w:rPr>
        <w:t>2016年11月，</w:t>
      </w:r>
      <w:r>
        <w:rPr>
          <w:rFonts w:hint="eastAsia" w:eastAsiaTheme="minorEastAsia"/>
          <w:color w:val="auto"/>
          <w:lang w:eastAsia="zh-CN"/>
        </w:rPr>
        <w:t>佳木斯市郊区佳华石料厂做了《建设项目污染现状评估报告》，年产建筑用花岗岩</w:t>
      </w:r>
      <w:r>
        <w:rPr>
          <w:rFonts w:hint="eastAsia" w:eastAsiaTheme="minorEastAsia"/>
          <w:color w:val="auto"/>
          <w:lang w:val="en-US" w:eastAsia="zh-CN"/>
        </w:rPr>
        <w:t>3万立方米，</w:t>
      </w:r>
      <w:r>
        <w:rPr>
          <w:rFonts w:hint="eastAsia" w:eastAsiaTheme="minorEastAsia"/>
          <w:color w:val="auto"/>
          <w:lang w:eastAsia="zh-CN"/>
        </w:rPr>
        <w:t>由于采矿许可证已于</w:t>
      </w:r>
      <w:r>
        <w:rPr>
          <w:rFonts w:hint="eastAsia" w:eastAsiaTheme="minorEastAsia"/>
          <w:color w:val="auto"/>
          <w:lang w:val="en-US" w:eastAsia="zh-CN"/>
        </w:rPr>
        <w:t>2017年9月</w:t>
      </w:r>
      <w:r>
        <w:rPr>
          <w:rFonts w:hint="eastAsia" w:eastAsiaTheme="minorEastAsia"/>
          <w:color w:val="auto"/>
          <w:lang w:eastAsia="zh-CN"/>
        </w:rPr>
        <w:t>到期，目前处于停产状态，现正在办理新的采矿许可证，本次属扩建工程，但不新增用地，在原有矿山开采范围基础上继续向下深挖，工业场地和开采区均利旧，占地类型仍为采矿用地。</w:t>
      </w:r>
      <w:r>
        <w:rPr>
          <w:rFonts w:eastAsiaTheme="minorEastAsia"/>
          <w:color w:val="auto"/>
        </w:rPr>
        <w:t>经资源量估算，截止到20</w:t>
      </w:r>
      <w:r>
        <w:rPr>
          <w:rFonts w:hint="eastAsia" w:eastAsiaTheme="minorEastAsia"/>
          <w:color w:val="auto"/>
        </w:rPr>
        <w:t>18</w:t>
      </w:r>
      <w:r>
        <w:rPr>
          <w:rFonts w:eastAsiaTheme="minorEastAsia"/>
          <w:color w:val="auto"/>
        </w:rPr>
        <w:t>年</w:t>
      </w:r>
      <w:r>
        <w:rPr>
          <w:rFonts w:hint="eastAsia" w:eastAsiaTheme="minorEastAsia"/>
          <w:color w:val="auto"/>
        </w:rPr>
        <w:t>10</w:t>
      </w:r>
      <w:r>
        <w:rPr>
          <w:rFonts w:eastAsiaTheme="minorEastAsia"/>
          <w:color w:val="auto"/>
        </w:rPr>
        <w:t>月，</w:t>
      </w:r>
      <w:r>
        <w:rPr>
          <w:rFonts w:hint="eastAsia" w:eastAsiaTheme="minorEastAsia"/>
          <w:color w:val="auto"/>
        </w:rPr>
        <w:t>拟采矿区</w:t>
      </w:r>
      <w:r>
        <w:rPr>
          <w:rFonts w:eastAsiaTheme="minorEastAsia"/>
          <w:color w:val="auto"/>
        </w:rPr>
        <w:t>范围内该矿的资源量为：推断的内蕴经济资源量为</w:t>
      </w:r>
      <w:r>
        <w:rPr>
          <w:rFonts w:hint="eastAsia" w:eastAsiaTheme="minorEastAsia"/>
          <w:color w:val="auto"/>
        </w:rPr>
        <w:t>279810</w:t>
      </w:r>
      <w:r>
        <w:rPr>
          <w:rFonts w:eastAsiaTheme="minorEastAsia"/>
          <w:color w:val="auto"/>
        </w:rPr>
        <w:t>立方米，综合剥采比0.</w:t>
      </w:r>
      <w:r>
        <w:rPr>
          <w:rFonts w:hint="eastAsia" w:eastAsiaTheme="minorEastAsia"/>
          <w:color w:val="auto"/>
        </w:rPr>
        <w:t>03：</w:t>
      </w:r>
      <w:r>
        <w:rPr>
          <w:rFonts w:eastAsiaTheme="minorEastAsia"/>
          <w:color w:val="auto"/>
        </w:rPr>
        <w:t>1</w:t>
      </w:r>
      <w:r>
        <w:rPr>
          <w:rFonts w:hint="eastAsia" w:eastAsiaTheme="minorEastAsia"/>
          <w:color w:val="auto"/>
          <w:lang w:eastAsia="zh-CN"/>
        </w:rPr>
        <w:t>，则</w:t>
      </w:r>
      <w:r>
        <w:rPr>
          <w:rFonts w:eastAsiaTheme="minorEastAsia"/>
          <w:color w:val="auto"/>
        </w:rPr>
        <w:t>该矿区内保有储量为</w:t>
      </w:r>
      <w:r>
        <w:rPr>
          <w:rFonts w:hint="eastAsia" w:eastAsiaTheme="minorEastAsia"/>
          <w:color w:val="auto"/>
        </w:rPr>
        <w:t>270365</w:t>
      </w:r>
      <w:r>
        <w:rPr>
          <w:rFonts w:eastAsiaTheme="minorEastAsia"/>
          <w:color w:val="auto"/>
        </w:rPr>
        <w:t>立方米。</w:t>
      </w:r>
      <w:r>
        <w:rPr>
          <w:rFonts w:hint="eastAsia" w:eastAsiaTheme="minorEastAsia"/>
          <w:color w:val="auto"/>
          <w:lang w:eastAsia="zh-CN"/>
        </w:rPr>
        <w:t>佳木斯市郊区佳华石料厂</w:t>
      </w:r>
      <w:r>
        <w:rPr>
          <w:rFonts w:hint="eastAsia" w:eastAsiaTheme="minorEastAsia"/>
          <w:color w:val="auto"/>
        </w:rPr>
        <w:t>于2018年</w:t>
      </w:r>
      <w:r>
        <w:rPr>
          <w:rFonts w:hint="eastAsia" w:eastAsiaTheme="minorEastAsia"/>
          <w:color w:val="auto"/>
          <w:lang w:val="en-US" w:eastAsia="zh-CN"/>
        </w:rPr>
        <w:t>11</w:t>
      </w:r>
      <w:r>
        <w:rPr>
          <w:rFonts w:hint="eastAsia" w:eastAsiaTheme="minorEastAsia"/>
          <w:color w:val="auto"/>
        </w:rPr>
        <w:t>月</w:t>
      </w:r>
      <w:r>
        <w:rPr>
          <w:rFonts w:hint="eastAsia" w:eastAsiaTheme="minorEastAsia"/>
          <w:color w:val="auto"/>
          <w:lang w:val="en-US" w:eastAsia="zh-CN"/>
        </w:rPr>
        <w:t>1</w:t>
      </w:r>
      <w:r>
        <w:rPr>
          <w:rFonts w:hint="eastAsia" w:eastAsiaTheme="minorEastAsia"/>
          <w:color w:val="auto"/>
        </w:rPr>
        <w:t>日</w:t>
      </w:r>
      <w:r>
        <w:rPr>
          <w:rFonts w:eastAsiaTheme="minorEastAsia"/>
          <w:color w:val="auto"/>
        </w:rPr>
        <w:t>委托</w:t>
      </w:r>
      <w:r>
        <w:rPr>
          <w:rFonts w:hint="eastAsia" w:eastAsiaTheme="minorEastAsia"/>
          <w:color w:val="auto"/>
          <w:lang w:eastAsia="zh-CN"/>
        </w:rPr>
        <w:t>兴业环保股份有限公司</w:t>
      </w:r>
      <w:r>
        <w:rPr>
          <w:rFonts w:eastAsiaTheme="minorEastAsia"/>
          <w:color w:val="auto"/>
        </w:rPr>
        <w:t>开展本项目的环境影响评价工作</w:t>
      </w:r>
      <w:r>
        <w:rPr>
          <w:rFonts w:hint="eastAsia" w:eastAsiaTheme="minorEastAsia"/>
          <w:color w:val="auto"/>
        </w:rPr>
        <w:t>。</w:t>
      </w:r>
    </w:p>
    <w:p>
      <w:pPr>
        <w:pStyle w:val="276"/>
        <w:spacing w:line="360" w:lineRule="auto"/>
        <w:rPr>
          <w:rFonts w:eastAsiaTheme="minorEastAsia"/>
          <w:color w:val="auto"/>
        </w:rPr>
      </w:pPr>
      <w:r>
        <w:rPr>
          <w:rFonts w:hint="eastAsia" w:eastAsiaTheme="minorEastAsia"/>
          <w:color w:val="auto"/>
          <w:lang w:eastAsia="zh-CN"/>
        </w:rPr>
        <w:t>佳木斯市郊区新华采石场委托黑龙江省第六地质勘察院于</w:t>
      </w:r>
      <w:r>
        <w:rPr>
          <w:rFonts w:eastAsiaTheme="minorEastAsia"/>
          <w:color w:val="auto"/>
        </w:rPr>
        <w:t>201</w:t>
      </w:r>
      <w:r>
        <w:rPr>
          <w:rFonts w:hint="eastAsia" w:eastAsiaTheme="minorEastAsia"/>
          <w:color w:val="auto"/>
          <w:lang w:val="en-US" w:eastAsia="zh-CN"/>
        </w:rPr>
        <w:t>8</w:t>
      </w:r>
      <w:r>
        <w:rPr>
          <w:rFonts w:eastAsiaTheme="minorEastAsia"/>
          <w:color w:val="auto"/>
        </w:rPr>
        <w:t>年</w:t>
      </w:r>
      <w:r>
        <w:rPr>
          <w:rFonts w:hint="eastAsia" w:eastAsiaTheme="minorEastAsia"/>
          <w:color w:val="auto"/>
          <w:lang w:val="en-US" w:eastAsia="zh-CN"/>
        </w:rPr>
        <w:t>10</w:t>
      </w:r>
      <w:r>
        <w:rPr>
          <w:rFonts w:eastAsiaTheme="minorEastAsia"/>
          <w:color w:val="auto"/>
        </w:rPr>
        <w:t>月编制</w:t>
      </w:r>
      <w:r>
        <w:rPr>
          <w:rFonts w:hint="eastAsia" w:eastAsiaTheme="minorEastAsia"/>
          <w:color w:val="auto"/>
          <w:lang w:eastAsia="zh-CN"/>
        </w:rPr>
        <w:t>了</w:t>
      </w:r>
      <w:r>
        <w:rPr>
          <w:rFonts w:eastAsiaTheme="minorEastAsia"/>
          <w:color w:val="auto"/>
        </w:rPr>
        <w:t>《</w:t>
      </w:r>
      <w:r>
        <w:rPr>
          <w:rFonts w:hint="eastAsia" w:eastAsiaTheme="minorEastAsia"/>
          <w:color w:val="auto"/>
          <w:lang w:eastAsia="zh-CN"/>
        </w:rPr>
        <w:t>佳木斯市郊区新华采石场</w:t>
      </w:r>
      <w:r>
        <w:rPr>
          <w:rFonts w:eastAsiaTheme="minorEastAsia"/>
          <w:color w:val="auto"/>
        </w:rPr>
        <w:t>资源储量</w:t>
      </w:r>
      <w:r>
        <w:rPr>
          <w:rFonts w:hint="eastAsia" w:eastAsiaTheme="minorEastAsia"/>
          <w:color w:val="auto"/>
          <w:lang w:eastAsia="zh-CN"/>
        </w:rPr>
        <w:t>核实</w:t>
      </w:r>
      <w:r>
        <w:rPr>
          <w:rFonts w:eastAsiaTheme="minorEastAsia"/>
          <w:color w:val="auto"/>
        </w:rPr>
        <w:t>报告》</w:t>
      </w:r>
      <w:r>
        <w:rPr>
          <w:rFonts w:hint="eastAsia" w:eastAsiaTheme="minorEastAsia"/>
          <w:color w:val="auto"/>
          <w:lang w:eastAsia="zh-CN"/>
        </w:rPr>
        <w:t>（含佳华分厂）及</w:t>
      </w:r>
      <w:r>
        <w:rPr>
          <w:rFonts w:eastAsiaTheme="minorEastAsia"/>
          <w:color w:val="auto"/>
        </w:rPr>
        <w:t>《</w:t>
      </w:r>
      <w:r>
        <w:rPr>
          <w:rFonts w:hint="eastAsia" w:eastAsiaTheme="minorEastAsia"/>
          <w:color w:val="auto"/>
          <w:lang w:eastAsia="zh-CN"/>
        </w:rPr>
        <w:t>佳木斯市郊区新华采石场</w:t>
      </w:r>
      <w:r>
        <w:rPr>
          <w:rFonts w:eastAsiaTheme="minorEastAsia"/>
          <w:color w:val="auto"/>
        </w:rPr>
        <w:t>矿产资源开发利用方案》</w:t>
      </w:r>
      <w:r>
        <w:rPr>
          <w:rFonts w:hint="eastAsia" w:eastAsiaTheme="minorEastAsia"/>
          <w:color w:val="auto"/>
          <w:lang w:eastAsia="zh-CN"/>
        </w:rPr>
        <w:t>（含佳华分厂）</w:t>
      </w:r>
      <w:r>
        <w:rPr>
          <w:rFonts w:eastAsiaTheme="minorEastAsia"/>
          <w:color w:val="auto"/>
        </w:rPr>
        <w:t>，据此展开环境影响评价工作。</w:t>
      </w:r>
    </w:p>
    <w:p>
      <w:pPr>
        <w:spacing w:line="360" w:lineRule="auto"/>
        <w:ind w:firstLine="480" w:firstLineChars="200"/>
        <w:rPr>
          <w:rFonts w:eastAsiaTheme="minorEastAsia"/>
          <w:color w:val="auto"/>
          <w:kern w:val="0"/>
          <w:sz w:val="28"/>
          <w:szCs w:val="28"/>
        </w:rPr>
      </w:pPr>
      <w:r>
        <w:rPr>
          <w:rFonts w:hint="eastAsia" w:eastAsiaTheme="minorEastAsia"/>
          <w:color w:val="auto"/>
          <w:lang w:eastAsia="zh-CN"/>
        </w:rPr>
        <w:t>本项目位于佳木斯市郊区沿江乡新华村南约450m处，本次扩建工程开采规模为</w:t>
      </w:r>
      <w:r>
        <w:rPr>
          <w:rFonts w:hint="eastAsia" w:eastAsiaTheme="minorEastAsia"/>
          <w:color w:val="auto"/>
          <w:lang w:val="en-US" w:eastAsia="zh-CN"/>
        </w:rPr>
        <w:t>3万立方米/年，开采规模</w:t>
      </w:r>
      <w:r>
        <w:rPr>
          <w:rFonts w:hint="eastAsia" w:eastAsiaTheme="minorEastAsia"/>
          <w:color w:val="auto"/>
          <w:lang w:eastAsia="zh-CN"/>
        </w:rPr>
        <w:t>较小，不新增用地，在原有矿山开采范围基础上继续向下深挖，由于矿山已开采多年，矿山表面已无表土，岩石外露，因此，不设置表土</w:t>
      </w:r>
      <w:r>
        <w:rPr>
          <w:rFonts w:eastAsiaTheme="minorEastAsia"/>
          <w:color w:val="auto"/>
        </w:rPr>
        <w:t>暂存</w:t>
      </w:r>
      <w:r>
        <w:rPr>
          <w:rFonts w:hint="eastAsia" w:eastAsiaTheme="minorEastAsia"/>
          <w:color w:val="auto"/>
          <w:lang w:eastAsia="zh-CN"/>
        </w:rPr>
        <w:t>场。</w:t>
      </w:r>
    </w:p>
    <w:p>
      <w:pPr>
        <w:pStyle w:val="276"/>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eastAsiaTheme="minorEastAsia"/>
          <w:color w:val="auto"/>
        </w:rPr>
      </w:pPr>
      <w:r>
        <w:rPr>
          <w:rFonts w:eastAsiaTheme="minorEastAsia"/>
          <w:color w:val="auto"/>
        </w:rPr>
        <w:t>本项目由露天开采区、工业场地、运输道路、临时堆土场等组成。本项目矿区内矿体为安山岩，项目爆破次数约为每年20次。本项目总占地面积</w:t>
      </w:r>
      <w:r>
        <w:rPr>
          <w:rFonts w:hint="eastAsia" w:eastAsiaTheme="minorEastAsia"/>
          <w:color w:val="auto"/>
          <w:lang w:eastAsia="zh-CN"/>
        </w:rPr>
        <w:t>0.014185</w:t>
      </w:r>
      <w:r>
        <w:rPr>
          <w:rFonts w:eastAsiaTheme="minorEastAsia"/>
          <w:color w:val="auto"/>
        </w:rPr>
        <w:t>km</w:t>
      </w:r>
      <w:r>
        <w:rPr>
          <w:rFonts w:eastAsiaTheme="minorEastAsia"/>
          <w:color w:val="auto"/>
          <w:vertAlign w:val="superscript"/>
        </w:rPr>
        <w:t>2</w:t>
      </w:r>
      <w:r>
        <w:rPr>
          <w:rFonts w:eastAsiaTheme="minorEastAsia"/>
          <w:color w:val="auto"/>
        </w:rPr>
        <w:t xml:space="preserve">，其中开采区面积 </w:t>
      </w:r>
      <w:r>
        <w:rPr>
          <w:rFonts w:hint="eastAsia" w:eastAsiaTheme="minorEastAsia"/>
          <w:color w:val="auto"/>
          <w:lang w:eastAsia="zh-CN"/>
        </w:rPr>
        <w:t>0.003555</w:t>
      </w:r>
      <w:r>
        <w:rPr>
          <w:rFonts w:eastAsiaTheme="minorEastAsia"/>
          <w:color w:val="auto"/>
        </w:rPr>
        <w:t>km</w:t>
      </w:r>
      <w:r>
        <w:rPr>
          <w:rFonts w:eastAsiaTheme="minorEastAsia"/>
          <w:color w:val="auto"/>
          <w:vertAlign w:val="superscript"/>
        </w:rPr>
        <w:t>2</w:t>
      </w:r>
      <w:r>
        <w:rPr>
          <w:rFonts w:eastAsiaTheme="minorEastAsia"/>
          <w:color w:val="auto"/>
        </w:rPr>
        <w:t>，开采深度</w:t>
      </w:r>
      <w:r>
        <w:rPr>
          <w:rFonts w:hint="eastAsia" w:eastAsiaTheme="minorEastAsia"/>
          <w:color w:val="auto"/>
          <w:lang w:eastAsia="zh-CN"/>
        </w:rPr>
        <w:t>121m-107m</w:t>
      </w:r>
      <w:r>
        <w:rPr>
          <w:rFonts w:eastAsiaTheme="minorEastAsia"/>
          <w:color w:val="auto"/>
        </w:rPr>
        <w:t>m。可采储量</w:t>
      </w:r>
      <w:r>
        <w:rPr>
          <w:rFonts w:hint="eastAsia" w:eastAsiaTheme="minorEastAsia"/>
          <w:color w:val="auto"/>
          <w:lang w:val="en-US" w:eastAsia="zh-CN"/>
        </w:rPr>
        <w:t>90122</w:t>
      </w:r>
      <w:r>
        <w:rPr>
          <w:rFonts w:eastAsiaTheme="minorEastAsia"/>
          <w:color w:val="auto"/>
        </w:rPr>
        <w:t>m</w:t>
      </w:r>
      <w:r>
        <w:rPr>
          <w:rFonts w:eastAsiaTheme="minorEastAsia"/>
          <w:color w:val="auto"/>
          <w:vertAlign w:val="superscript"/>
        </w:rPr>
        <w:t>3</w:t>
      </w:r>
      <w:r>
        <w:rPr>
          <w:rFonts w:eastAsiaTheme="minorEastAsia"/>
          <w:color w:val="auto"/>
        </w:rPr>
        <w:t>/a</w:t>
      </w:r>
      <w:r>
        <w:rPr>
          <w:rFonts w:hint="eastAsia" w:eastAsiaTheme="minorEastAsia"/>
          <w:color w:val="auto"/>
          <w:lang w:eastAsia="zh-CN"/>
        </w:rPr>
        <w:t>，</w:t>
      </w:r>
      <w:r>
        <w:rPr>
          <w:rFonts w:eastAsiaTheme="minorEastAsia"/>
          <w:color w:val="auto"/>
        </w:rPr>
        <w:t>矿山建筑用碎石生产能力</w:t>
      </w:r>
      <w:r>
        <w:rPr>
          <w:rFonts w:hint="eastAsia" w:eastAsiaTheme="minorEastAsia"/>
          <w:color w:val="auto"/>
          <w:lang w:val="en-US" w:eastAsia="zh-CN"/>
        </w:rPr>
        <w:t>3</w:t>
      </w:r>
      <w:r>
        <w:rPr>
          <w:rFonts w:eastAsiaTheme="minorEastAsia"/>
          <w:color w:val="auto"/>
        </w:rPr>
        <w:t>万m</w:t>
      </w:r>
      <w:r>
        <w:rPr>
          <w:rFonts w:eastAsiaTheme="minorEastAsia"/>
          <w:color w:val="auto"/>
          <w:vertAlign w:val="superscript"/>
        </w:rPr>
        <w:t>3</w:t>
      </w:r>
      <w:r>
        <w:rPr>
          <w:rFonts w:eastAsiaTheme="minorEastAsia"/>
          <w:color w:val="auto"/>
        </w:rPr>
        <w:t>/a，矿山服务年限为</w:t>
      </w:r>
      <w:r>
        <w:rPr>
          <w:rFonts w:hint="eastAsia" w:eastAsiaTheme="minorEastAsia"/>
          <w:color w:val="auto"/>
          <w:lang w:eastAsia="zh-CN"/>
        </w:rPr>
        <w:t>3年</w:t>
      </w:r>
      <w:r>
        <w:rPr>
          <w:rFonts w:eastAsiaTheme="minorEastAsia"/>
          <w:color w:val="auto"/>
        </w:rPr>
        <w:t>。</w:t>
      </w:r>
    </w:p>
    <w:p>
      <w:pPr>
        <w:pStyle w:val="276"/>
        <w:rPr>
          <w:rFonts w:eastAsiaTheme="minorEastAsia"/>
          <w:color w:val="auto"/>
        </w:rPr>
      </w:pPr>
      <w:r>
        <w:rPr>
          <w:rFonts w:eastAsiaTheme="minorEastAsia"/>
          <w:color w:val="auto"/>
        </w:rPr>
        <w:t>根据国家环保相关法律、法规的规定和要求，</w:t>
      </w:r>
      <w:r>
        <w:rPr>
          <w:rFonts w:hint="eastAsia" w:eastAsiaTheme="minorEastAsia"/>
          <w:color w:val="auto"/>
          <w:lang w:eastAsia="zh-CN"/>
        </w:rPr>
        <w:t>佳木斯市郊区佳华石料厂</w:t>
      </w:r>
      <w:r>
        <w:rPr>
          <w:rFonts w:eastAsiaTheme="minorEastAsia"/>
          <w:color w:val="auto"/>
        </w:rPr>
        <w:t>委托</w:t>
      </w:r>
      <w:r>
        <w:rPr>
          <w:rFonts w:hint="eastAsia" w:eastAsiaTheme="minorEastAsia"/>
          <w:color w:val="auto"/>
          <w:lang w:eastAsia="zh-CN"/>
        </w:rPr>
        <w:t>兴业环保股份有限公司</w:t>
      </w:r>
      <w:r>
        <w:rPr>
          <w:rFonts w:eastAsiaTheme="minorEastAsia"/>
          <w:color w:val="auto"/>
        </w:rPr>
        <w:t>开展本项目的环境影响评价工作，根据《中华人民共和国环境保护法》、《中华人民共和国环境影响评价法》及《建设项目环境保护管理条例》等有关规定，评价单位组成了课题组，课题组评价人员对现场进行了实地踏查并收集了相关资料，经工程分析、环境影响识别等工作，按照环境影响评价导则以及国家、地方的有关环境保护法律、法规的规定，制定了环境影响评价工作方案，编制出该工程的环境影响报告书，现提交主管部门审查。</w:t>
      </w:r>
      <w:bookmarkStart w:id="11" w:name="_Toc440973653"/>
      <w:bookmarkStart w:id="12" w:name="_Toc440973387"/>
      <w:bookmarkStart w:id="13" w:name="_Toc436406177"/>
    </w:p>
    <w:p>
      <w:pPr>
        <w:pStyle w:val="238"/>
        <w:rPr>
          <w:rFonts w:hAnsi="Times New Roman" w:eastAsiaTheme="minorEastAsia"/>
          <w:color w:val="auto"/>
        </w:rPr>
      </w:pPr>
      <w:bookmarkStart w:id="14" w:name="_Toc519693553"/>
      <w:r>
        <w:rPr>
          <w:rFonts w:hAnsi="Times New Roman" w:eastAsiaTheme="minorEastAsia"/>
          <w:color w:val="auto"/>
        </w:rPr>
        <w:t>1.2项目特点</w:t>
      </w:r>
      <w:bookmarkEnd w:id="11"/>
      <w:bookmarkEnd w:id="12"/>
      <w:bookmarkEnd w:id="13"/>
      <w:bookmarkEnd w:id="14"/>
    </w:p>
    <w:p>
      <w:pPr>
        <w:pStyle w:val="276"/>
        <w:rPr>
          <w:rFonts w:eastAsiaTheme="minorEastAsia"/>
          <w:color w:val="auto"/>
        </w:rPr>
      </w:pPr>
      <w:bookmarkStart w:id="15" w:name="_Toc419293696"/>
      <w:bookmarkStart w:id="16" w:name="_Toc348953398"/>
      <w:bookmarkStart w:id="17" w:name="_Toc436406178"/>
      <w:bookmarkStart w:id="18" w:name="_Toc426720435"/>
      <w:bookmarkStart w:id="19" w:name="_Toc404936831"/>
      <w:r>
        <w:rPr>
          <w:rFonts w:eastAsiaTheme="minorEastAsia"/>
          <w:color w:val="auto"/>
        </w:rPr>
        <w:t>本项目矿山爆破、剥采、集堆铲装、土岩堆存和道路运输过程均会产生粉尘，对操作人员及周围环境有一定影响。本项目运营期，</w:t>
      </w:r>
      <w:r>
        <w:rPr>
          <w:rFonts w:hint="eastAsia" w:eastAsiaTheme="minorEastAsia"/>
          <w:color w:val="auto"/>
          <w:lang w:eastAsia="zh-CN"/>
        </w:rPr>
        <w:t>矿体</w:t>
      </w:r>
      <w:r>
        <w:rPr>
          <w:rFonts w:eastAsiaTheme="minorEastAsia"/>
          <w:color w:val="auto"/>
        </w:rPr>
        <w:t>开采和剥离废土石堆存过程中，可能造成矿区及临时堆土场边坡失稳，在降雨冲刷等外力作用下，造成露天采区、临时堆土场发生水土流失，本项目位于</w:t>
      </w:r>
      <w:r>
        <w:rPr>
          <w:rFonts w:hint="eastAsia" w:eastAsiaTheme="minorEastAsia"/>
          <w:color w:val="auto"/>
          <w:lang w:eastAsia="zh-CN"/>
        </w:rPr>
        <w:t>佳木斯市郊区沿江乡新华村南约450m处</w:t>
      </w:r>
      <w:r>
        <w:rPr>
          <w:rFonts w:eastAsiaTheme="minorEastAsia"/>
          <w:color w:val="auto"/>
        </w:rPr>
        <w:t>，与项目厂界距离最近环境敏感点的距离</w:t>
      </w:r>
      <w:r>
        <w:rPr>
          <w:rFonts w:hint="eastAsia" w:eastAsiaTheme="minorEastAsia"/>
          <w:color w:val="auto"/>
          <w:lang w:eastAsia="zh-CN"/>
        </w:rPr>
        <w:t>450m</w:t>
      </w:r>
      <w:r>
        <w:rPr>
          <w:rFonts w:eastAsiaTheme="minorEastAsia"/>
          <w:color w:val="auto"/>
        </w:rPr>
        <w:t>，本项目的建设不会对周围环境造成较大环境影响。</w:t>
      </w:r>
    </w:p>
    <w:p>
      <w:pPr>
        <w:pStyle w:val="238"/>
        <w:rPr>
          <w:rFonts w:hAnsi="Times New Roman" w:eastAsiaTheme="minorEastAsia"/>
          <w:color w:val="auto"/>
        </w:rPr>
      </w:pPr>
      <w:bookmarkStart w:id="20" w:name="_Toc519693554"/>
      <w:r>
        <w:rPr>
          <w:rFonts w:hAnsi="Times New Roman" w:eastAsiaTheme="minorEastAsia"/>
          <w:color w:val="auto"/>
        </w:rPr>
        <w:t>1.3评价工作过程</w:t>
      </w:r>
      <w:bookmarkEnd w:id="20"/>
    </w:p>
    <w:p>
      <w:pPr>
        <w:pStyle w:val="276"/>
        <w:rPr>
          <w:rFonts w:eastAsiaTheme="minorEastAsia"/>
          <w:color w:val="auto"/>
        </w:rPr>
      </w:pPr>
      <w:r>
        <w:rPr>
          <w:rFonts w:eastAsiaTheme="minorEastAsia"/>
          <w:color w:val="auto"/>
        </w:rPr>
        <w:t>根据《中华人民共和国环境保护法》、《中华人民共和国环境影响评价法》、《建设项目环境保护管理条例》等有关规定，</w:t>
      </w:r>
      <w:r>
        <w:rPr>
          <w:rFonts w:hint="eastAsia" w:eastAsiaTheme="minorEastAsia"/>
          <w:color w:val="auto"/>
          <w:lang w:eastAsia="zh-CN"/>
        </w:rPr>
        <w:t>佳木斯市郊区佳华石料厂</w:t>
      </w:r>
      <w:r>
        <w:rPr>
          <w:rFonts w:eastAsiaTheme="minorEastAsia"/>
          <w:color w:val="auto"/>
        </w:rPr>
        <w:t>委托</w:t>
      </w:r>
      <w:r>
        <w:rPr>
          <w:rFonts w:hint="eastAsia" w:eastAsiaTheme="minorEastAsia"/>
          <w:color w:val="auto"/>
          <w:lang w:eastAsia="zh-CN"/>
        </w:rPr>
        <w:t>兴业环保股份有限公司</w:t>
      </w:r>
      <w:r>
        <w:rPr>
          <w:rFonts w:eastAsiaTheme="minorEastAsia"/>
          <w:color w:val="auto"/>
        </w:rPr>
        <w:t>承担该项目的环境影响评价工作。</w:t>
      </w:r>
    </w:p>
    <w:p>
      <w:pPr>
        <w:pStyle w:val="276"/>
        <w:rPr>
          <w:rFonts w:eastAsiaTheme="minorEastAsia"/>
          <w:color w:val="auto"/>
        </w:rPr>
      </w:pPr>
      <w:r>
        <w:rPr>
          <w:rFonts w:eastAsiaTheme="minorEastAsia"/>
          <w:color w:val="auto"/>
        </w:rPr>
        <w:t>我单位签订环评合同后根据建设单位提供的资料，首先从本项目选址、规模、性质、工艺路线等方面进行了初步分析，其次分析了本项目的建设与国家和地方有关环境保护法律法规、标准、政策、规范、相关规划的符合性，根据生态保护红线可知，本项目占用矿山不在生态保护红线划定范围内，采取防治措施后，各污染物均能达标排放，符合环境质量底线、资源利用上线、环境准入负面清单，作为开展环境影响评价工作的前提和基础。</w:t>
      </w:r>
    </w:p>
    <w:p>
      <w:pPr>
        <w:pStyle w:val="276"/>
        <w:rPr>
          <w:rFonts w:eastAsiaTheme="minorEastAsia"/>
          <w:color w:val="auto"/>
        </w:rPr>
      </w:pPr>
      <w:r>
        <w:rPr>
          <w:rFonts w:eastAsiaTheme="minorEastAsia"/>
          <w:color w:val="auto"/>
        </w:rPr>
        <w:t>依据《建设项目环境影响评价技术导则  总纲》（HJ2.1-2016）要求，本次环评工作分为三个阶段进行，即调查分析和工作方案制定阶段、分析论证和预测评价阶段、环境报告书（表）编制阶段。</w:t>
      </w:r>
    </w:p>
    <w:p>
      <w:pPr>
        <w:pStyle w:val="276"/>
        <w:rPr>
          <w:rFonts w:eastAsiaTheme="minorEastAsia"/>
          <w:color w:val="auto"/>
        </w:rPr>
      </w:pPr>
      <w:r>
        <w:rPr>
          <w:rFonts w:eastAsiaTheme="minorEastAsia"/>
          <w:color w:val="auto"/>
        </w:rPr>
        <w:t>一、</w:t>
      </w:r>
      <w:r>
        <w:rPr>
          <w:rFonts w:eastAsiaTheme="minorEastAsia"/>
          <w:color w:val="auto"/>
        </w:rPr>
        <w:t>根据环境保护部令44号《建设项目环境影响评价分类管理名录》（2017年9月1日）及生态环境部令第1号关于修改《建设项目环境影响评价分类管理名录》部分内容的决定，</w:t>
      </w:r>
      <w:r>
        <w:rPr>
          <w:rFonts w:eastAsiaTheme="minorEastAsia"/>
          <w:color w:val="auto"/>
        </w:rPr>
        <w:t>本</w:t>
      </w:r>
      <w:r>
        <w:rPr>
          <w:rFonts w:eastAsiaTheme="minorEastAsia"/>
          <w:color w:val="auto"/>
        </w:rPr>
        <w:t>项目属于“四十五、非金属矿采选业”中“137土砂石、石材开采加工；根据《黑龙江省水土保持规划（2015-2030 年）》，本项目属于</w:t>
      </w:r>
      <w:r>
        <w:rPr>
          <w:rFonts w:hint="eastAsia" w:eastAsiaTheme="minorEastAsia"/>
          <w:color w:val="auto"/>
          <w:lang w:eastAsia="zh-CN"/>
        </w:rPr>
        <w:t>东南部山地丘陵水质维护保土区</w:t>
      </w:r>
      <w:r>
        <w:rPr>
          <w:rFonts w:eastAsiaTheme="minorEastAsia"/>
          <w:color w:val="auto"/>
        </w:rPr>
        <w:t>，为</w:t>
      </w:r>
      <w:r>
        <w:rPr>
          <w:rFonts w:hint="eastAsia" w:eastAsiaTheme="minorEastAsia"/>
          <w:color w:val="auto"/>
          <w:lang w:eastAsia="zh-CN"/>
        </w:rPr>
        <w:t>国家级重点治理区</w:t>
      </w:r>
      <w:r>
        <w:rPr>
          <w:rFonts w:eastAsiaTheme="minorEastAsia"/>
          <w:color w:val="auto"/>
        </w:rPr>
        <w:t>，依据《建设项目环境影响评价分类管理名录》涉及环境敏感区，需编制环境影响报告书。根据《中华人民共和国环境保护法》、《中华人民共和国环境影响评价法》、《建设项目环境保护管理条例》以及《建设项目环境影响评价分类管理名录》的有关规定，对于一切可能对环境造成影响的新建或改扩建的项目必须执行环境影响评价制度。为此，受</w:t>
      </w:r>
      <w:r>
        <w:rPr>
          <w:rFonts w:hint="eastAsia" w:eastAsiaTheme="minorEastAsia"/>
          <w:color w:val="auto"/>
          <w:lang w:eastAsia="zh-CN"/>
        </w:rPr>
        <w:t>佳木斯市郊区佳华石料厂</w:t>
      </w:r>
      <w:r>
        <w:rPr>
          <w:rFonts w:eastAsiaTheme="minorEastAsia"/>
          <w:color w:val="auto"/>
        </w:rPr>
        <w:t>的委托，</w:t>
      </w:r>
      <w:r>
        <w:rPr>
          <w:rFonts w:hint="eastAsia" w:eastAsiaTheme="minorEastAsia"/>
          <w:color w:val="auto"/>
          <w:lang w:eastAsia="zh-CN"/>
        </w:rPr>
        <w:t>兴业环保股份有限公司</w:t>
      </w:r>
      <w:r>
        <w:rPr>
          <w:rFonts w:eastAsiaTheme="minorEastAsia"/>
          <w:color w:val="auto"/>
        </w:rPr>
        <w:t>承担本项目环境影响评价工作。</w:t>
      </w:r>
    </w:p>
    <w:p>
      <w:pPr>
        <w:pStyle w:val="276"/>
        <w:rPr>
          <w:rFonts w:eastAsiaTheme="minorEastAsia"/>
          <w:color w:val="auto"/>
        </w:rPr>
      </w:pPr>
      <w:r>
        <w:rPr>
          <w:rFonts w:eastAsiaTheme="minorEastAsia"/>
          <w:color w:val="auto"/>
        </w:rPr>
        <w:t>评价单位接受委托后随即组织人员在研究相关技术及其他有关文件基础上进行初步工程分析，开展了环境现状调查，进行了环境影响识别和评价因子筛选。明确了评价重点为大气环境影响及生态环境影响，确定了环境保护目标，根据相关导则要求确定评价工作等级、范围和评价标准，制定出相应工作方案。</w:t>
      </w:r>
    </w:p>
    <w:p>
      <w:pPr>
        <w:pStyle w:val="276"/>
        <w:rPr>
          <w:rFonts w:eastAsiaTheme="minorEastAsia"/>
          <w:color w:val="auto"/>
        </w:rPr>
      </w:pPr>
      <w:r>
        <w:rPr>
          <w:rFonts w:eastAsiaTheme="minorEastAsia"/>
          <w:color w:val="auto"/>
        </w:rPr>
        <w:t>二、根据第一阶段工作成果，主要工作是做进一步的工程分析，进行充分的环境现状调查、监测并开展环境质量现状评价，之后根据污染源源强和环境现状资料进行建设项目的环境影响预测，评价建设项目的环境影响，并开展公众意见调查。</w:t>
      </w:r>
    </w:p>
    <w:p>
      <w:pPr>
        <w:pStyle w:val="276"/>
        <w:rPr>
          <w:rFonts w:eastAsiaTheme="minorEastAsia"/>
          <w:color w:val="auto"/>
        </w:rPr>
      </w:pPr>
      <w:r>
        <w:rPr>
          <w:rFonts w:eastAsiaTheme="minorEastAsia"/>
          <w:color w:val="auto"/>
        </w:rPr>
        <w:t>三、主要工作为汇总、分析第二阶段工作所得的各种资料、数据，根据建设项目的环境影响、法律法规和标准等的要求以及公众的意愿，提出减少环境污染和生态影响的环境管理措施。从环境保护角度确定项目建设的可行性，给出评价结论和提出进一步减缓环境影响的建议，并最终完成环境影响报告书的编制。</w:t>
      </w:r>
    </w:p>
    <w:p>
      <w:pPr>
        <w:pStyle w:val="276"/>
        <w:rPr>
          <w:rFonts w:eastAsiaTheme="minorEastAsia"/>
          <w:color w:val="auto"/>
        </w:rPr>
      </w:pPr>
      <w:r>
        <w:rPr>
          <w:rFonts w:eastAsiaTheme="minorEastAsia"/>
          <w:color w:val="auto"/>
        </w:rPr>
        <w:t>根据《建设项目环境影响评价技术导则 总纲》（HJ2.1-2016）的要求，本项目环境影响评价工作程序见图1-3-1。</w:t>
      </w:r>
    </w:p>
    <w:p>
      <w:pPr>
        <w:widowControl/>
        <w:tabs>
          <w:tab w:val="right" w:leader="dot" w:pos="8505"/>
        </w:tabs>
        <w:adjustRightInd w:val="0"/>
        <w:snapToGrid w:val="0"/>
        <w:spacing w:line="360" w:lineRule="auto"/>
        <w:jc w:val="center"/>
        <w:rPr>
          <w:rFonts w:eastAsiaTheme="minorEastAsia"/>
          <w:color w:val="auto"/>
          <w:kern w:val="0"/>
          <w:szCs w:val="24"/>
        </w:rPr>
      </w:pPr>
      <w:r>
        <w:rPr>
          <w:rFonts w:eastAsiaTheme="minorEastAsia"/>
          <w:color w:val="auto"/>
          <w:kern w:val="0"/>
          <w:szCs w:val="24"/>
        </w:rPr>
        <w:drawing>
          <wp:inline distT="0" distB="0" distL="0" distR="0">
            <wp:extent cx="4940300" cy="4738370"/>
            <wp:effectExtent l="0" t="0" r="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4942389" cy="4740488"/>
                    </a:xfrm>
                    <a:prstGeom prst="rect">
                      <a:avLst/>
                    </a:prstGeom>
                    <a:noFill/>
                    <a:ln>
                      <a:noFill/>
                    </a:ln>
                  </pic:spPr>
                </pic:pic>
              </a:graphicData>
            </a:graphic>
          </wp:inline>
        </w:drawing>
      </w:r>
    </w:p>
    <w:p>
      <w:pPr>
        <w:pStyle w:val="244"/>
        <w:rPr>
          <w:rFonts w:eastAsiaTheme="minorEastAsia"/>
          <w:color w:val="auto"/>
        </w:rPr>
      </w:pPr>
      <w:r>
        <w:rPr>
          <w:rFonts w:eastAsiaTheme="minorEastAsia"/>
          <w:color w:val="auto"/>
        </w:rPr>
        <w:t>图1-3-1  环境影响评价工作程序</w:t>
      </w:r>
    </w:p>
    <w:p>
      <w:pPr>
        <w:pStyle w:val="238"/>
        <w:rPr>
          <w:rFonts w:hAnsi="Times New Roman" w:eastAsiaTheme="minorEastAsia"/>
          <w:color w:val="auto"/>
        </w:rPr>
      </w:pPr>
      <w:bookmarkStart w:id="21" w:name="_Toc519693555"/>
      <w:bookmarkStart w:id="22" w:name="_Toc497912154"/>
      <w:bookmarkStart w:id="23" w:name="_Toc486932294"/>
      <w:r>
        <w:rPr>
          <w:rFonts w:hAnsi="Times New Roman" w:eastAsiaTheme="minorEastAsia"/>
          <w:color w:val="auto"/>
        </w:rPr>
        <w:t>1.4 分析判定相关情况</w:t>
      </w:r>
      <w:bookmarkEnd w:id="21"/>
      <w:bookmarkEnd w:id="22"/>
      <w:bookmarkEnd w:id="23"/>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1.4.1 政策规划符合性分析</w:t>
      </w:r>
    </w:p>
    <w:p>
      <w:pPr>
        <w:pStyle w:val="276"/>
        <w:rPr>
          <w:rFonts w:eastAsiaTheme="minorEastAsia"/>
          <w:color w:val="auto"/>
          <w:szCs w:val="21"/>
        </w:rPr>
      </w:pPr>
      <w:r>
        <w:rPr>
          <w:rFonts w:eastAsiaTheme="minorEastAsia"/>
          <w:color w:val="auto"/>
        </w:rPr>
        <w:t>（1）与《产业结构调整指导目录（2011年本）》（2016修正）</w:t>
      </w:r>
      <w:r>
        <w:rPr>
          <w:rFonts w:eastAsiaTheme="minorEastAsia"/>
          <w:color w:val="auto"/>
          <w:szCs w:val="21"/>
        </w:rPr>
        <w:t>符合性</w:t>
      </w:r>
    </w:p>
    <w:p>
      <w:pPr>
        <w:pStyle w:val="276"/>
        <w:rPr>
          <w:rFonts w:eastAsiaTheme="minorEastAsia"/>
          <w:color w:val="auto"/>
        </w:rPr>
      </w:pPr>
      <w:r>
        <w:rPr>
          <w:rFonts w:eastAsiaTheme="minorEastAsia"/>
          <w:color w:val="auto"/>
        </w:rPr>
        <w:t>依据《产业结构调整指导目录（2011年本）》（2016修正），本项目所采用的工艺设备等均不在限制与淘汰之列；本项目不属于鼓励类、淘汰类和限制类，属于允许类，因此本项目符合当前产业政策要求。</w:t>
      </w:r>
    </w:p>
    <w:p>
      <w:pPr>
        <w:pStyle w:val="276"/>
        <w:jc w:val="both"/>
        <w:rPr>
          <w:rFonts w:eastAsiaTheme="minorEastAsia"/>
          <w:color w:val="auto"/>
        </w:rPr>
      </w:pPr>
      <w:r>
        <w:rPr>
          <w:rFonts w:eastAsiaTheme="minorEastAsia"/>
          <w:color w:val="auto"/>
        </w:rPr>
        <w:t>（2）与《矿山生态环境保护与污染防治技术政策》符合性</w:t>
      </w:r>
    </w:p>
    <w:p>
      <w:pPr>
        <w:pStyle w:val="276"/>
        <w:rPr>
          <w:rFonts w:eastAsiaTheme="minorEastAsia"/>
          <w:color w:val="auto"/>
        </w:rPr>
      </w:pPr>
      <w:r>
        <w:rPr>
          <w:rFonts w:eastAsiaTheme="minorEastAsia"/>
          <w:color w:val="auto"/>
        </w:rPr>
        <w:t>本项目不处于《矿山生态环境保护与污染防治技术政策》的禁采区，符合《矿山生态环境保护与污染防治技术政策》要求。</w:t>
      </w:r>
    </w:p>
    <w:p>
      <w:pPr>
        <w:pStyle w:val="276"/>
        <w:rPr>
          <w:rFonts w:eastAsiaTheme="minorEastAsia"/>
          <w:color w:val="auto"/>
        </w:rPr>
      </w:pPr>
      <w:r>
        <w:rPr>
          <w:rFonts w:eastAsiaTheme="minorEastAsia"/>
          <w:color w:val="auto"/>
        </w:rPr>
        <w:t>（3）与《黑龙江省生态环境保护“十三五”规划》符合性</w:t>
      </w:r>
    </w:p>
    <w:p>
      <w:pPr>
        <w:pStyle w:val="276"/>
        <w:rPr>
          <w:rFonts w:eastAsiaTheme="minorEastAsia"/>
          <w:color w:val="auto"/>
        </w:rPr>
      </w:pPr>
      <w:r>
        <w:rPr>
          <w:rFonts w:eastAsiaTheme="minorEastAsia"/>
          <w:color w:val="auto"/>
        </w:rPr>
        <w:t>本项目</w:t>
      </w:r>
      <w:r>
        <w:rPr>
          <w:rFonts w:hint="eastAsia" w:eastAsiaTheme="minorEastAsia"/>
          <w:color w:val="auto"/>
          <w:lang w:eastAsia="zh-CN"/>
        </w:rPr>
        <w:t>为扩建项目，</w:t>
      </w:r>
      <w:r>
        <w:rPr>
          <w:rFonts w:eastAsiaTheme="minorEastAsia"/>
          <w:color w:val="auto"/>
        </w:rPr>
        <w:t>用地现状</w:t>
      </w:r>
      <w:r>
        <w:rPr>
          <w:rFonts w:hint="eastAsia" w:eastAsiaTheme="minorEastAsia"/>
          <w:color w:val="auto"/>
          <w:lang w:eastAsia="zh-CN"/>
        </w:rPr>
        <w:t>为采矿用地</w:t>
      </w:r>
      <w:r>
        <w:rPr>
          <w:rFonts w:eastAsiaTheme="minorEastAsia"/>
          <w:color w:val="auto"/>
        </w:rPr>
        <w:t>，项目闭矿后进行土地复垦，全部恢复为林地，土地复垦率达到100%，因此项目建设符合《黑龙江省生态环境保护“十三五”规划》要求。</w:t>
      </w:r>
    </w:p>
    <w:p>
      <w:pPr>
        <w:pStyle w:val="276"/>
        <w:rPr>
          <w:rFonts w:eastAsiaTheme="minorEastAsia"/>
          <w:bCs/>
          <w:color w:val="auto"/>
        </w:rPr>
      </w:pPr>
      <w:r>
        <w:rPr>
          <w:rFonts w:eastAsiaTheme="minorEastAsia"/>
          <w:bCs/>
          <w:color w:val="auto"/>
        </w:rPr>
        <w:t>（4）与《黑龙江省水土保持规划（2015-2030 年）》符合性</w:t>
      </w:r>
    </w:p>
    <w:p>
      <w:pPr>
        <w:pStyle w:val="276"/>
        <w:jc w:val="both"/>
        <w:rPr>
          <w:rFonts w:eastAsiaTheme="minorEastAsia"/>
          <w:bCs/>
          <w:color w:val="auto"/>
        </w:rPr>
      </w:pPr>
      <w:r>
        <w:rPr>
          <w:rFonts w:eastAsiaTheme="minorEastAsia"/>
          <w:bCs/>
          <w:color w:val="auto"/>
        </w:rPr>
        <w:t>矿山闭矿时，企业应对采矿造成的环境问题进行处理，以保护生态环境。对场地进行清理；种植当地常见林木，恢复林地。本项目符合《黑龙江省水土保持规划（2015-2030 年）》的要求。</w:t>
      </w:r>
    </w:p>
    <w:p>
      <w:pPr>
        <w:pStyle w:val="276"/>
        <w:rPr>
          <w:rFonts w:eastAsiaTheme="minorEastAsia"/>
          <w:color w:val="auto"/>
        </w:rPr>
      </w:pPr>
      <w:r>
        <w:rPr>
          <w:rFonts w:eastAsiaTheme="minorEastAsia"/>
          <w:color w:val="auto"/>
        </w:rPr>
        <w:t>（5）与《黑龙江省矿山资源总体规划》（2016~2020 年）符合性分析</w:t>
      </w:r>
    </w:p>
    <w:p>
      <w:pPr>
        <w:pStyle w:val="276"/>
        <w:rPr>
          <w:rStyle w:val="227"/>
          <w:rFonts w:ascii="Times New Roman" w:hAnsi="Times New Roman" w:eastAsiaTheme="minorEastAsia"/>
          <w:color w:val="auto"/>
        </w:rPr>
      </w:pPr>
      <w:r>
        <w:rPr>
          <w:rStyle w:val="227"/>
          <w:rFonts w:ascii="Times New Roman" w:hAnsi="Times New Roman" w:eastAsiaTheme="minorEastAsia"/>
          <w:color w:val="auto"/>
        </w:rPr>
        <w:t>本项目不在各类自保护区进行露天开采，且不位于限制开采区、禁止开采区，项目服务期满后，开展矿山环境治理恢复工作，符合《黑龙江省矿山资源总体规划》（2016~2020 年）的相关要求。</w:t>
      </w:r>
    </w:p>
    <w:p>
      <w:pPr>
        <w:pStyle w:val="276"/>
        <w:adjustRightInd w:val="0"/>
        <w:snapToGrid w:val="0"/>
        <w:rPr>
          <w:rFonts w:eastAsiaTheme="minorEastAsia"/>
          <w:color w:val="auto"/>
        </w:rPr>
      </w:pPr>
      <w:r>
        <w:rPr>
          <w:rFonts w:eastAsiaTheme="minorEastAsia"/>
          <w:color w:val="auto"/>
        </w:rPr>
        <w:t>（6）与黑龙江《黑龙江省主体功能区划》符合性分析</w:t>
      </w:r>
    </w:p>
    <w:p>
      <w:pPr>
        <w:pStyle w:val="276"/>
        <w:rPr>
          <w:rFonts w:eastAsiaTheme="minorEastAsia"/>
          <w:color w:val="auto"/>
        </w:rPr>
      </w:pPr>
      <w:r>
        <w:rPr>
          <w:rFonts w:eastAsiaTheme="minorEastAsia"/>
          <w:color w:val="auto"/>
        </w:rPr>
        <w:t>本项目位于国家级重点开发区域，项目在矿山服务期满后，对矿山生态环境开展矿山环境治理恢复工作，恢复原有土地利用功能，保持当地生态服务功能、带动当地经济发展，符合《黑龙江省主体功能区划》的相关要求。</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1.4.2 选址环境合理性分析</w:t>
      </w:r>
    </w:p>
    <w:p>
      <w:pPr>
        <w:pStyle w:val="276"/>
        <w:rPr>
          <w:rFonts w:eastAsiaTheme="minorEastAsia"/>
          <w:color w:val="auto"/>
        </w:rPr>
      </w:pPr>
      <w:r>
        <w:rPr>
          <w:rFonts w:eastAsiaTheme="minorEastAsia"/>
          <w:color w:val="auto"/>
        </w:rPr>
        <w:t>本项目属于矿石开采生态类项目，占地区域属于低矮丘陵地带，项目临时堆土场布置在厂区平坦地区，地势低，现状为采矿用地，矿区开采结束后采取植被恢复措施。项目四周</w:t>
      </w:r>
      <w:r>
        <w:rPr>
          <w:rFonts w:hint="eastAsia" w:eastAsiaTheme="minorEastAsia"/>
          <w:color w:val="auto"/>
          <w:lang w:eastAsia="zh-CN"/>
        </w:rPr>
        <w:t>主要为</w:t>
      </w:r>
      <w:r>
        <w:rPr>
          <w:rFonts w:eastAsiaTheme="minorEastAsia"/>
          <w:color w:val="auto"/>
        </w:rPr>
        <w:t>林地</w:t>
      </w:r>
      <w:r>
        <w:rPr>
          <w:rFonts w:hint="eastAsia" w:eastAsiaTheme="minorEastAsia"/>
          <w:color w:val="auto"/>
          <w:lang w:eastAsia="zh-CN"/>
        </w:rPr>
        <w:t>和农田</w:t>
      </w:r>
      <w:r>
        <w:rPr>
          <w:rFonts w:eastAsiaTheme="minorEastAsia"/>
          <w:color w:val="auto"/>
        </w:rPr>
        <w:t>，距厂界最近敏感点</w:t>
      </w:r>
      <w:r>
        <w:rPr>
          <w:rFonts w:hint="eastAsia" w:eastAsiaTheme="minorEastAsia"/>
          <w:color w:val="auto"/>
          <w:lang w:eastAsia="zh-CN"/>
        </w:rPr>
        <w:t>新华村</w:t>
      </w:r>
      <w:r>
        <w:rPr>
          <w:rFonts w:eastAsiaTheme="minorEastAsia"/>
          <w:color w:val="auto"/>
        </w:rPr>
        <w:t>为4</w:t>
      </w:r>
      <w:r>
        <w:rPr>
          <w:rFonts w:hint="eastAsia" w:eastAsiaTheme="minorEastAsia"/>
          <w:color w:val="auto"/>
          <w:lang w:val="en-US" w:eastAsia="zh-CN"/>
        </w:rPr>
        <w:t>50</w:t>
      </w:r>
      <w:r>
        <w:rPr>
          <w:rFonts w:eastAsiaTheme="minorEastAsia"/>
          <w:color w:val="auto"/>
        </w:rPr>
        <w:t>m，项目周围敏感点与本项目距离均较远，本项目评价区的主要服务功能为防止水土流失、维持生物物种多样性、涵养水源等，项目运营不会导致评价区域生态体系组成和服务功能发生明显变化，对区域生态环境的影响是可以接受的。应对露天采区服务期满后，通过边坡治理，场地平整，植被恢复等措施，可使本项目对生态环境影响程度降到最低。生态环境影响分析该项目建设是可行的。</w:t>
      </w:r>
    </w:p>
    <w:p>
      <w:pPr>
        <w:pStyle w:val="276"/>
        <w:rPr>
          <w:rFonts w:eastAsiaTheme="minorEastAsia"/>
          <w:color w:val="auto"/>
        </w:rPr>
      </w:pPr>
      <w:r>
        <w:rPr>
          <w:rFonts w:eastAsiaTheme="minorEastAsia"/>
          <w:color w:val="auto"/>
        </w:rPr>
        <w:t>评价区域内没有国家、省、市重点保护文物、自然保护区、濒危珍稀动植物和风景旅游区等重点保护目标。项目周边以林地</w:t>
      </w:r>
      <w:r>
        <w:rPr>
          <w:rFonts w:hint="eastAsia" w:eastAsiaTheme="minorEastAsia"/>
          <w:color w:val="auto"/>
          <w:lang w:eastAsia="zh-CN"/>
        </w:rPr>
        <w:t>和农田</w:t>
      </w:r>
      <w:r>
        <w:rPr>
          <w:rFonts w:eastAsiaTheme="minorEastAsia"/>
          <w:color w:val="auto"/>
        </w:rPr>
        <w:t>为主</w:t>
      </w:r>
      <w:r>
        <w:rPr>
          <w:rFonts w:hint="eastAsia" w:eastAsiaTheme="minorEastAsia"/>
          <w:color w:val="auto"/>
          <w:lang w:eastAsia="zh-CN"/>
        </w:rPr>
        <w:t>，</w:t>
      </w:r>
      <w:r>
        <w:rPr>
          <w:rFonts w:eastAsiaTheme="minorEastAsia"/>
          <w:color w:val="auto"/>
        </w:rPr>
        <w:t>居民区居民主要以种植活动为主，本项目不在《中华人民共和国矿产资源法》第二十条规定的不得开采矿产资源区域范围内。</w:t>
      </w:r>
    </w:p>
    <w:p>
      <w:pPr>
        <w:pStyle w:val="276"/>
        <w:rPr>
          <w:rFonts w:eastAsiaTheme="minorEastAsia"/>
          <w:color w:val="auto"/>
        </w:rPr>
      </w:pPr>
      <w:r>
        <w:rPr>
          <w:rFonts w:eastAsiaTheme="minorEastAsia"/>
          <w:color w:val="auto"/>
        </w:rPr>
        <w:t>根据《黑龙江省水土保持规划（2015-2030 年）》，本项目属于</w:t>
      </w:r>
      <w:r>
        <w:rPr>
          <w:rFonts w:hint="eastAsia" w:eastAsiaTheme="minorEastAsia"/>
          <w:color w:val="auto"/>
          <w:lang w:eastAsia="zh-CN"/>
        </w:rPr>
        <w:t>东南部山地丘陵水质维护保土区</w:t>
      </w:r>
      <w:r>
        <w:rPr>
          <w:rFonts w:eastAsiaTheme="minorEastAsia"/>
          <w:color w:val="auto"/>
        </w:rPr>
        <w:t>，为</w:t>
      </w:r>
      <w:r>
        <w:rPr>
          <w:rFonts w:hint="eastAsia" w:eastAsiaTheme="minorEastAsia"/>
          <w:color w:val="auto"/>
          <w:lang w:eastAsia="zh-CN"/>
        </w:rPr>
        <w:t>国家级重点治理区</w:t>
      </w:r>
      <w:r>
        <w:rPr>
          <w:rFonts w:eastAsiaTheme="minorEastAsia"/>
          <w:color w:val="auto"/>
        </w:rPr>
        <w:t>。</w:t>
      </w:r>
      <w:r>
        <w:rPr>
          <w:rFonts w:hint="eastAsia" w:eastAsiaTheme="minorEastAsia"/>
          <w:color w:val="auto"/>
          <w:lang w:eastAsia="zh-CN"/>
        </w:rPr>
        <w:t>闭矿后，</w:t>
      </w:r>
      <w:r>
        <w:rPr>
          <w:rFonts w:eastAsiaTheme="minorEastAsia"/>
          <w:color w:val="auto"/>
        </w:rPr>
        <w:t>对场地进行清理，将临时堆场内平整场地，种植当地常见林木，恢复乔灌林地，可以保证项目区生态完整性，因此项目选址符合《黑龙江省水土保持规划（2015-2030 年）》。</w:t>
      </w:r>
    </w:p>
    <w:p>
      <w:pPr>
        <w:pStyle w:val="276"/>
        <w:rPr>
          <w:rFonts w:eastAsiaTheme="minorEastAsia"/>
          <w:color w:val="auto"/>
        </w:rPr>
      </w:pPr>
      <w:r>
        <w:rPr>
          <w:rFonts w:eastAsiaTheme="minorEastAsia"/>
          <w:color w:val="auto"/>
        </w:rPr>
        <w:t>本项目不在各类自然保护区进行露天开采，且不位于限制开采区、禁止开采区，项目服务期满后，开展矿山环境治理恢复工作，符合《黑龙江省矿山资源总体规划》（2016~2020 年）的相关要求。</w:t>
      </w:r>
    </w:p>
    <w:p>
      <w:pPr>
        <w:pStyle w:val="276"/>
        <w:rPr>
          <w:rFonts w:hint="eastAsia" w:eastAsiaTheme="minorEastAsia"/>
          <w:color w:val="auto"/>
          <w:lang w:val="en-US" w:eastAsia="zh-CN"/>
        </w:rPr>
      </w:pPr>
      <w:r>
        <w:rPr>
          <w:rFonts w:eastAsiaTheme="minorEastAsia"/>
          <w:color w:val="auto"/>
        </w:rPr>
        <w:t>项目选址符合相关规划要求，项目征得当地相关部门及周围公众的支持，建设单位对相关部门及周围居民进行</w:t>
      </w:r>
      <w:r>
        <w:rPr>
          <w:rFonts w:hint="eastAsia" w:eastAsiaTheme="minorEastAsia"/>
          <w:color w:val="auto"/>
          <w:lang w:eastAsia="zh-CN"/>
        </w:rPr>
        <w:t>了</w:t>
      </w:r>
      <w:r>
        <w:rPr>
          <w:rFonts w:eastAsiaTheme="minorEastAsia"/>
          <w:color w:val="auto"/>
        </w:rPr>
        <w:t>相关的问卷调查，调查结果表明，100%公众对本项目的建设是表示同意的。项目排放的污染物浓度能够达到当地环境质量标准要求，采取本报告提出环保措施后，对周围环境的影响可以被环境所接受。</w:t>
      </w:r>
      <w:r>
        <w:rPr>
          <w:rFonts w:hint="eastAsia" w:eastAsiaTheme="minorEastAsia"/>
          <w:color w:val="auto"/>
          <w:lang w:eastAsia="zh-CN"/>
        </w:rPr>
        <w:t>因此，本项目选址合理。</w:t>
      </w:r>
    </w:p>
    <w:p>
      <w:pPr>
        <w:pStyle w:val="238"/>
        <w:rPr>
          <w:rFonts w:hAnsi="Times New Roman" w:eastAsiaTheme="minorEastAsia"/>
          <w:color w:val="auto"/>
        </w:rPr>
      </w:pPr>
      <w:bookmarkStart w:id="24" w:name="_Toc497912155"/>
      <w:bookmarkStart w:id="25" w:name="_Toc519693556"/>
      <w:r>
        <w:rPr>
          <w:rFonts w:hAnsi="Times New Roman" w:eastAsiaTheme="minorEastAsia"/>
          <w:color w:val="auto"/>
        </w:rPr>
        <w:t>1.5关注的主要环境问题</w:t>
      </w:r>
      <w:bookmarkEnd w:id="24"/>
      <w:bookmarkEnd w:id="25"/>
    </w:p>
    <w:p>
      <w:pPr>
        <w:pStyle w:val="276"/>
        <w:rPr>
          <w:rFonts w:eastAsiaTheme="minorEastAsia"/>
          <w:color w:val="auto"/>
        </w:rPr>
      </w:pPr>
      <w:r>
        <w:rPr>
          <w:rFonts w:eastAsiaTheme="minorEastAsia"/>
          <w:color w:val="auto"/>
        </w:rPr>
        <w:t>本项目属于非金属矿露天开采，项目主要内容包括露天采场、临时堆土场、运输道路及配套设施等，项目建设主要环境问题如下：</w:t>
      </w:r>
    </w:p>
    <w:p>
      <w:pPr>
        <w:pStyle w:val="276"/>
        <w:rPr>
          <w:rFonts w:eastAsiaTheme="minorEastAsia"/>
          <w:color w:val="auto"/>
        </w:rPr>
      </w:pPr>
      <w:r>
        <w:rPr>
          <w:rFonts w:eastAsiaTheme="minorEastAsia"/>
          <w:color w:val="auto"/>
        </w:rPr>
        <w:t>（1）露天采场、临时堆土场和运输道路建设对生态环境的影响；</w:t>
      </w:r>
    </w:p>
    <w:p>
      <w:pPr>
        <w:pStyle w:val="276"/>
        <w:rPr>
          <w:rFonts w:eastAsiaTheme="minorEastAsia"/>
          <w:color w:val="auto"/>
        </w:rPr>
      </w:pPr>
      <w:r>
        <w:rPr>
          <w:rFonts w:eastAsiaTheme="minorEastAsia"/>
          <w:color w:val="auto"/>
        </w:rPr>
        <w:t>（2）爆破、凿岩打孔、集堆铲装、运输过程、石料破碎筛分、石料仓进出料、临时堆土场的粉尘排放对大气环境的影响；</w:t>
      </w:r>
    </w:p>
    <w:p>
      <w:pPr>
        <w:pStyle w:val="276"/>
        <w:rPr>
          <w:rFonts w:eastAsiaTheme="minorEastAsia"/>
          <w:color w:val="auto"/>
        </w:rPr>
      </w:pPr>
      <w:r>
        <w:rPr>
          <w:rFonts w:eastAsiaTheme="minorEastAsia"/>
          <w:color w:val="auto"/>
        </w:rPr>
        <w:t>（3）采矿、破碎、筛分设备的噪声排放对周围声环境的影响；</w:t>
      </w:r>
    </w:p>
    <w:p>
      <w:pPr>
        <w:pStyle w:val="276"/>
        <w:rPr>
          <w:rFonts w:eastAsiaTheme="minorEastAsia"/>
          <w:color w:val="auto"/>
        </w:rPr>
      </w:pPr>
      <w:r>
        <w:rPr>
          <w:rFonts w:eastAsiaTheme="minorEastAsia"/>
          <w:color w:val="auto"/>
        </w:rPr>
        <w:t>（4）物料运输过程中对沿线大气环境、声环境的影响。</w:t>
      </w:r>
    </w:p>
    <w:p>
      <w:pPr>
        <w:pStyle w:val="276"/>
        <w:rPr>
          <w:rFonts w:eastAsiaTheme="minorEastAsia"/>
          <w:color w:val="auto"/>
        </w:rPr>
      </w:pPr>
      <w:r>
        <w:rPr>
          <w:rFonts w:eastAsiaTheme="minorEastAsia"/>
          <w:color w:val="auto"/>
        </w:rPr>
        <w:t>（5）矿山退役后，矿区生态恢复后对生态环境的影响。</w:t>
      </w:r>
    </w:p>
    <w:p>
      <w:pPr>
        <w:pStyle w:val="238"/>
        <w:rPr>
          <w:rFonts w:hAnsi="Times New Roman" w:eastAsiaTheme="minorEastAsia"/>
          <w:color w:val="auto"/>
        </w:rPr>
      </w:pPr>
      <w:bookmarkStart w:id="26" w:name="_Toc519693557"/>
      <w:bookmarkStart w:id="27" w:name="_Toc497912156"/>
      <w:r>
        <w:rPr>
          <w:rFonts w:hAnsi="Times New Roman" w:eastAsiaTheme="minorEastAsia"/>
          <w:color w:val="auto"/>
        </w:rPr>
        <w:t>1.6</w:t>
      </w:r>
      <w:r>
        <w:rPr>
          <w:rFonts w:hAnsi="Times New Roman" w:eastAsiaTheme="minorEastAsia"/>
          <w:color w:val="auto"/>
        </w:rPr>
        <w:t>环境影响评价主要结论</w:t>
      </w:r>
      <w:bookmarkEnd w:id="26"/>
      <w:bookmarkEnd w:id="27"/>
    </w:p>
    <w:p>
      <w:pPr>
        <w:autoSpaceDE w:val="0"/>
        <w:autoSpaceDN w:val="0"/>
        <w:spacing w:line="500" w:lineRule="exact"/>
        <w:ind w:firstLine="480" w:firstLineChars="200"/>
        <w:rPr>
          <w:rFonts w:eastAsiaTheme="minorEastAsia"/>
          <w:color w:val="auto"/>
        </w:rPr>
      </w:pPr>
      <w:r>
        <w:rPr>
          <w:rFonts w:eastAsiaTheme="minorEastAsia"/>
          <w:color w:val="auto"/>
        </w:rPr>
        <w:t>综合各专题评价结论概述如下：</w:t>
      </w:r>
    </w:p>
    <w:p>
      <w:pPr>
        <w:autoSpaceDE w:val="0"/>
        <w:autoSpaceDN w:val="0"/>
        <w:spacing w:line="500" w:lineRule="exact"/>
        <w:ind w:firstLine="480" w:firstLineChars="200"/>
        <w:rPr>
          <w:rFonts w:eastAsiaTheme="minorEastAsia"/>
          <w:color w:val="auto"/>
        </w:rPr>
      </w:pPr>
      <w:r>
        <w:rPr>
          <w:rFonts w:eastAsiaTheme="minorEastAsia"/>
          <w:color w:val="auto"/>
        </w:rPr>
        <w:t>（1）环境质量现状评价结论</w:t>
      </w:r>
    </w:p>
    <w:p>
      <w:pPr>
        <w:autoSpaceDE w:val="0"/>
        <w:autoSpaceDN w:val="0"/>
        <w:spacing w:line="500" w:lineRule="exact"/>
        <w:ind w:firstLine="480" w:firstLineChars="200"/>
        <w:rPr>
          <w:rFonts w:eastAsiaTheme="minorEastAsia"/>
          <w:color w:val="auto"/>
        </w:rPr>
      </w:pPr>
      <w:r>
        <w:rPr>
          <w:rFonts w:eastAsiaTheme="minorEastAsia"/>
          <w:color w:val="auto"/>
        </w:rPr>
        <w:t>生态现状为本评价区内主要生态系统为森林生态系统。</w:t>
      </w:r>
      <w:r>
        <w:rPr>
          <w:rFonts w:hint="eastAsia" w:eastAsiaTheme="minorEastAsia"/>
          <w:color w:val="auto"/>
          <w:lang w:eastAsia="zh-CN"/>
        </w:rPr>
        <w:t>本项目占地类型为采矿用地，项目周边为林地及耕地，因此，评价区</w:t>
      </w:r>
      <w:r>
        <w:rPr>
          <w:rFonts w:eastAsiaTheme="minorEastAsia"/>
          <w:color w:val="auto"/>
        </w:rPr>
        <w:t>内主要用地类型为采矿用地</w:t>
      </w:r>
      <w:r>
        <w:rPr>
          <w:rFonts w:hint="eastAsia" w:eastAsiaTheme="minorEastAsia"/>
          <w:color w:val="auto"/>
          <w:lang w:eastAsia="zh-CN"/>
        </w:rPr>
        <w:t>、林地、耕地。</w:t>
      </w:r>
      <w:r>
        <w:rPr>
          <w:rFonts w:eastAsiaTheme="minorEastAsia"/>
          <w:color w:val="auto"/>
        </w:rPr>
        <w:t>在林地中，主要树种为杨树，其它植被包括山丁子、黄蒿及万年蒿，项目评价区域内无国家级重点保护珍稀濒危物种、黑龙江省重点保护物种和古树名木，故对当地生态影响不大。评价区内工矿用地导致裸露地面较多，对评价区内生态系统内部的物种、能量、营养物质的流通形成一定的阻隔作用，是生态系统目前面临的压力。随着采矿迹地的恢复和采矿境界内绿化工作的进行，工矿用地对生态系统的阻隔作用会逐渐减少，生态系统总体变化趋势是向系统更稳定、生物多样性更高的方向发展。</w:t>
      </w:r>
      <w:r>
        <w:rPr>
          <w:rFonts w:hint="eastAsia" w:ascii="仿宋_GB2312"/>
          <w:color w:val="auto"/>
          <w:sz w:val="24"/>
          <w:szCs w:val="24"/>
        </w:rPr>
        <w:t>项目所在地属环境空气质量功能区划中的二类区。本报告引用《2017年佳木斯市环境质量简报》</w:t>
      </w:r>
      <w:r>
        <w:rPr>
          <w:rFonts w:hint="eastAsia" w:ascii="仿宋_GB2312" w:hAnsi="宋体" w:cs="宋体"/>
          <w:color w:val="auto"/>
          <w:sz w:val="24"/>
          <w:szCs w:val="24"/>
        </w:rPr>
        <w:t>中的数据。</w:t>
      </w:r>
      <w:r>
        <w:rPr>
          <w:rFonts w:hint="eastAsia" w:ascii="仿宋_GB2312"/>
          <w:color w:val="auto"/>
          <w:sz w:val="24"/>
          <w:szCs w:val="24"/>
        </w:rPr>
        <w:t>2017年佳木斯市区环境空气质量指数AQI达到和好于二级的优良天数为324天，达标比例为88.8%；污染天数为41天，其中轻度污染为21天，中度污染为8天，重度污染为8天，严重污染为4天。佳木斯市环境空气中，首要污染物主要为细颗粒物（PM2.5）、其次为O3-8h。从综合污染指数看，采暖期综合指数明显高于非采暖期，表明佳木斯市采暖期空气污染重于非采暖期。各项污染物年均值除细颗粒物（PM2.5）超标外，其余项目均不超标，细颗粒物（PM2.5）年均值为38μg /m</w:t>
      </w:r>
      <w:r>
        <w:rPr>
          <w:rFonts w:hint="eastAsia" w:ascii="仿宋_GB2312"/>
          <w:color w:val="auto"/>
          <w:sz w:val="24"/>
          <w:szCs w:val="24"/>
          <w:vertAlign w:val="superscript"/>
        </w:rPr>
        <w:t>3</w:t>
      </w:r>
      <w:r>
        <w:rPr>
          <w:rFonts w:hint="eastAsia" w:ascii="仿宋_GB2312"/>
          <w:color w:val="auto"/>
          <w:sz w:val="24"/>
          <w:szCs w:val="24"/>
        </w:rPr>
        <w:t>，超标0.09倍；可吸入颗粒物（PM10）、细颗粒物（PM2.5）、二氧化氮、臭氧日均值均有超标现象</w:t>
      </w:r>
      <w:r>
        <w:rPr>
          <w:rFonts w:hint="eastAsia" w:ascii="仿宋_GB2312"/>
          <w:color w:val="auto"/>
          <w:sz w:val="24"/>
          <w:szCs w:val="24"/>
          <w:lang w:eastAsia="zh-CN"/>
        </w:rPr>
        <w:t>，不能满足</w:t>
      </w:r>
      <w:r>
        <w:rPr>
          <w:rFonts w:hint="eastAsia" w:ascii="仿宋_GB2312"/>
          <w:color w:val="auto"/>
          <w:sz w:val="24"/>
          <w:szCs w:val="24"/>
        </w:rPr>
        <w:t>《环境空气质量标准》(GB3095-2012)中二级标准</w:t>
      </w:r>
      <w:r>
        <w:rPr>
          <w:rFonts w:hint="eastAsia" w:ascii="仿宋_GB2312"/>
          <w:color w:val="auto"/>
          <w:sz w:val="24"/>
          <w:szCs w:val="24"/>
          <w:lang w:eastAsia="zh-CN"/>
        </w:rPr>
        <w:t>要求</w:t>
      </w:r>
      <w:r>
        <w:rPr>
          <w:rFonts w:hint="eastAsia" w:ascii="仿宋_GB2312"/>
          <w:color w:val="auto"/>
          <w:sz w:val="24"/>
          <w:szCs w:val="24"/>
        </w:rPr>
        <w:t>。</w:t>
      </w:r>
      <w:r>
        <w:rPr>
          <w:rFonts w:cs="Times New Roman"/>
          <w:color w:val="auto"/>
        </w:rPr>
        <w:t>监测结果</w:t>
      </w:r>
      <w:r>
        <w:rPr>
          <w:rFonts w:hint="eastAsia" w:cs="Times New Roman"/>
          <w:color w:val="auto"/>
          <w:lang w:eastAsia="zh-CN"/>
        </w:rPr>
        <w:t>表明</w:t>
      </w:r>
      <w:r>
        <w:rPr>
          <w:rFonts w:hint="eastAsia" w:cs="Times New Roman"/>
          <w:color w:val="auto"/>
        </w:rPr>
        <w:t>，松花江佳木斯3</w:t>
      </w:r>
      <w:r>
        <w:rPr>
          <w:rFonts w:cs="Times New Roman"/>
          <w:color w:val="auto"/>
        </w:rPr>
        <w:t>个断面的监测项目</w:t>
      </w:r>
      <w:r>
        <w:rPr>
          <w:rFonts w:hint="eastAsia" w:cs="Times New Roman"/>
          <w:color w:val="auto"/>
        </w:rPr>
        <w:t>中，各断面</w:t>
      </w:r>
      <w:r>
        <w:rPr>
          <w:rFonts w:cs="Times New Roman"/>
          <w:color w:val="auto"/>
        </w:rPr>
        <w:t>均未出现超标</w:t>
      </w:r>
      <w:r>
        <w:rPr>
          <w:rFonts w:hint="eastAsia" w:cs="Times New Roman"/>
          <w:color w:val="auto"/>
        </w:rPr>
        <w:t>现象</w:t>
      </w:r>
      <w:r>
        <w:rPr>
          <w:rFonts w:cs="Times New Roman"/>
          <w:color w:val="auto"/>
        </w:rPr>
        <w:t>，水质能够达到《地表水环境质量标准》（GB3838-2002）</w:t>
      </w:r>
      <w:r>
        <w:rPr>
          <w:rFonts w:hint="eastAsia" w:cs="Times New Roman"/>
          <w:color w:val="auto"/>
        </w:rPr>
        <w:t>IV</w:t>
      </w:r>
      <w:r>
        <w:rPr>
          <w:rFonts w:cs="Times New Roman"/>
          <w:color w:val="auto"/>
        </w:rPr>
        <w:t>类标准。</w:t>
      </w:r>
      <w:r>
        <w:rPr>
          <w:rFonts w:eastAsiaTheme="minorEastAsia"/>
          <w:color w:val="auto"/>
        </w:rPr>
        <w:t>；</w:t>
      </w:r>
      <w:r>
        <w:rPr>
          <w:rFonts w:hint="eastAsia" w:eastAsiaTheme="minorEastAsia"/>
          <w:color w:val="auto"/>
          <w:lang w:eastAsia="zh-CN"/>
        </w:rPr>
        <w:t>本项目厂界声环境质量</w:t>
      </w:r>
      <w:r>
        <w:rPr>
          <w:rFonts w:eastAsiaTheme="minorEastAsia"/>
          <w:color w:val="auto"/>
        </w:rPr>
        <w:t>满足《声环境质量标准》（GB3096-2008）中2类标准</w:t>
      </w:r>
      <w:r>
        <w:rPr>
          <w:rFonts w:hint="eastAsia" w:eastAsiaTheme="minorEastAsia"/>
          <w:color w:val="auto"/>
          <w:lang w:eastAsia="zh-CN"/>
        </w:rPr>
        <w:t>要求。</w:t>
      </w:r>
    </w:p>
    <w:p>
      <w:pPr>
        <w:autoSpaceDE w:val="0"/>
        <w:autoSpaceDN w:val="0"/>
        <w:spacing w:line="500" w:lineRule="exact"/>
        <w:ind w:firstLine="480" w:firstLineChars="200"/>
        <w:rPr>
          <w:rFonts w:eastAsiaTheme="minorEastAsia"/>
          <w:color w:val="auto"/>
        </w:rPr>
      </w:pPr>
      <w:r>
        <w:rPr>
          <w:rFonts w:eastAsiaTheme="minorEastAsia"/>
          <w:color w:val="auto"/>
        </w:rPr>
        <w:t>（2）环境保护措施及其可行性</w:t>
      </w:r>
    </w:p>
    <w:p>
      <w:pPr>
        <w:autoSpaceDE w:val="0"/>
        <w:autoSpaceDN w:val="0"/>
        <w:spacing w:line="500" w:lineRule="exact"/>
        <w:ind w:firstLine="480" w:firstLineChars="200"/>
        <w:rPr>
          <w:rFonts w:eastAsiaTheme="minorEastAsia"/>
          <w:color w:val="auto"/>
        </w:rPr>
      </w:pPr>
      <w:r>
        <w:rPr>
          <w:rFonts w:eastAsiaTheme="minorEastAsia"/>
          <w:color w:val="auto"/>
        </w:rPr>
        <w:t>1）生态环境保护措施及其可行性</w:t>
      </w:r>
    </w:p>
    <w:p>
      <w:pPr>
        <w:spacing w:line="500" w:lineRule="exact"/>
        <w:ind w:firstLine="480" w:firstLineChars="200"/>
        <w:rPr>
          <w:rFonts w:eastAsiaTheme="minorEastAsia"/>
          <w:color w:val="auto"/>
        </w:rPr>
      </w:pPr>
      <w:r>
        <w:rPr>
          <w:rFonts w:eastAsiaTheme="minorEastAsia"/>
          <w:color w:val="auto"/>
        </w:rPr>
        <w:t>本项目露天矿山开采，开采过程严格采取粉尘防治措施，可有效降低粉尘对植物的影响。项目厂区内部进行绿化；采矿境界汇水上方设置截流沟，防止外部地表径流汇入厂区，导致水土流失和泥石流。对已开采的采场边坡进行植草绿化，减少水土流失和防止泥石流灾害发生。临时堆土场</w:t>
      </w:r>
      <w:r>
        <w:rPr>
          <w:rFonts w:hint="eastAsia" w:eastAsiaTheme="minorEastAsia"/>
          <w:color w:val="auto"/>
          <w:lang w:eastAsia="zh-CN"/>
        </w:rPr>
        <w:t>周围</w:t>
      </w:r>
      <w:r>
        <w:rPr>
          <w:rFonts w:eastAsiaTheme="minorEastAsia"/>
          <w:color w:val="auto"/>
        </w:rPr>
        <w:t>设置浆砌石挡墙</w:t>
      </w:r>
      <w:r>
        <w:rPr>
          <w:rFonts w:hint="eastAsia" w:eastAsiaTheme="minorEastAsia"/>
          <w:color w:val="auto"/>
          <w:lang w:eastAsia="zh-CN"/>
        </w:rPr>
        <w:t>和</w:t>
      </w:r>
      <w:r>
        <w:rPr>
          <w:rFonts w:eastAsiaTheme="minorEastAsia"/>
          <w:color w:val="auto"/>
        </w:rPr>
        <w:t>截流沟，设置喷淋洒水装置，定期洒水降尘，及时外售，场内不进行大量堆存。建设单位加强对工作人员的生态环境保护教育，减少对野生动物的干扰，严禁捕杀野生动物。合理安排作业时间，禁止在雨天进行剥离作业，防止水土流失。</w:t>
      </w:r>
    </w:p>
    <w:p>
      <w:pPr>
        <w:autoSpaceDE w:val="0"/>
        <w:autoSpaceDN w:val="0"/>
        <w:spacing w:line="500" w:lineRule="exact"/>
        <w:ind w:firstLine="480" w:firstLineChars="200"/>
        <w:rPr>
          <w:rFonts w:eastAsiaTheme="minorEastAsia"/>
          <w:color w:val="auto"/>
        </w:rPr>
      </w:pPr>
      <w:r>
        <w:rPr>
          <w:rFonts w:eastAsiaTheme="minorEastAsia"/>
          <w:color w:val="auto"/>
        </w:rPr>
        <w:t>2）大气污染防治措施</w:t>
      </w:r>
    </w:p>
    <w:p>
      <w:pPr>
        <w:ind w:firstLine="480" w:firstLineChars="200"/>
        <w:rPr>
          <w:rFonts w:eastAsiaTheme="minorEastAsia"/>
          <w:color w:val="auto"/>
          <w:szCs w:val="24"/>
        </w:rPr>
      </w:pPr>
      <w:r>
        <w:rPr>
          <w:rFonts w:eastAsiaTheme="minorEastAsia"/>
          <w:color w:val="auto"/>
          <w:kern w:val="0"/>
          <w:szCs w:val="24"/>
        </w:rPr>
        <w:t>本项目露天矿山开采，开采过程严格采取粉尘防治措施，可有效降低粉尘对植物的影响。钻孔及爆破过程可产生粉尘污染，爆破采取多段微差起爆，为深孔松动爆破，爆破采用水封式爆破抑尘措施，抑尘效率80%；爆破前的凿岩作业产生粉尘，通过洒水加湿处理，采用临时水管洒水抑尘，可使粉尘排放量降低60%，粉尘排放量较少；项目矿石在集堆、铲装会产生一定量粉尘，通过移动式洒水抑尘装置，通过洒水抑尘可使粉尘排放量降低80%；2台破碎机</w:t>
      </w:r>
      <w:r>
        <w:rPr>
          <w:rFonts w:hint="eastAsia" w:eastAsiaTheme="minorEastAsia"/>
          <w:color w:val="auto"/>
          <w:kern w:val="0"/>
          <w:szCs w:val="24"/>
          <w:lang w:eastAsia="zh-CN"/>
        </w:rPr>
        <w:t>和振动筛各自</w:t>
      </w:r>
      <w:r>
        <w:rPr>
          <w:rFonts w:eastAsiaTheme="minorEastAsia"/>
          <w:color w:val="auto"/>
          <w:kern w:val="0"/>
          <w:szCs w:val="24"/>
        </w:rPr>
        <w:t>配备1台除尘器经15m高排气筒排放，废气经布袋除尘器处理后经15m高排气筒排放；石粉仓密闭；临时堆土场及产品堆场采用喷淋洒水装置喷雾洒水保持湿润，工作面定期清理，定期用洒水车对采场路面洒水，运输道路通过村庄的路段在车辆通过时洒水，保持路面湿润，控制行驶速度，并且加盖苫布，减少汽车运输过程中的扬尘；</w:t>
      </w:r>
      <w:r>
        <w:rPr>
          <w:rFonts w:hint="eastAsia" w:eastAsiaTheme="minorEastAsia"/>
          <w:color w:val="auto"/>
          <w:kern w:val="0"/>
          <w:szCs w:val="24"/>
          <w:lang w:eastAsia="zh-CN"/>
        </w:rPr>
        <w:t>临时堆土场</w:t>
      </w:r>
      <w:r>
        <w:rPr>
          <w:rFonts w:eastAsiaTheme="minorEastAsia"/>
          <w:color w:val="auto"/>
          <w:kern w:val="0"/>
          <w:szCs w:val="24"/>
        </w:rPr>
        <w:t>植草绿化，可有效降低90%的扬尘；破碎筛分生产线采取将破碎机及振动筛设备四周设置彩钢板使其封闭，留有检修及维护仓门，入料口</w:t>
      </w:r>
      <w:r>
        <w:rPr>
          <w:rFonts w:hint="eastAsia" w:eastAsiaTheme="minorEastAsia"/>
          <w:color w:val="auto"/>
          <w:kern w:val="0"/>
          <w:szCs w:val="24"/>
          <w:lang w:eastAsia="zh-CN"/>
        </w:rPr>
        <w:t>位于封闭仓内</w:t>
      </w:r>
      <w:r>
        <w:rPr>
          <w:rFonts w:eastAsiaTheme="minorEastAsia"/>
          <w:color w:val="auto"/>
          <w:kern w:val="0"/>
          <w:szCs w:val="24"/>
        </w:rPr>
        <w:t>，石料从破碎机送至振动筛过程采用全封闭皮带式廊道运输，减少粉尘排放。</w:t>
      </w:r>
      <w:r>
        <w:rPr>
          <w:rFonts w:eastAsiaTheme="minorEastAsia"/>
          <w:color w:val="auto"/>
          <w:szCs w:val="24"/>
        </w:rPr>
        <w:t>通过以上措施，粉尘得到有效控制，措施可行。</w:t>
      </w:r>
    </w:p>
    <w:p>
      <w:pPr>
        <w:autoSpaceDE w:val="0"/>
        <w:autoSpaceDN w:val="0"/>
        <w:spacing w:line="500" w:lineRule="exact"/>
        <w:ind w:firstLine="480" w:firstLineChars="200"/>
        <w:rPr>
          <w:rFonts w:eastAsiaTheme="minorEastAsia"/>
          <w:color w:val="auto"/>
        </w:rPr>
      </w:pPr>
      <w:r>
        <w:rPr>
          <w:rFonts w:eastAsiaTheme="minorEastAsia"/>
          <w:color w:val="auto"/>
        </w:rPr>
        <w:t>3）水污染防治措施</w:t>
      </w:r>
    </w:p>
    <w:p>
      <w:pPr>
        <w:autoSpaceDE w:val="0"/>
        <w:autoSpaceDN w:val="0"/>
        <w:spacing w:line="500" w:lineRule="exact"/>
        <w:ind w:firstLine="480" w:firstLineChars="200"/>
        <w:rPr>
          <w:rFonts w:eastAsiaTheme="minorEastAsia"/>
          <w:color w:val="auto"/>
        </w:rPr>
      </w:pPr>
      <w:r>
        <w:rPr>
          <w:rFonts w:eastAsiaTheme="minorEastAsia"/>
          <w:color w:val="auto"/>
        </w:rPr>
        <w:t>本项目产生的废水为抑尘废水和生活污水。抑尘废水蒸发消耗掉；生活污水经防渗旱厕收集，定期清掏，外运堆肥，不外排。所以不会对地表水环境产生影响。</w:t>
      </w:r>
    </w:p>
    <w:p>
      <w:pPr>
        <w:autoSpaceDE w:val="0"/>
        <w:autoSpaceDN w:val="0"/>
        <w:spacing w:line="500" w:lineRule="exact"/>
        <w:ind w:firstLine="480" w:firstLineChars="200"/>
        <w:rPr>
          <w:rFonts w:eastAsiaTheme="minorEastAsia"/>
          <w:color w:val="auto"/>
        </w:rPr>
      </w:pPr>
      <w:r>
        <w:rPr>
          <w:rFonts w:eastAsiaTheme="minorEastAsia"/>
          <w:color w:val="auto"/>
        </w:rPr>
        <w:t>4）噪声防控措施</w:t>
      </w:r>
    </w:p>
    <w:p>
      <w:pPr>
        <w:spacing w:line="500" w:lineRule="exact"/>
        <w:ind w:firstLine="480" w:firstLineChars="200"/>
        <w:rPr>
          <w:rFonts w:eastAsiaTheme="minorEastAsia"/>
          <w:color w:val="auto"/>
        </w:rPr>
      </w:pPr>
      <w:r>
        <w:rPr>
          <w:rFonts w:eastAsiaTheme="minorEastAsia"/>
          <w:color w:val="auto"/>
        </w:rPr>
        <w:t>本项目主要噪声源是爆破、潜孔钻机、空压机、挖掘机、装载机、</w:t>
      </w:r>
      <w:r>
        <w:rPr>
          <w:rFonts w:hint="eastAsia" w:eastAsiaTheme="minorEastAsia"/>
          <w:color w:val="auto"/>
          <w:lang w:eastAsia="zh-CN"/>
        </w:rPr>
        <w:t>自卸汽车</w:t>
      </w:r>
      <w:r>
        <w:rPr>
          <w:rFonts w:eastAsiaTheme="minorEastAsia"/>
          <w:color w:val="auto"/>
        </w:rPr>
        <w:t>等设备噪声以及运输车辆行驶噪声。其噪声防治对策主要考虑从规划上进行合理布局、声源上降低噪声和从噪声传播途径上降低噪声。</w:t>
      </w:r>
    </w:p>
    <w:p>
      <w:pPr>
        <w:tabs>
          <w:tab w:val="right" w:leader="dot" w:pos="8505"/>
        </w:tabs>
        <w:spacing w:line="500" w:lineRule="exact"/>
        <w:ind w:firstLine="480" w:firstLineChars="200"/>
        <w:rPr>
          <w:rFonts w:eastAsiaTheme="minorEastAsia"/>
          <w:color w:val="auto"/>
        </w:rPr>
      </w:pPr>
      <w:r>
        <w:rPr>
          <w:rFonts w:eastAsiaTheme="minorEastAsia"/>
          <w:color w:val="auto"/>
        </w:rPr>
        <w:t>5）固体废物防治措施</w:t>
      </w:r>
    </w:p>
    <w:p>
      <w:pPr>
        <w:autoSpaceDE w:val="0"/>
        <w:autoSpaceDN w:val="0"/>
        <w:adjustRightInd w:val="0"/>
        <w:spacing w:line="500" w:lineRule="exact"/>
        <w:ind w:firstLine="480" w:firstLineChars="200"/>
        <w:rPr>
          <w:rFonts w:eastAsiaTheme="minorEastAsia"/>
          <w:color w:val="auto"/>
        </w:rPr>
      </w:pPr>
      <w:r>
        <w:rPr>
          <w:rFonts w:eastAsiaTheme="minorEastAsia"/>
          <w:color w:val="auto"/>
        </w:rPr>
        <w:t>剥离掉的土岩暂存在临时堆土场，定期外售，综合利用；炸药包装物（纸壳、塑料等）暂存在一般固废收集箱，由爆破部门进行回收再利用；生活垃圾一起交由市政环卫部门统一处置。机械设备定期更换废机油属于危险废物（HW08），应单独收集，用设明显标识的密闭桶盛装，暂存于危废暂存间，交由有资质单位进行处置。</w:t>
      </w:r>
    </w:p>
    <w:p>
      <w:pPr>
        <w:pStyle w:val="276"/>
        <w:rPr>
          <w:rFonts w:eastAsiaTheme="minorEastAsia"/>
          <w:color w:val="auto"/>
        </w:rPr>
      </w:pPr>
      <w:r>
        <w:rPr>
          <w:rFonts w:eastAsiaTheme="minorEastAsia"/>
          <w:color w:val="auto"/>
        </w:rPr>
        <w:t>（3）环境影响预测和评价</w:t>
      </w:r>
    </w:p>
    <w:p>
      <w:pPr>
        <w:tabs>
          <w:tab w:val="right" w:leader="dot" w:pos="8505"/>
        </w:tabs>
        <w:spacing w:line="500" w:lineRule="exact"/>
        <w:ind w:firstLine="480" w:firstLineChars="200"/>
        <w:rPr>
          <w:rFonts w:eastAsiaTheme="minorEastAsia"/>
          <w:color w:val="auto"/>
        </w:rPr>
      </w:pPr>
      <w:r>
        <w:rPr>
          <w:rFonts w:eastAsiaTheme="minorEastAsia"/>
          <w:color w:val="auto"/>
        </w:rPr>
        <w:t>本项目产生的粉尘对环境空气影响</w:t>
      </w:r>
      <w:r>
        <w:rPr>
          <w:rFonts w:hint="eastAsia" w:eastAsiaTheme="minorEastAsia"/>
          <w:color w:val="auto"/>
          <w:lang w:eastAsia="zh-CN"/>
        </w:rPr>
        <w:t>较小</w:t>
      </w:r>
      <w:r>
        <w:rPr>
          <w:rFonts w:eastAsiaTheme="minorEastAsia"/>
          <w:color w:val="auto"/>
        </w:rPr>
        <w:t>，污染物占标率低于10%。经影响分析可知，本项目生活污水排入厂区自建的防渗旱厕，定期清掏，外运堆肥，正常情况下对地表水的现状水质是基本没有影响的。设备噪声经采取消声降噪措施及距离衰减后，对厂界各监测点位的影响较小，厂界噪声可满足《工业企业厂界环境噪声排放标准》（GB12348-2008）中的2类标准要求。本项目产生固体废物均得到有效的处置及利用，不会对区域地表水及环境空气产生显著不利影响。</w:t>
      </w:r>
    </w:p>
    <w:p>
      <w:pPr>
        <w:tabs>
          <w:tab w:val="right" w:leader="dot" w:pos="8505"/>
        </w:tabs>
        <w:spacing w:line="500" w:lineRule="exact"/>
        <w:ind w:firstLine="480" w:firstLineChars="200"/>
        <w:rPr>
          <w:rFonts w:eastAsiaTheme="minorEastAsia"/>
          <w:color w:val="auto"/>
        </w:rPr>
      </w:pPr>
      <w:r>
        <w:rPr>
          <w:rFonts w:eastAsiaTheme="minorEastAsia"/>
          <w:color w:val="auto"/>
        </w:rPr>
        <w:t>（4）污染物排放总量控制</w:t>
      </w:r>
    </w:p>
    <w:p>
      <w:pPr>
        <w:tabs>
          <w:tab w:val="right" w:leader="dot" w:pos="8505"/>
        </w:tabs>
        <w:spacing w:line="500" w:lineRule="exact"/>
        <w:ind w:firstLine="480" w:firstLineChars="200"/>
        <w:rPr>
          <w:rFonts w:eastAsiaTheme="minorEastAsia"/>
          <w:color w:val="auto"/>
        </w:rPr>
      </w:pPr>
      <w:r>
        <w:rPr>
          <w:rFonts w:eastAsiaTheme="minorEastAsia"/>
          <w:color w:val="auto"/>
        </w:rPr>
        <w:t>本项目不涉及水污染物总量，大气污染物（工业粉尘）总量为</w:t>
      </w:r>
      <w:r>
        <w:rPr>
          <w:rFonts w:hint="eastAsia" w:eastAsiaTheme="minorEastAsia"/>
          <w:color w:val="auto"/>
          <w:lang w:val="en-US" w:eastAsia="zh-CN"/>
        </w:rPr>
        <w:t>0.742t</w:t>
      </w:r>
      <w:r>
        <w:rPr>
          <w:rFonts w:eastAsiaTheme="minorEastAsia"/>
          <w:color w:val="auto"/>
        </w:rPr>
        <w:t>/a。</w:t>
      </w:r>
    </w:p>
    <w:p>
      <w:pPr>
        <w:tabs>
          <w:tab w:val="right" w:leader="dot" w:pos="8505"/>
        </w:tabs>
        <w:spacing w:line="500" w:lineRule="exact"/>
        <w:ind w:firstLine="480" w:firstLineChars="200"/>
        <w:rPr>
          <w:rFonts w:eastAsiaTheme="minorEastAsia"/>
          <w:color w:val="auto"/>
        </w:rPr>
      </w:pPr>
      <w:r>
        <w:rPr>
          <w:rFonts w:eastAsiaTheme="minorEastAsia"/>
          <w:color w:val="auto"/>
        </w:rPr>
        <w:t>（5）公众参与</w:t>
      </w:r>
    </w:p>
    <w:p>
      <w:pPr>
        <w:tabs>
          <w:tab w:val="right" w:leader="dot" w:pos="8505"/>
        </w:tabs>
        <w:spacing w:line="500" w:lineRule="exact"/>
        <w:ind w:firstLine="480" w:firstLineChars="200"/>
        <w:rPr>
          <w:rFonts w:eastAsiaTheme="minorEastAsia"/>
          <w:color w:val="auto"/>
        </w:rPr>
      </w:pPr>
      <w:r>
        <w:rPr>
          <w:rFonts w:eastAsiaTheme="minorEastAsia"/>
          <w:color w:val="auto"/>
        </w:rPr>
        <w:t>建设单位</w:t>
      </w:r>
      <w:r>
        <w:rPr>
          <w:rFonts w:hint="eastAsia" w:eastAsiaTheme="minorEastAsia"/>
          <w:color w:val="auto"/>
          <w:lang w:eastAsia="zh-CN"/>
        </w:rPr>
        <w:t>在</w:t>
      </w:r>
      <w:r>
        <w:rPr>
          <w:rFonts w:hint="eastAsia" w:ascii="宋体" w:hAnsi="宋体" w:cs="宋体"/>
          <w:color w:val="auto"/>
          <w:shd w:val="clear" w:color="auto" w:fill="FFFFFF"/>
        </w:rPr>
        <w:t>建设项目所在地公共媒体网站</w:t>
      </w:r>
      <w:r>
        <w:rPr>
          <w:rFonts w:hint="eastAsia" w:ascii="宋体" w:hAnsi="宋体" w:cs="宋体"/>
          <w:color w:val="auto"/>
          <w:shd w:val="clear" w:color="auto" w:fill="FFFFFF"/>
          <w:lang w:eastAsia="zh-CN"/>
        </w:rPr>
        <w:t>进行了网络公示、同时进行了</w:t>
      </w:r>
      <w:r>
        <w:rPr>
          <w:rFonts w:eastAsiaTheme="minorEastAsia"/>
          <w:color w:val="auto"/>
        </w:rPr>
        <w:t>报纸公示</w:t>
      </w:r>
      <w:r>
        <w:rPr>
          <w:rFonts w:hint="eastAsia" w:eastAsiaTheme="minorEastAsia"/>
          <w:color w:val="auto"/>
          <w:lang w:eastAsia="zh-CN"/>
        </w:rPr>
        <w:t>和张贴公示</w:t>
      </w:r>
      <w:r>
        <w:rPr>
          <w:rFonts w:eastAsiaTheme="minorEastAsia"/>
          <w:color w:val="auto"/>
        </w:rPr>
        <w:t>，从调查及公示统计结果来看，所在区域的公众能够正确理解项目建设的意义和可能产生的环境影响，被调查公众中100％支持建设，</w:t>
      </w:r>
      <w:r>
        <w:rPr>
          <w:rFonts w:hint="eastAsia" w:eastAsiaTheme="minorEastAsia"/>
          <w:color w:val="auto"/>
          <w:lang w:eastAsia="zh-CN"/>
        </w:rPr>
        <w:t>无反对意见</w:t>
      </w:r>
      <w:r>
        <w:rPr>
          <w:rFonts w:eastAsiaTheme="minorEastAsia"/>
          <w:color w:val="auto"/>
        </w:rPr>
        <w:t>。</w:t>
      </w:r>
    </w:p>
    <w:p>
      <w:pPr>
        <w:tabs>
          <w:tab w:val="right" w:leader="dot" w:pos="8505"/>
        </w:tabs>
        <w:spacing w:line="500" w:lineRule="exact"/>
        <w:ind w:firstLine="480" w:firstLineChars="200"/>
        <w:rPr>
          <w:rFonts w:eastAsiaTheme="minorEastAsia"/>
          <w:color w:val="auto"/>
        </w:rPr>
      </w:pPr>
      <w:r>
        <w:rPr>
          <w:rFonts w:eastAsiaTheme="minorEastAsia"/>
          <w:color w:val="auto"/>
        </w:rPr>
        <w:t>（6）风险评价结论</w:t>
      </w:r>
    </w:p>
    <w:p>
      <w:pPr>
        <w:tabs>
          <w:tab w:val="right" w:leader="dot" w:pos="8505"/>
        </w:tabs>
        <w:spacing w:line="500" w:lineRule="exact"/>
        <w:ind w:firstLine="480" w:firstLineChars="200"/>
        <w:rPr>
          <w:rFonts w:eastAsiaTheme="minorEastAsia"/>
          <w:color w:val="auto"/>
        </w:rPr>
      </w:pPr>
      <w:r>
        <w:rPr>
          <w:rFonts w:eastAsiaTheme="minorEastAsia"/>
          <w:color w:val="auto"/>
        </w:rPr>
        <w:t>针对项目存在的各种风险源，本项目提出的各种风险防范措施，通过环境风险评价可知本项目环境风险水平较低。</w:t>
      </w:r>
    </w:p>
    <w:p>
      <w:pPr>
        <w:widowControl/>
        <w:adjustRightInd w:val="0"/>
        <w:snapToGrid w:val="0"/>
        <w:spacing w:line="500" w:lineRule="exact"/>
        <w:ind w:firstLine="480" w:firstLineChars="200"/>
        <w:jc w:val="left"/>
        <w:rPr>
          <w:rFonts w:eastAsiaTheme="minorEastAsia"/>
          <w:color w:val="auto"/>
          <w:kern w:val="0"/>
          <w:szCs w:val="24"/>
        </w:rPr>
      </w:pPr>
      <w:r>
        <w:rPr>
          <w:rFonts w:eastAsiaTheme="minorEastAsia"/>
          <w:color w:val="auto"/>
        </w:rPr>
        <w:t xml:space="preserve"> 综上，本项目满足国家、地区的相关规划和产业政策要求。该项目采用的生产工艺属于清洁生产工艺，采取的污染防治措施有效、可靠；主要废气污染物的排放符合标准的规定；固体废物进行有效处置。通过上述措施使项目的环境影响程度和范围大大降低，可以控制在国家和地方的有关环保标准限值之内；厂址选择合理、可行。同时，建设单位必须落实好环评提出的各项要求，严格执行环保“三同时”制度，在此条件下，本项目的建设从环保方面考虑是可行的。</w:t>
      </w:r>
    </w:p>
    <w:bookmarkEnd w:id="15"/>
    <w:bookmarkEnd w:id="16"/>
    <w:bookmarkEnd w:id="17"/>
    <w:bookmarkEnd w:id="18"/>
    <w:bookmarkEnd w:id="19"/>
    <w:p>
      <w:pPr>
        <w:pStyle w:val="176"/>
        <w:rPr>
          <w:rFonts w:eastAsiaTheme="minorEastAsia"/>
          <w:b w:val="0"/>
          <w:color w:val="auto"/>
        </w:rPr>
        <w:sectPr>
          <w:pgSz w:w="11906" w:h="16838"/>
          <w:pgMar w:top="1440" w:right="1800" w:bottom="1440" w:left="1800" w:header="851" w:footer="992" w:gutter="0"/>
          <w:pgBorders>
            <w:top w:val="none" w:sz="0" w:space="0"/>
            <w:left w:val="none" w:sz="0" w:space="0"/>
            <w:bottom w:val="none" w:sz="0" w:space="0"/>
            <w:right w:val="none" w:sz="0" w:space="0"/>
          </w:pgBorders>
          <w:pgNumType w:start="1"/>
          <w:cols w:space="720" w:num="1"/>
          <w:docGrid w:type="lines" w:linePitch="312" w:charSpace="0"/>
        </w:sectPr>
      </w:pPr>
    </w:p>
    <w:p>
      <w:pPr>
        <w:pStyle w:val="236"/>
        <w:rPr>
          <w:rFonts w:eastAsiaTheme="minorEastAsia"/>
          <w:color w:val="auto"/>
        </w:rPr>
      </w:pPr>
      <w:bookmarkStart w:id="28" w:name="_Toc440973657"/>
      <w:bookmarkStart w:id="29" w:name="_Toc519693558"/>
      <w:bookmarkStart w:id="30" w:name="_Toc440973391"/>
      <w:r>
        <w:rPr>
          <w:rFonts w:eastAsiaTheme="minorEastAsia"/>
          <w:color w:val="auto"/>
        </w:rPr>
        <w:t>2总则</w:t>
      </w:r>
      <w:bookmarkEnd w:id="28"/>
      <w:bookmarkEnd w:id="29"/>
      <w:bookmarkEnd w:id="30"/>
    </w:p>
    <w:p>
      <w:pPr>
        <w:pStyle w:val="238"/>
        <w:rPr>
          <w:rFonts w:hAnsi="Times New Roman" w:eastAsiaTheme="minorEastAsia"/>
          <w:color w:val="auto"/>
        </w:rPr>
      </w:pPr>
      <w:bookmarkStart w:id="31" w:name="_Toc519693559"/>
      <w:bookmarkStart w:id="32" w:name="_Toc440973392"/>
      <w:bookmarkStart w:id="33" w:name="_Toc440973658"/>
      <w:r>
        <w:rPr>
          <w:rFonts w:hAnsi="Times New Roman" w:eastAsiaTheme="minorEastAsia"/>
          <w:color w:val="auto"/>
        </w:rPr>
        <w:t>2.1编制依据</w:t>
      </w:r>
      <w:bookmarkEnd w:id="31"/>
      <w:bookmarkEnd w:id="32"/>
      <w:bookmarkEnd w:id="33"/>
    </w:p>
    <w:p>
      <w:pPr>
        <w:pStyle w:val="240"/>
        <w:rPr>
          <w:rFonts w:ascii="Times New Roman" w:hAnsi="Times New Roman" w:cs="Times New Roman" w:eastAsiaTheme="minorEastAsia"/>
          <w:color w:val="auto"/>
        </w:rPr>
      </w:pPr>
      <w:bookmarkStart w:id="34" w:name="_Toc440973393"/>
      <w:bookmarkStart w:id="35" w:name="_Toc440973023"/>
      <w:bookmarkStart w:id="36" w:name="_Toc440973659"/>
      <w:r>
        <w:rPr>
          <w:rFonts w:ascii="Times New Roman" w:hAnsi="Times New Roman" w:cs="Times New Roman" w:eastAsiaTheme="minorEastAsia"/>
          <w:color w:val="auto"/>
        </w:rPr>
        <w:t>2.1.1相关法律、法规</w:t>
      </w:r>
      <w:bookmarkEnd w:id="34"/>
      <w:bookmarkEnd w:id="35"/>
      <w:bookmarkEnd w:id="36"/>
    </w:p>
    <w:p>
      <w:pPr>
        <w:pStyle w:val="276"/>
        <w:rPr>
          <w:rFonts w:eastAsiaTheme="minorEastAsia"/>
          <w:color w:val="auto"/>
        </w:rPr>
      </w:pPr>
      <w:bookmarkStart w:id="37" w:name="_Toc440973660"/>
      <w:bookmarkStart w:id="38" w:name="_Toc440973024"/>
      <w:bookmarkStart w:id="39" w:name="_Toc440973394"/>
      <w:r>
        <w:rPr>
          <w:rFonts w:eastAsiaTheme="minorEastAsia"/>
          <w:color w:val="auto"/>
        </w:rPr>
        <w:t>（1）《中华人民共和国环境保护法》（2015.01.01）；</w:t>
      </w:r>
    </w:p>
    <w:p>
      <w:pPr>
        <w:pStyle w:val="276"/>
        <w:rPr>
          <w:rFonts w:eastAsiaTheme="minorEastAsia"/>
          <w:color w:val="auto"/>
        </w:rPr>
      </w:pPr>
      <w:r>
        <w:rPr>
          <w:rFonts w:eastAsiaTheme="minorEastAsia"/>
          <w:color w:val="auto"/>
        </w:rPr>
        <w:t>（2）《中华人民共和国环境影响评价法》（2016.09.01）；</w:t>
      </w:r>
    </w:p>
    <w:p>
      <w:pPr>
        <w:pStyle w:val="276"/>
        <w:rPr>
          <w:rFonts w:eastAsiaTheme="minorEastAsia"/>
          <w:color w:val="auto"/>
        </w:rPr>
      </w:pPr>
      <w:r>
        <w:rPr>
          <w:rFonts w:eastAsiaTheme="minorEastAsia"/>
          <w:color w:val="auto"/>
        </w:rPr>
        <w:t>（3）《中华人民共和国大气污染防治法》（2016.01.01）；</w:t>
      </w:r>
    </w:p>
    <w:p>
      <w:pPr>
        <w:pStyle w:val="276"/>
        <w:rPr>
          <w:rFonts w:eastAsiaTheme="minorEastAsia"/>
          <w:color w:val="auto"/>
        </w:rPr>
      </w:pPr>
      <w:r>
        <w:rPr>
          <w:rFonts w:eastAsiaTheme="minorEastAsia"/>
          <w:color w:val="auto"/>
        </w:rPr>
        <w:t>（4）《中华人民共和国环境噪声污染防治法》（1997.03.01）；</w:t>
      </w:r>
    </w:p>
    <w:p>
      <w:pPr>
        <w:pStyle w:val="276"/>
        <w:rPr>
          <w:rFonts w:eastAsiaTheme="minorEastAsia"/>
          <w:color w:val="auto"/>
        </w:rPr>
      </w:pPr>
      <w:r>
        <w:rPr>
          <w:rFonts w:eastAsiaTheme="minorEastAsia"/>
          <w:color w:val="auto"/>
        </w:rPr>
        <w:t>（5）《中华人民共和国水污染防治法》（2018.01.01）；</w:t>
      </w:r>
    </w:p>
    <w:p>
      <w:pPr>
        <w:pStyle w:val="276"/>
        <w:rPr>
          <w:rFonts w:eastAsiaTheme="minorEastAsia"/>
          <w:color w:val="auto"/>
        </w:rPr>
      </w:pPr>
      <w:r>
        <w:rPr>
          <w:rFonts w:eastAsiaTheme="minorEastAsia"/>
          <w:color w:val="auto"/>
        </w:rPr>
        <w:t>（6）《中华人民共和国固体废物污染环境防治法》（2016.11.07修正）；</w:t>
      </w:r>
    </w:p>
    <w:p>
      <w:pPr>
        <w:pStyle w:val="276"/>
        <w:rPr>
          <w:rFonts w:eastAsiaTheme="minorEastAsia"/>
          <w:color w:val="auto"/>
        </w:rPr>
      </w:pPr>
      <w:r>
        <w:rPr>
          <w:rFonts w:eastAsiaTheme="minorEastAsia"/>
          <w:color w:val="auto"/>
        </w:rPr>
        <w:t>（7）《中华人民共和国水土保持法》（2011.01.08）；</w:t>
      </w:r>
    </w:p>
    <w:p>
      <w:pPr>
        <w:pStyle w:val="276"/>
        <w:rPr>
          <w:rFonts w:eastAsiaTheme="minorEastAsia"/>
          <w:color w:val="auto"/>
        </w:rPr>
      </w:pPr>
      <w:r>
        <w:rPr>
          <w:rFonts w:eastAsiaTheme="minorEastAsia"/>
          <w:color w:val="auto"/>
        </w:rPr>
        <w:t>（8）《中华人民共和国清洁生产促进法》（2012.07.01）；</w:t>
      </w:r>
    </w:p>
    <w:p>
      <w:pPr>
        <w:pStyle w:val="276"/>
        <w:rPr>
          <w:rFonts w:eastAsiaTheme="minorEastAsia"/>
          <w:color w:val="auto"/>
        </w:rPr>
      </w:pPr>
      <w:r>
        <w:rPr>
          <w:rFonts w:eastAsiaTheme="minorEastAsia"/>
          <w:color w:val="auto"/>
        </w:rPr>
        <w:t>（9）《中华人民共和国矿产资源法》（2009.08.29）；</w:t>
      </w:r>
    </w:p>
    <w:p>
      <w:pPr>
        <w:pStyle w:val="276"/>
        <w:rPr>
          <w:rFonts w:eastAsiaTheme="minorEastAsia"/>
          <w:color w:val="auto"/>
        </w:rPr>
      </w:pPr>
      <w:r>
        <w:rPr>
          <w:rFonts w:eastAsiaTheme="minorEastAsia"/>
          <w:color w:val="auto"/>
        </w:rPr>
        <w:t>（10）《中华人民共和国土地管理法》（2004.08.28）；</w:t>
      </w:r>
    </w:p>
    <w:p>
      <w:pPr>
        <w:pStyle w:val="276"/>
        <w:rPr>
          <w:rFonts w:eastAsiaTheme="minorEastAsia"/>
          <w:color w:val="auto"/>
        </w:rPr>
      </w:pPr>
      <w:r>
        <w:rPr>
          <w:rFonts w:eastAsiaTheme="minorEastAsia"/>
          <w:color w:val="auto"/>
        </w:rPr>
        <w:t>（11）《建设项目环境保护管理条例》中华人民共和国国务院令第682号（2017.10.1）；</w:t>
      </w:r>
    </w:p>
    <w:p>
      <w:pPr>
        <w:pStyle w:val="276"/>
        <w:rPr>
          <w:rFonts w:eastAsiaTheme="minorEastAsia"/>
          <w:color w:val="auto"/>
        </w:rPr>
      </w:pPr>
      <w:r>
        <w:rPr>
          <w:rFonts w:eastAsiaTheme="minorEastAsia"/>
          <w:color w:val="auto"/>
        </w:rPr>
        <w:t>（12）《建设项目环境影响评价分类管理名录》（环境保护部令44号）（2017.09.01）及生态环境部令第1号关于修改《建设项目环境影响评价分类管理名录》部分内容的决定（2018.04.28）；</w:t>
      </w:r>
    </w:p>
    <w:p>
      <w:pPr>
        <w:pStyle w:val="276"/>
        <w:rPr>
          <w:rFonts w:eastAsiaTheme="minorEastAsia"/>
          <w:color w:val="auto"/>
        </w:rPr>
      </w:pPr>
      <w:r>
        <w:rPr>
          <w:rFonts w:eastAsiaTheme="minorEastAsia"/>
          <w:color w:val="auto"/>
        </w:rPr>
        <w:t>（13）《全国生态环境保护纲要》国务院国发[2000]38号（2000.11.26）；</w:t>
      </w:r>
    </w:p>
    <w:p>
      <w:pPr>
        <w:pStyle w:val="276"/>
        <w:rPr>
          <w:rFonts w:eastAsiaTheme="minorEastAsia"/>
          <w:color w:val="auto"/>
        </w:rPr>
      </w:pPr>
      <w:r>
        <w:rPr>
          <w:rFonts w:eastAsiaTheme="minorEastAsia"/>
          <w:color w:val="auto"/>
        </w:rPr>
        <w:t>（14）《产业结构调整指导目录(2011年本）》（2016修正）；</w:t>
      </w:r>
    </w:p>
    <w:p>
      <w:pPr>
        <w:pStyle w:val="276"/>
        <w:rPr>
          <w:rFonts w:eastAsiaTheme="minorEastAsia"/>
          <w:color w:val="auto"/>
        </w:rPr>
      </w:pPr>
      <w:r>
        <w:rPr>
          <w:rFonts w:eastAsiaTheme="minorEastAsia"/>
          <w:color w:val="auto"/>
        </w:rPr>
        <w:t>（15）《矿山地质环境保护规定》中华人民共和国国土资源部令第44号（2009.05.01）；</w:t>
      </w:r>
    </w:p>
    <w:p>
      <w:pPr>
        <w:pStyle w:val="276"/>
        <w:rPr>
          <w:rFonts w:eastAsiaTheme="minorEastAsia"/>
          <w:color w:val="auto"/>
        </w:rPr>
      </w:pPr>
      <w:r>
        <w:rPr>
          <w:rFonts w:eastAsiaTheme="minorEastAsia"/>
          <w:color w:val="auto"/>
        </w:rPr>
        <w:t>（16）《关于加强资源开发生态环境保护监管工作的意见》国家环境保护总局环发[2004]24号（2004.02.12）；</w:t>
      </w:r>
    </w:p>
    <w:p>
      <w:pPr>
        <w:pStyle w:val="276"/>
        <w:rPr>
          <w:rFonts w:eastAsiaTheme="minorEastAsia"/>
          <w:color w:val="auto"/>
        </w:rPr>
      </w:pPr>
      <w:r>
        <w:rPr>
          <w:rFonts w:eastAsiaTheme="minorEastAsia"/>
          <w:color w:val="auto"/>
        </w:rPr>
        <w:t>（17）《黑龙江省环境保护条例》（黑龙江省第十二届人民代表大会常务委员会第十九次会议）（2015.04.17）；</w:t>
      </w:r>
    </w:p>
    <w:p>
      <w:pPr>
        <w:pStyle w:val="276"/>
        <w:rPr>
          <w:rFonts w:eastAsiaTheme="minorEastAsia"/>
          <w:color w:val="auto"/>
        </w:rPr>
      </w:pPr>
      <w:r>
        <w:rPr>
          <w:rFonts w:eastAsiaTheme="minorEastAsia"/>
          <w:color w:val="auto"/>
        </w:rPr>
        <w:t>（18）《黑龙江省松花江流域水污染防治条例》（2015年修正）（2015.04.17）</w:t>
      </w:r>
    </w:p>
    <w:p>
      <w:pPr>
        <w:pStyle w:val="276"/>
        <w:rPr>
          <w:rFonts w:eastAsiaTheme="minorEastAsia"/>
          <w:color w:val="auto"/>
        </w:rPr>
      </w:pPr>
      <w:r>
        <w:rPr>
          <w:rFonts w:eastAsiaTheme="minorEastAsia"/>
          <w:color w:val="auto"/>
        </w:rPr>
        <w:t>（19）《建设项目危险废物环境影响评价指南》（环境保护部公告 2017 年 第 43 号）（2017.10.01）；</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2.1.2相关技术规范</w:t>
      </w:r>
      <w:bookmarkEnd w:id="37"/>
      <w:bookmarkEnd w:id="38"/>
      <w:bookmarkEnd w:id="39"/>
    </w:p>
    <w:p>
      <w:pPr>
        <w:pStyle w:val="276"/>
        <w:rPr>
          <w:rFonts w:eastAsiaTheme="minorEastAsia"/>
          <w:color w:val="auto"/>
        </w:rPr>
      </w:pPr>
      <w:r>
        <w:rPr>
          <w:rFonts w:eastAsiaTheme="minorEastAsia"/>
          <w:color w:val="auto"/>
        </w:rPr>
        <w:t>（1）《建设项目环境影响评价技术导则 总纲》(HJ2.1-2016)；</w:t>
      </w:r>
    </w:p>
    <w:p>
      <w:pPr>
        <w:pStyle w:val="276"/>
        <w:rPr>
          <w:rFonts w:eastAsiaTheme="minorEastAsia"/>
          <w:color w:val="auto"/>
        </w:rPr>
      </w:pPr>
      <w:r>
        <w:rPr>
          <w:rFonts w:eastAsiaTheme="minorEastAsia"/>
          <w:color w:val="auto"/>
        </w:rPr>
        <w:t>（2）《环境影响评价技术导则 大气环境》(HJ</w:t>
      </w:r>
      <w:r>
        <w:rPr>
          <w:rFonts w:hint="eastAsia" w:eastAsiaTheme="minorEastAsia"/>
          <w:color w:val="auto"/>
          <w:lang w:eastAsia="zh-CN"/>
        </w:rPr>
        <w:t>2.2-2018</w:t>
      </w:r>
      <w:r>
        <w:rPr>
          <w:rFonts w:eastAsiaTheme="minorEastAsia"/>
          <w:color w:val="auto"/>
        </w:rPr>
        <w:t>)；</w:t>
      </w:r>
    </w:p>
    <w:p>
      <w:pPr>
        <w:pStyle w:val="276"/>
        <w:rPr>
          <w:rFonts w:eastAsiaTheme="minorEastAsia"/>
          <w:color w:val="auto"/>
        </w:rPr>
      </w:pPr>
      <w:r>
        <w:rPr>
          <w:rFonts w:eastAsiaTheme="minorEastAsia"/>
          <w:color w:val="auto"/>
        </w:rPr>
        <w:t>（3）《环境影响评价技术导则 地面水环境》(HJ/T2.3-93)；</w:t>
      </w:r>
    </w:p>
    <w:p>
      <w:pPr>
        <w:pStyle w:val="276"/>
        <w:rPr>
          <w:rFonts w:eastAsiaTheme="minorEastAsia"/>
          <w:color w:val="auto"/>
        </w:rPr>
      </w:pPr>
      <w:r>
        <w:rPr>
          <w:rFonts w:eastAsiaTheme="minorEastAsia"/>
          <w:color w:val="auto"/>
        </w:rPr>
        <w:t>（4）《环境影响评价技术导则 声环境》(HJ2.4-2009)；</w:t>
      </w:r>
    </w:p>
    <w:p>
      <w:pPr>
        <w:pStyle w:val="276"/>
        <w:rPr>
          <w:rFonts w:eastAsiaTheme="minorEastAsia"/>
          <w:color w:val="auto"/>
        </w:rPr>
      </w:pPr>
      <w:r>
        <w:rPr>
          <w:rFonts w:eastAsiaTheme="minorEastAsia"/>
          <w:color w:val="auto"/>
        </w:rPr>
        <w:t>（5）《环境影响评价技术导则 地下水环境》(HJ610-2016)；</w:t>
      </w:r>
    </w:p>
    <w:p>
      <w:pPr>
        <w:pStyle w:val="276"/>
        <w:rPr>
          <w:rFonts w:eastAsiaTheme="minorEastAsia"/>
          <w:color w:val="auto"/>
        </w:rPr>
      </w:pPr>
      <w:r>
        <w:rPr>
          <w:rFonts w:eastAsiaTheme="minorEastAsia"/>
          <w:color w:val="auto"/>
        </w:rPr>
        <w:t>（6）《环境影响评价技术导则 生态环境》(HJ19-2011)；</w:t>
      </w:r>
    </w:p>
    <w:p>
      <w:pPr>
        <w:pStyle w:val="276"/>
        <w:rPr>
          <w:rFonts w:eastAsiaTheme="minorEastAsia"/>
          <w:color w:val="auto"/>
        </w:rPr>
      </w:pPr>
      <w:r>
        <w:rPr>
          <w:rFonts w:eastAsiaTheme="minorEastAsia"/>
          <w:color w:val="auto"/>
        </w:rPr>
        <w:t>（7）《建设项目环境风险评价技术导则》(HJ/T169-2004)；</w:t>
      </w:r>
    </w:p>
    <w:p>
      <w:pPr>
        <w:pStyle w:val="276"/>
        <w:rPr>
          <w:rFonts w:eastAsiaTheme="minorEastAsia"/>
          <w:color w:val="auto"/>
        </w:rPr>
      </w:pPr>
      <w:r>
        <w:rPr>
          <w:rFonts w:eastAsiaTheme="minorEastAsia"/>
          <w:color w:val="auto"/>
        </w:rPr>
        <w:t>（8）《水土保持综合治理技术规范》（GB/T16453.1-6-2008）；</w:t>
      </w:r>
    </w:p>
    <w:p>
      <w:pPr>
        <w:pStyle w:val="276"/>
        <w:rPr>
          <w:rFonts w:eastAsiaTheme="minorEastAsia"/>
          <w:color w:val="auto"/>
        </w:rPr>
      </w:pPr>
      <w:r>
        <w:rPr>
          <w:rFonts w:eastAsiaTheme="minorEastAsia"/>
          <w:color w:val="auto"/>
        </w:rPr>
        <w:t>（9）《矿山生态环境保护与恢复治理技术规范(试行)》(HJ651-2013)；</w:t>
      </w:r>
    </w:p>
    <w:p>
      <w:pPr>
        <w:pStyle w:val="276"/>
        <w:rPr>
          <w:rFonts w:eastAsiaTheme="minorEastAsia"/>
          <w:color w:val="auto"/>
        </w:rPr>
      </w:pPr>
      <w:r>
        <w:rPr>
          <w:rFonts w:eastAsiaTheme="minorEastAsia"/>
          <w:color w:val="auto"/>
        </w:rPr>
        <w:t>（10）《污染源源强核算技术指南 准则》（HJ884-2018）。</w:t>
      </w:r>
    </w:p>
    <w:p>
      <w:pPr>
        <w:pStyle w:val="240"/>
        <w:rPr>
          <w:rFonts w:ascii="Times New Roman" w:hAnsi="Times New Roman" w:cs="Times New Roman" w:eastAsiaTheme="minorEastAsia"/>
          <w:color w:val="auto"/>
        </w:rPr>
      </w:pPr>
      <w:bookmarkStart w:id="40" w:name="_Toc233779584"/>
      <w:bookmarkStart w:id="41" w:name="_Toc440973395"/>
      <w:bookmarkStart w:id="42" w:name="_Toc440973025"/>
      <w:bookmarkStart w:id="43" w:name="_Toc440973661"/>
      <w:r>
        <w:rPr>
          <w:rFonts w:ascii="Times New Roman" w:hAnsi="Times New Roman" w:cs="Times New Roman" w:eastAsiaTheme="minorEastAsia"/>
          <w:color w:val="auto"/>
        </w:rPr>
        <w:t>2.1.3相关文件</w:t>
      </w:r>
      <w:bookmarkEnd w:id="40"/>
      <w:bookmarkEnd w:id="41"/>
      <w:bookmarkEnd w:id="42"/>
      <w:bookmarkEnd w:id="43"/>
    </w:p>
    <w:p>
      <w:pPr>
        <w:pStyle w:val="276"/>
        <w:numPr>
          <w:ilvl w:val="0"/>
          <w:numId w:val="1"/>
        </w:numPr>
        <w:rPr>
          <w:rFonts w:eastAsiaTheme="minorEastAsia"/>
          <w:color w:val="auto"/>
        </w:rPr>
      </w:pPr>
      <w:r>
        <w:rPr>
          <w:rFonts w:eastAsiaTheme="minorEastAsia"/>
          <w:color w:val="auto"/>
        </w:rPr>
        <w:t>《</w:t>
      </w:r>
      <w:r>
        <w:rPr>
          <w:rFonts w:hint="eastAsia" w:eastAsiaTheme="minorEastAsia"/>
          <w:color w:val="auto"/>
          <w:lang w:eastAsia="zh-CN"/>
        </w:rPr>
        <w:t>佳木斯市郊区新华采石场</w:t>
      </w:r>
      <w:r>
        <w:rPr>
          <w:rFonts w:eastAsiaTheme="minorEastAsia"/>
          <w:color w:val="auto"/>
        </w:rPr>
        <w:t>资源储量</w:t>
      </w:r>
      <w:r>
        <w:rPr>
          <w:rFonts w:hint="eastAsia" w:eastAsiaTheme="minorEastAsia"/>
          <w:color w:val="auto"/>
          <w:lang w:eastAsia="zh-CN"/>
        </w:rPr>
        <w:t>核实</w:t>
      </w:r>
      <w:r>
        <w:rPr>
          <w:rFonts w:eastAsiaTheme="minorEastAsia"/>
          <w:color w:val="auto"/>
        </w:rPr>
        <w:t>报告》</w:t>
      </w:r>
      <w:r>
        <w:rPr>
          <w:rFonts w:hint="eastAsia" w:eastAsiaTheme="minorEastAsia"/>
          <w:color w:val="auto"/>
          <w:lang w:eastAsia="zh-CN"/>
        </w:rPr>
        <w:t>（含佳华分厂）</w:t>
      </w:r>
      <w:r>
        <w:rPr>
          <w:rFonts w:eastAsiaTheme="minorEastAsia"/>
          <w:color w:val="auto"/>
        </w:rPr>
        <w:t>；</w:t>
      </w:r>
    </w:p>
    <w:p>
      <w:pPr>
        <w:pStyle w:val="276"/>
        <w:numPr>
          <w:ilvl w:val="0"/>
          <w:numId w:val="1"/>
        </w:numPr>
        <w:rPr>
          <w:rFonts w:eastAsiaTheme="minorEastAsia"/>
          <w:color w:val="auto"/>
        </w:rPr>
      </w:pPr>
      <w:r>
        <w:rPr>
          <w:rFonts w:eastAsiaTheme="minorEastAsia"/>
          <w:color w:val="auto"/>
        </w:rPr>
        <w:t>《</w:t>
      </w:r>
      <w:r>
        <w:rPr>
          <w:rFonts w:hint="eastAsia" w:eastAsiaTheme="minorEastAsia"/>
          <w:color w:val="auto"/>
          <w:lang w:eastAsia="zh-CN"/>
        </w:rPr>
        <w:t>佳木斯市郊区新华采石场</w:t>
      </w:r>
      <w:r>
        <w:rPr>
          <w:rFonts w:eastAsiaTheme="minorEastAsia"/>
          <w:color w:val="auto"/>
        </w:rPr>
        <w:t>矿产资源开发利用方案》</w:t>
      </w:r>
      <w:r>
        <w:rPr>
          <w:rFonts w:hint="eastAsia" w:eastAsiaTheme="minorEastAsia"/>
          <w:color w:val="auto"/>
          <w:lang w:eastAsia="zh-CN"/>
        </w:rPr>
        <w:t>（含佳华分厂）</w:t>
      </w:r>
      <w:r>
        <w:rPr>
          <w:rFonts w:eastAsiaTheme="minorEastAsia"/>
          <w:color w:val="auto"/>
        </w:rPr>
        <w:t>；</w:t>
      </w:r>
    </w:p>
    <w:p>
      <w:pPr>
        <w:pStyle w:val="276"/>
        <w:rPr>
          <w:rFonts w:eastAsiaTheme="minorEastAsia"/>
          <w:color w:val="auto"/>
        </w:rPr>
      </w:pPr>
      <w:r>
        <w:rPr>
          <w:rFonts w:eastAsiaTheme="minorEastAsia"/>
          <w:color w:val="auto"/>
        </w:rPr>
        <w:t>（3）</w:t>
      </w:r>
      <w:r>
        <w:rPr>
          <w:rFonts w:hint="eastAsia" w:eastAsiaTheme="minorEastAsia"/>
          <w:color w:val="auto"/>
          <w:lang w:eastAsia="zh-CN"/>
        </w:rPr>
        <w:t>佳木斯市郊区佳华石料厂</w:t>
      </w:r>
      <w:r>
        <w:rPr>
          <w:rFonts w:eastAsiaTheme="minorEastAsia"/>
          <w:color w:val="auto"/>
        </w:rPr>
        <w:t>提供的相关资料。</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2.1.4相关政策及规划</w:t>
      </w:r>
    </w:p>
    <w:p>
      <w:pPr>
        <w:pStyle w:val="276"/>
        <w:rPr>
          <w:rFonts w:eastAsiaTheme="minorEastAsia"/>
          <w:color w:val="auto"/>
        </w:rPr>
      </w:pPr>
      <w:r>
        <w:rPr>
          <w:rFonts w:eastAsiaTheme="minorEastAsia"/>
          <w:color w:val="auto"/>
        </w:rPr>
        <w:t>（1）《中华人民共和国国民经济和社会发展第十三个五年规划纲要》；</w:t>
      </w:r>
    </w:p>
    <w:p>
      <w:pPr>
        <w:pStyle w:val="276"/>
        <w:rPr>
          <w:rFonts w:eastAsiaTheme="minorEastAsia"/>
          <w:color w:val="auto"/>
        </w:rPr>
      </w:pPr>
      <w:r>
        <w:rPr>
          <w:rFonts w:eastAsiaTheme="minorEastAsia"/>
          <w:color w:val="auto"/>
        </w:rPr>
        <w:t>（2）《黑龙江省国民经济和社会发展第十三个五年规划纲要》；</w:t>
      </w:r>
    </w:p>
    <w:p>
      <w:pPr>
        <w:pStyle w:val="276"/>
        <w:rPr>
          <w:rFonts w:eastAsiaTheme="minorEastAsia"/>
          <w:color w:val="auto"/>
        </w:rPr>
      </w:pPr>
      <w:r>
        <w:rPr>
          <w:rFonts w:eastAsiaTheme="minorEastAsia"/>
          <w:color w:val="auto"/>
        </w:rPr>
        <w:t>（3）《矿山生态环境保护与污染防治技术政策》（环发[2005]109号文）；</w:t>
      </w:r>
    </w:p>
    <w:p>
      <w:pPr>
        <w:pStyle w:val="276"/>
        <w:rPr>
          <w:rFonts w:eastAsiaTheme="minorEastAsia"/>
          <w:color w:val="auto"/>
        </w:rPr>
      </w:pPr>
      <w:r>
        <w:rPr>
          <w:rFonts w:eastAsiaTheme="minorEastAsia"/>
          <w:color w:val="auto"/>
        </w:rPr>
        <w:t>（4）《哈尔滨市生态功能保护区管理办法》；</w:t>
      </w:r>
    </w:p>
    <w:p>
      <w:pPr>
        <w:pStyle w:val="276"/>
        <w:rPr>
          <w:rFonts w:eastAsiaTheme="minorEastAsia"/>
          <w:color w:val="auto"/>
        </w:rPr>
      </w:pPr>
      <w:r>
        <w:rPr>
          <w:rFonts w:eastAsiaTheme="minorEastAsia"/>
          <w:color w:val="auto"/>
        </w:rPr>
        <w:t>（5）《黑龙江省水土保持规划（2015-2030年）》；</w:t>
      </w:r>
    </w:p>
    <w:p>
      <w:pPr>
        <w:pStyle w:val="276"/>
        <w:rPr>
          <w:rFonts w:eastAsiaTheme="minorEastAsia"/>
          <w:color w:val="auto"/>
        </w:rPr>
      </w:pPr>
      <w:r>
        <w:rPr>
          <w:rFonts w:eastAsiaTheme="minorEastAsia"/>
          <w:color w:val="auto"/>
        </w:rPr>
        <w:t>（6）《国务院关于印发大气污染防治行动计划的通知》（国发〔2013〕37号）；</w:t>
      </w:r>
    </w:p>
    <w:p>
      <w:pPr>
        <w:pStyle w:val="276"/>
        <w:rPr>
          <w:rFonts w:eastAsiaTheme="minorEastAsia"/>
          <w:color w:val="auto"/>
        </w:rPr>
      </w:pPr>
      <w:r>
        <w:rPr>
          <w:rFonts w:eastAsiaTheme="minorEastAsia"/>
          <w:color w:val="auto"/>
        </w:rPr>
        <w:t>（7）《黑龙江省大气污染防治行动计划实施细则》（黑政发[2014]1号）（2014.01.26）；</w:t>
      </w:r>
    </w:p>
    <w:p>
      <w:pPr>
        <w:pStyle w:val="276"/>
        <w:rPr>
          <w:rFonts w:eastAsiaTheme="minorEastAsia"/>
          <w:color w:val="auto"/>
        </w:rPr>
      </w:pPr>
      <w:r>
        <w:rPr>
          <w:rFonts w:eastAsiaTheme="minorEastAsia"/>
          <w:color w:val="auto"/>
        </w:rPr>
        <w:t>（8）《黑龙江省大气污染防治专项行动方案（2016-2018年）》（黑政发〔2016〕8号）（2016.03.11）；</w:t>
      </w:r>
    </w:p>
    <w:p>
      <w:pPr>
        <w:pStyle w:val="276"/>
        <w:rPr>
          <w:rFonts w:eastAsiaTheme="minorEastAsia"/>
          <w:color w:val="auto"/>
        </w:rPr>
      </w:pPr>
      <w:r>
        <w:rPr>
          <w:rFonts w:eastAsiaTheme="minorEastAsia"/>
          <w:color w:val="auto"/>
        </w:rPr>
        <w:t>（9）《黑龙江省矿产资源总体规划》（2016~2020）；</w:t>
      </w:r>
    </w:p>
    <w:p>
      <w:pPr>
        <w:pStyle w:val="276"/>
        <w:rPr>
          <w:rFonts w:eastAsiaTheme="minorEastAsia"/>
          <w:color w:val="auto"/>
        </w:rPr>
      </w:pPr>
      <w:r>
        <w:rPr>
          <w:rFonts w:eastAsiaTheme="minorEastAsia"/>
          <w:color w:val="auto"/>
        </w:rPr>
        <w:t>（10）《黑龙江省大气污染防治条例》（2017.05.01）；</w:t>
      </w:r>
    </w:p>
    <w:p>
      <w:pPr>
        <w:pStyle w:val="276"/>
        <w:rPr>
          <w:rFonts w:eastAsiaTheme="minorEastAsia"/>
          <w:color w:val="auto"/>
        </w:rPr>
      </w:pPr>
      <w:r>
        <w:rPr>
          <w:rFonts w:eastAsiaTheme="minorEastAsia"/>
          <w:color w:val="auto"/>
        </w:rPr>
        <w:t>（11）《黑龙江省土壤污染防治实施方案》（黑政发[2016]46号）；</w:t>
      </w:r>
    </w:p>
    <w:p>
      <w:pPr>
        <w:pStyle w:val="276"/>
        <w:rPr>
          <w:rFonts w:eastAsiaTheme="minorEastAsia"/>
          <w:color w:val="auto"/>
        </w:rPr>
      </w:pPr>
      <w:r>
        <w:rPr>
          <w:rFonts w:eastAsiaTheme="minorEastAsia"/>
          <w:color w:val="auto"/>
        </w:rPr>
        <w:t>（12）《黑龙江省水污染防治工作方案》（黑政发[2016]3号）；</w:t>
      </w:r>
    </w:p>
    <w:p>
      <w:pPr>
        <w:pStyle w:val="276"/>
        <w:rPr>
          <w:rFonts w:eastAsiaTheme="minorEastAsia"/>
          <w:color w:val="auto"/>
        </w:rPr>
      </w:pPr>
      <w:r>
        <w:rPr>
          <w:rFonts w:eastAsiaTheme="minorEastAsia"/>
          <w:color w:val="auto"/>
        </w:rPr>
        <w:t>（13）《黑龙江省主体功能区规划》（黑政发[2012]29号）；</w:t>
      </w:r>
    </w:p>
    <w:p>
      <w:pPr>
        <w:pStyle w:val="276"/>
        <w:rPr>
          <w:rFonts w:eastAsiaTheme="minorEastAsia"/>
          <w:color w:val="auto"/>
        </w:rPr>
      </w:pPr>
      <w:r>
        <w:rPr>
          <w:rFonts w:eastAsiaTheme="minorEastAsia"/>
          <w:color w:val="auto"/>
        </w:rPr>
        <w:t>（14）《黑龙江省生态环境保护“十三五”规划》（黑政发[2016]47号）。</w:t>
      </w:r>
    </w:p>
    <w:p>
      <w:pPr>
        <w:pStyle w:val="238"/>
        <w:spacing w:before="0" w:beforeLines="0" w:after="0" w:afterLines="0"/>
        <w:rPr>
          <w:rFonts w:hAnsi="Times New Roman" w:eastAsiaTheme="minorEastAsia"/>
          <w:color w:val="auto"/>
        </w:rPr>
      </w:pPr>
      <w:bookmarkStart w:id="44" w:name="_Toc440973665"/>
      <w:bookmarkStart w:id="45" w:name="_Toc436406184"/>
      <w:bookmarkStart w:id="46" w:name="_Toc359179945"/>
      <w:bookmarkStart w:id="47" w:name="_Toc440973399"/>
      <w:bookmarkStart w:id="48" w:name="_Toc360142510"/>
      <w:bookmarkStart w:id="49" w:name="_Toc519693560"/>
      <w:r>
        <w:rPr>
          <w:rFonts w:hAnsi="Times New Roman" w:eastAsiaTheme="minorEastAsia"/>
          <w:color w:val="auto"/>
        </w:rPr>
        <w:t>2.2环境影响因素识别与评价因子筛选</w:t>
      </w:r>
      <w:bookmarkEnd w:id="44"/>
      <w:bookmarkEnd w:id="45"/>
      <w:bookmarkEnd w:id="46"/>
      <w:bookmarkEnd w:id="47"/>
      <w:bookmarkEnd w:id="48"/>
      <w:bookmarkEnd w:id="49"/>
    </w:p>
    <w:p>
      <w:pPr>
        <w:pStyle w:val="240"/>
        <w:rPr>
          <w:rFonts w:ascii="Times New Roman" w:hAnsi="Times New Roman" w:cs="Times New Roman" w:eastAsiaTheme="minorEastAsia"/>
          <w:color w:val="auto"/>
        </w:rPr>
      </w:pPr>
      <w:bookmarkStart w:id="50" w:name="_Toc359179946"/>
      <w:bookmarkStart w:id="51" w:name="_Toc440973666"/>
      <w:bookmarkStart w:id="52" w:name="_Toc360142511"/>
      <w:bookmarkStart w:id="53" w:name="_Toc440973030"/>
      <w:bookmarkStart w:id="54" w:name="_Toc440973400"/>
      <w:r>
        <w:rPr>
          <w:rFonts w:ascii="Times New Roman" w:hAnsi="Times New Roman" w:cs="Times New Roman" w:eastAsiaTheme="minorEastAsia"/>
          <w:color w:val="auto"/>
        </w:rPr>
        <w:t>2.2.1环境影响因素识别</w:t>
      </w:r>
      <w:bookmarkEnd w:id="50"/>
      <w:bookmarkEnd w:id="51"/>
      <w:bookmarkEnd w:id="52"/>
      <w:bookmarkEnd w:id="53"/>
      <w:bookmarkEnd w:id="54"/>
    </w:p>
    <w:p>
      <w:pPr>
        <w:pStyle w:val="276"/>
        <w:rPr>
          <w:rFonts w:eastAsiaTheme="minorEastAsia"/>
          <w:color w:val="auto"/>
        </w:rPr>
      </w:pPr>
      <w:r>
        <w:rPr>
          <w:rFonts w:eastAsiaTheme="minorEastAsia"/>
          <w:color w:val="auto"/>
        </w:rPr>
        <w:t>本项目为新建项目，根据该项目的生产特点和污染物的排放种类、排放量以及对环境的影响，识别结果见表2-2-1。</w:t>
      </w:r>
    </w:p>
    <w:p>
      <w:pPr>
        <w:pStyle w:val="244"/>
        <w:rPr>
          <w:rFonts w:eastAsiaTheme="minorEastAsia"/>
          <w:color w:val="auto"/>
        </w:rPr>
      </w:pPr>
      <w:r>
        <w:rPr>
          <w:rFonts w:eastAsiaTheme="minorEastAsia"/>
          <w:color w:val="auto"/>
        </w:rPr>
        <w:t>表2-2-1  环境影响要素识别矩阵表</w:t>
      </w:r>
    </w:p>
    <w:tbl>
      <w:tblPr>
        <w:tblStyle w:val="53"/>
        <w:tblW w:w="8306"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57"/>
        <w:gridCol w:w="1513"/>
        <w:gridCol w:w="924"/>
        <w:gridCol w:w="1229"/>
        <w:gridCol w:w="1229"/>
        <w:gridCol w:w="1229"/>
        <w:gridCol w:w="9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jc w:val="center"/>
        </w:trPr>
        <w:tc>
          <w:tcPr>
            <w:tcW w:w="2770" w:type="dxa"/>
            <w:gridSpan w:val="2"/>
            <w:vMerge w:val="restart"/>
            <w:tcBorders>
              <w:top w:val="single" w:color="auto" w:sz="12" w:space="0"/>
              <w:left w:val="nil"/>
              <w:right w:val="single" w:color="auto" w:sz="4" w:space="0"/>
              <w:tl2br w:val="single" w:color="auto" w:sz="4" w:space="0"/>
            </w:tcBorders>
            <w:vAlign w:val="center"/>
          </w:tcPr>
          <w:p>
            <w:pPr>
              <w:pStyle w:val="246"/>
              <w:rPr>
                <w:rFonts w:eastAsiaTheme="minorEastAsia"/>
                <w:color w:val="auto"/>
              </w:rPr>
            </w:pPr>
            <w:r>
              <w:rPr>
                <w:rFonts w:eastAsiaTheme="minorEastAsia"/>
                <w:color w:val="auto"/>
              </w:rPr>
              <w:t>环境因素</w:t>
            </w:r>
          </w:p>
          <w:p>
            <w:pPr>
              <w:pStyle w:val="246"/>
              <w:rPr>
                <w:rFonts w:eastAsiaTheme="minorEastAsia"/>
                <w:color w:val="auto"/>
              </w:rPr>
            </w:pPr>
            <w:r>
              <w:rPr>
                <w:rFonts w:eastAsiaTheme="minorEastAsia"/>
                <w:color w:val="auto"/>
              </w:rPr>
              <w:t>项目阶段</w:t>
            </w:r>
          </w:p>
        </w:tc>
        <w:tc>
          <w:tcPr>
            <w:tcW w:w="5536" w:type="dxa"/>
            <w:gridSpan w:val="5"/>
            <w:tcBorders>
              <w:top w:val="single" w:color="auto" w:sz="12" w:space="0"/>
              <w:left w:val="single" w:color="auto" w:sz="4" w:space="0"/>
              <w:right w:val="nil"/>
            </w:tcBorders>
          </w:tcPr>
          <w:p>
            <w:pPr>
              <w:pStyle w:val="246"/>
              <w:rPr>
                <w:rFonts w:eastAsiaTheme="minorEastAsia"/>
                <w:color w:val="auto"/>
              </w:rPr>
            </w:pPr>
            <w:r>
              <w:rPr>
                <w:rFonts w:eastAsiaTheme="minorEastAsia"/>
                <w:color w:val="auto"/>
              </w:rPr>
              <w:t>自然环境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jc w:val="center"/>
        </w:trPr>
        <w:tc>
          <w:tcPr>
            <w:tcW w:w="2770" w:type="dxa"/>
            <w:gridSpan w:val="2"/>
            <w:vMerge w:val="continue"/>
            <w:tcBorders>
              <w:left w:val="nil"/>
              <w:right w:val="single" w:color="auto" w:sz="4" w:space="0"/>
            </w:tcBorders>
            <w:vAlign w:val="center"/>
          </w:tcPr>
          <w:p>
            <w:pPr>
              <w:pStyle w:val="246"/>
              <w:rPr>
                <w:rFonts w:eastAsiaTheme="minorEastAsia"/>
                <w:color w:val="auto"/>
              </w:rPr>
            </w:pPr>
          </w:p>
        </w:tc>
        <w:tc>
          <w:tcPr>
            <w:tcW w:w="924" w:type="dxa"/>
            <w:tcBorders>
              <w:left w:val="single" w:color="auto" w:sz="4" w:space="0"/>
            </w:tcBorders>
            <w:vAlign w:val="center"/>
          </w:tcPr>
          <w:p>
            <w:pPr>
              <w:pStyle w:val="246"/>
              <w:rPr>
                <w:rFonts w:eastAsiaTheme="minorEastAsia"/>
                <w:color w:val="auto"/>
              </w:rPr>
            </w:pPr>
            <w:r>
              <w:rPr>
                <w:rFonts w:eastAsiaTheme="minorEastAsia"/>
                <w:color w:val="auto"/>
              </w:rPr>
              <w:t>大气</w:t>
            </w:r>
          </w:p>
        </w:tc>
        <w:tc>
          <w:tcPr>
            <w:tcW w:w="1229" w:type="dxa"/>
            <w:tcBorders>
              <w:right w:val="single" w:color="auto" w:sz="4" w:space="0"/>
            </w:tcBorders>
            <w:vAlign w:val="center"/>
          </w:tcPr>
          <w:p>
            <w:pPr>
              <w:pStyle w:val="246"/>
              <w:rPr>
                <w:rFonts w:eastAsiaTheme="minorEastAsia"/>
                <w:color w:val="auto"/>
              </w:rPr>
            </w:pPr>
            <w:r>
              <w:rPr>
                <w:rFonts w:eastAsiaTheme="minorEastAsia"/>
                <w:color w:val="auto"/>
              </w:rPr>
              <w:t>地表水</w:t>
            </w:r>
          </w:p>
        </w:tc>
        <w:tc>
          <w:tcPr>
            <w:tcW w:w="1229" w:type="dxa"/>
            <w:tcBorders>
              <w:right w:val="single" w:color="auto" w:sz="4" w:space="0"/>
            </w:tcBorders>
          </w:tcPr>
          <w:p>
            <w:pPr>
              <w:pStyle w:val="246"/>
              <w:rPr>
                <w:rFonts w:eastAsiaTheme="minorEastAsia"/>
                <w:color w:val="auto"/>
              </w:rPr>
            </w:pPr>
            <w:r>
              <w:rPr>
                <w:rFonts w:eastAsiaTheme="minorEastAsia"/>
                <w:color w:val="auto"/>
              </w:rPr>
              <w:t>地下水</w:t>
            </w:r>
          </w:p>
        </w:tc>
        <w:tc>
          <w:tcPr>
            <w:tcW w:w="1229" w:type="dxa"/>
            <w:tcBorders>
              <w:left w:val="single" w:color="auto" w:sz="4" w:space="0"/>
            </w:tcBorders>
            <w:vAlign w:val="center"/>
          </w:tcPr>
          <w:p>
            <w:pPr>
              <w:pStyle w:val="246"/>
              <w:rPr>
                <w:rFonts w:eastAsiaTheme="minorEastAsia"/>
                <w:color w:val="auto"/>
              </w:rPr>
            </w:pPr>
            <w:r>
              <w:rPr>
                <w:rFonts w:eastAsiaTheme="minorEastAsia"/>
                <w:color w:val="auto"/>
              </w:rPr>
              <w:t>声环境</w:t>
            </w:r>
          </w:p>
        </w:tc>
        <w:tc>
          <w:tcPr>
            <w:tcW w:w="925" w:type="dxa"/>
            <w:tcBorders>
              <w:right w:val="nil"/>
            </w:tcBorders>
            <w:vAlign w:val="center"/>
          </w:tcPr>
          <w:p>
            <w:pPr>
              <w:pStyle w:val="246"/>
              <w:rPr>
                <w:rFonts w:eastAsiaTheme="minorEastAsia"/>
                <w:color w:val="auto"/>
              </w:rPr>
            </w:pPr>
            <w:r>
              <w:rPr>
                <w:rFonts w:eastAsiaTheme="minorEastAsia"/>
                <w:color w:val="auto"/>
              </w:rPr>
              <w:t>生态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jc w:val="center"/>
        </w:trPr>
        <w:tc>
          <w:tcPr>
            <w:tcW w:w="1257" w:type="dxa"/>
            <w:vMerge w:val="restart"/>
            <w:tcBorders>
              <w:left w:val="nil"/>
              <w:right w:val="single" w:color="auto" w:sz="4" w:space="0"/>
            </w:tcBorders>
            <w:vAlign w:val="center"/>
          </w:tcPr>
          <w:p>
            <w:pPr>
              <w:pStyle w:val="246"/>
              <w:rPr>
                <w:rFonts w:eastAsiaTheme="minorEastAsia"/>
                <w:color w:val="auto"/>
              </w:rPr>
            </w:pPr>
            <w:r>
              <w:rPr>
                <w:rFonts w:eastAsiaTheme="minorEastAsia"/>
                <w:color w:val="auto"/>
              </w:rPr>
              <w:t>施工期</w:t>
            </w:r>
          </w:p>
        </w:tc>
        <w:tc>
          <w:tcPr>
            <w:tcW w:w="1513" w:type="dxa"/>
            <w:tcBorders>
              <w:left w:val="nil"/>
              <w:right w:val="single" w:color="auto" w:sz="4" w:space="0"/>
            </w:tcBorders>
            <w:vAlign w:val="center"/>
          </w:tcPr>
          <w:p>
            <w:pPr>
              <w:pStyle w:val="246"/>
              <w:rPr>
                <w:rFonts w:eastAsiaTheme="minorEastAsia"/>
                <w:color w:val="auto"/>
              </w:rPr>
            </w:pPr>
            <w:r>
              <w:rPr>
                <w:rFonts w:eastAsiaTheme="minorEastAsia"/>
                <w:color w:val="auto"/>
              </w:rPr>
              <w:t>场地平整</w:t>
            </w:r>
          </w:p>
        </w:tc>
        <w:tc>
          <w:tcPr>
            <w:tcW w:w="924" w:type="dxa"/>
            <w:tcBorders>
              <w:left w:val="single" w:color="auto" w:sz="4" w:space="0"/>
            </w:tcBorders>
            <w:vAlign w:val="center"/>
          </w:tcPr>
          <w:p>
            <w:pPr>
              <w:pStyle w:val="246"/>
              <w:rPr>
                <w:rFonts w:eastAsiaTheme="minorEastAsia"/>
                <w:color w:val="auto"/>
              </w:rPr>
            </w:pPr>
            <w:r>
              <w:rPr>
                <w:rFonts w:eastAsiaTheme="minorEastAsia"/>
                <w:color w:val="auto"/>
              </w:rPr>
              <w:t>-2</w:t>
            </w:r>
          </w:p>
        </w:tc>
        <w:tc>
          <w:tcPr>
            <w:tcW w:w="1229" w:type="dxa"/>
            <w:tcBorders>
              <w:right w:val="single" w:color="auto" w:sz="4" w:space="0"/>
            </w:tcBorders>
            <w:vAlign w:val="center"/>
          </w:tcPr>
          <w:p>
            <w:pPr>
              <w:pStyle w:val="246"/>
              <w:rPr>
                <w:rFonts w:eastAsiaTheme="minorEastAsia"/>
                <w:color w:val="auto"/>
              </w:rPr>
            </w:pPr>
          </w:p>
        </w:tc>
        <w:tc>
          <w:tcPr>
            <w:tcW w:w="1229" w:type="dxa"/>
            <w:tcBorders>
              <w:right w:val="single" w:color="auto" w:sz="4" w:space="0"/>
            </w:tcBorders>
          </w:tcPr>
          <w:p>
            <w:pPr>
              <w:pStyle w:val="246"/>
              <w:rPr>
                <w:rFonts w:eastAsiaTheme="minorEastAsia"/>
                <w:color w:val="auto"/>
              </w:rPr>
            </w:pPr>
          </w:p>
        </w:tc>
        <w:tc>
          <w:tcPr>
            <w:tcW w:w="1229" w:type="dxa"/>
            <w:tcBorders>
              <w:left w:val="single" w:color="auto" w:sz="4" w:space="0"/>
            </w:tcBorders>
            <w:vAlign w:val="center"/>
          </w:tcPr>
          <w:p>
            <w:pPr>
              <w:pStyle w:val="246"/>
              <w:rPr>
                <w:rFonts w:eastAsiaTheme="minorEastAsia"/>
                <w:color w:val="auto"/>
              </w:rPr>
            </w:pPr>
            <w:r>
              <w:rPr>
                <w:rFonts w:eastAsiaTheme="minorEastAsia"/>
                <w:color w:val="auto"/>
              </w:rPr>
              <w:t>-2</w:t>
            </w:r>
          </w:p>
        </w:tc>
        <w:tc>
          <w:tcPr>
            <w:tcW w:w="925" w:type="dxa"/>
            <w:tcBorders>
              <w:right w:val="nil"/>
            </w:tcBorders>
            <w:vAlign w:val="center"/>
          </w:tcPr>
          <w:p>
            <w:pPr>
              <w:pStyle w:val="246"/>
              <w:rPr>
                <w:rFonts w:eastAsiaTheme="minorEastAsia"/>
                <w:color w:val="auto"/>
              </w:rPr>
            </w:pPr>
            <w:r>
              <w:rPr>
                <w:rFonts w:eastAsiaTheme="minorEastAsia"/>
                <w:color w:val="auto"/>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jc w:val="center"/>
        </w:trPr>
        <w:tc>
          <w:tcPr>
            <w:tcW w:w="1257" w:type="dxa"/>
            <w:vMerge w:val="continue"/>
            <w:tcBorders>
              <w:left w:val="nil"/>
              <w:right w:val="single" w:color="auto" w:sz="4" w:space="0"/>
            </w:tcBorders>
            <w:vAlign w:val="center"/>
          </w:tcPr>
          <w:p>
            <w:pPr>
              <w:pStyle w:val="246"/>
              <w:rPr>
                <w:rFonts w:eastAsiaTheme="minorEastAsia"/>
                <w:color w:val="auto"/>
              </w:rPr>
            </w:pPr>
          </w:p>
        </w:tc>
        <w:tc>
          <w:tcPr>
            <w:tcW w:w="1513" w:type="dxa"/>
            <w:tcBorders>
              <w:left w:val="nil"/>
              <w:right w:val="single" w:color="auto" w:sz="4" w:space="0"/>
            </w:tcBorders>
            <w:vAlign w:val="center"/>
          </w:tcPr>
          <w:p>
            <w:pPr>
              <w:pStyle w:val="246"/>
              <w:rPr>
                <w:rFonts w:eastAsiaTheme="minorEastAsia"/>
                <w:color w:val="auto"/>
              </w:rPr>
            </w:pPr>
            <w:r>
              <w:rPr>
                <w:rFonts w:eastAsiaTheme="minorEastAsia"/>
                <w:color w:val="auto"/>
              </w:rPr>
              <w:t>材料运输</w:t>
            </w:r>
          </w:p>
        </w:tc>
        <w:tc>
          <w:tcPr>
            <w:tcW w:w="924" w:type="dxa"/>
            <w:tcBorders>
              <w:left w:val="single" w:color="auto" w:sz="4" w:space="0"/>
            </w:tcBorders>
            <w:vAlign w:val="center"/>
          </w:tcPr>
          <w:p>
            <w:pPr>
              <w:pStyle w:val="246"/>
              <w:rPr>
                <w:rFonts w:eastAsiaTheme="minorEastAsia"/>
                <w:color w:val="auto"/>
              </w:rPr>
            </w:pPr>
            <w:r>
              <w:rPr>
                <w:rFonts w:eastAsiaTheme="minorEastAsia"/>
                <w:color w:val="auto"/>
              </w:rPr>
              <w:t>-2</w:t>
            </w:r>
          </w:p>
        </w:tc>
        <w:tc>
          <w:tcPr>
            <w:tcW w:w="1229" w:type="dxa"/>
            <w:tcBorders>
              <w:right w:val="single" w:color="auto" w:sz="4" w:space="0"/>
            </w:tcBorders>
            <w:vAlign w:val="center"/>
          </w:tcPr>
          <w:p>
            <w:pPr>
              <w:pStyle w:val="246"/>
              <w:rPr>
                <w:rFonts w:eastAsiaTheme="minorEastAsia"/>
                <w:color w:val="auto"/>
              </w:rPr>
            </w:pPr>
          </w:p>
        </w:tc>
        <w:tc>
          <w:tcPr>
            <w:tcW w:w="1229" w:type="dxa"/>
            <w:tcBorders>
              <w:right w:val="single" w:color="auto" w:sz="4" w:space="0"/>
            </w:tcBorders>
          </w:tcPr>
          <w:p>
            <w:pPr>
              <w:pStyle w:val="246"/>
              <w:rPr>
                <w:rFonts w:eastAsiaTheme="minorEastAsia"/>
                <w:color w:val="auto"/>
              </w:rPr>
            </w:pPr>
          </w:p>
        </w:tc>
        <w:tc>
          <w:tcPr>
            <w:tcW w:w="1229" w:type="dxa"/>
            <w:tcBorders>
              <w:left w:val="single" w:color="auto" w:sz="4" w:space="0"/>
            </w:tcBorders>
            <w:vAlign w:val="center"/>
          </w:tcPr>
          <w:p>
            <w:pPr>
              <w:pStyle w:val="246"/>
              <w:rPr>
                <w:rFonts w:eastAsiaTheme="minorEastAsia"/>
                <w:color w:val="auto"/>
              </w:rPr>
            </w:pPr>
            <w:r>
              <w:rPr>
                <w:rFonts w:eastAsiaTheme="minorEastAsia"/>
                <w:color w:val="auto"/>
              </w:rPr>
              <w:t>-2</w:t>
            </w:r>
          </w:p>
        </w:tc>
        <w:tc>
          <w:tcPr>
            <w:tcW w:w="925" w:type="dxa"/>
            <w:tcBorders>
              <w:right w:val="nil"/>
            </w:tcBorders>
            <w:vAlign w:val="center"/>
          </w:tcPr>
          <w:p>
            <w:pPr>
              <w:pStyle w:val="246"/>
              <w:rPr>
                <w:rFonts w:eastAsiaTheme="minorEastAsia"/>
                <w:color w:val="auto"/>
              </w:rPr>
            </w:pPr>
            <w:r>
              <w:rPr>
                <w:rFonts w:eastAsiaTheme="minorEastAsia"/>
                <w:color w:val="auto"/>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jc w:val="center"/>
        </w:trPr>
        <w:tc>
          <w:tcPr>
            <w:tcW w:w="1257" w:type="dxa"/>
            <w:vMerge w:val="continue"/>
            <w:tcBorders>
              <w:left w:val="nil"/>
              <w:right w:val="single" w:color="auto" w:sz="4" w:space="0"/>
            </w:tcBorders>
            <w:vAlign w:val="center"/>
          </w:tcPr>
          <w:p>
            <w:pPr>
              <w:pStyle w:val="246"/>
              <w:rPr>
                <w:rFonts w:eastAsiaTheme="minorEastAsia"/>
                <w:color w:val="auto"/>
              </w:rPr>
            </w:pPr>
          </w:p>
        </w:tc>
        <w:tc>
          <w:tcPr>
            <w:tcW w:w="1513" w:type="dxa"/>
            <w:tcBorders>
              <w:left w:val="nil"/>
              <w:right w:val="single" w:color="auto" w:sz="4" w:space="0"/>
            </w:tcBorders>
            <w:vAlign w:val="center"/>
          </w:tcPr>
          <w:p>
            <w:pPr>
              <w:pStyle w:val="246"/>
              <w:rPr>
                <w:rFonts w:eastAsiaTheme="minorEastAsia"/>
                <w:color w:val="auto"/>
              </w:rPr>
            </w:pPr>
            <w:r>
              <w:rPr>
                <w:rFonts w:eastAsiaTheme="minorEastAsia"/>
                <w:color w:val="auto"/>
              </w:rPr>
              <w:t>地基开挖</w:t>
            </w:r>
          </w:p>
        </w:tc>
        <w:tc>
          <w:tcPr>
            <w:tcW w:w="924" w:type="dxa"/>
            <w:tcBorders>
              <w:left w:val="single" w:color="auto" w:sz="4" w:space="0"/>
            </w:tcBorders>
            <w:vAlign w:val="center"/>
          </w:tcPr>
          <w:p>
            <w:pPr>
              <w:pStyle w:val="246"/>
              <w:rPr>
                <w:rFonts w:eastAsiaTheme="minorEastAsia"/>
                <w:color w:val="auto"/>
              </w:rPr>
            </w:pPr>
            <w:r>
              <w:rPr>
                <w:rFonts w:eastAsiaTheme="minorEastAsia"/>
                <w:color w:val="auto"/>
              </w:rPr>
              <w:t>-2</w:t>
            </w:r>
          </w:p>
        </w:tc>
        <w:tc>
          <w:tcPr>
            <w:tcW w:w="1229" w:type="dxa"/>
            <w:tcBorders>
              <w:right w:val="single" w:color="auto" w:sz="4" w:space="0"/>
            </w:tcBorders>
            <w:vAlign w:val="center"/>
          </w:tcPr>
          <w:p>
            <w:pPr>
              <w:pStyle w:val="246"/>
              <w:rPr>
                <w:rFonts w:eastAsiaTheme="minorEastAsia"/>
                <w:color w:val="auto"/>
              </w:rPr>
            </w:pPr>
          </w:p>
        </w:tc>
        <w:tc>
          <w:tcPr>
            <w:tcW w:w="1229" w:type="dxa"/>
            <w:tcBorders>
              <w:right w:val="single" w:color="auto" w:sz="4" w:space="0"/>
            </w:tcBorders>
          </w:tcPr>
          <w:p>
            <w:pPr>
              <w:pStyle w:val="246"/>
              <w:rPr>
                <w:rFonts w:eastAsiaTheme="minorEastAsia"/>
                <w:color w:val="auto"/>
              </w:rPr>
            </w:pPr>
          </w:p>
        </w:tc>
        <w:tc>
          <w:tcPr>
            <w:tcW w:w="1229" w:type="dxa"/>
            <w:tcBorders>
              <w:left w:val="single" w:color="auto" w:sz="4" w:space="0"/>
            </w:tcBorders>
            <w:vAlign w:val="center"/>
          </w:tcPr>
          <w:p>
            <w:pPr>
              <w:pStyle w:val="246"/>
              <w:rPr>
                <w:rFonts w:eastAsiaTheme="minorEastAsia"/>
                <w:color w:val="auto"/>
              </w:rPr>
            </w:pPr>
            <w:r>
              <w:rPr>
                <w:rFonts w:eastAsiaTheme="minorEastAsia"/>
                <w:color w:val="auto"/>
              </w:rPr>
              <w:t>-2</w:t>
            </w:r>
          </w:p>
        </w:tc>
        <w:tc>
          <w:tcPr>
            <w:tcW w:w="925" w:type="dxa"/>
            <w:tcBorders>
              <w:right w:val="nil"/>
            </w:tcBorders>
            <w:vAlign w:val="center"/>
          </w:tcPr>
          <w:p>
            <w:pPr>
              <w:pStyle w:val="246"/>
              <w:rPr>
                <w:rFonts w:eastAsiaTheme="minorEastAsia"/>
                <w:color w:val="auto"/>
              </w:rPr>
            </w:pPr>
            <w:r>
              <w:rPr>
                <w:rFonts w:eastAsiaTheme="minorEastAsia"/>
                <w:color w:val="auto"/>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jc w:val="center"/>
        </w:trPr>
        <w:tc>
          <w:tcPr>
            <w:tcW w:w="1257" w:type="dxa"/>
            <w:vMerge w:val="continue"/>
            <w:tcBorders>
              <w:left w:val="nil"/>
              <w:right w:val="single" w:color="auto" w:sz="4" w:space="0"/>
            </w:tcBorders>
            <w:vAlign w:val="center"/>
          </w:tcPr>
          <w:p>
            <w:pPr>
              <w:pStyle w:val="246"/>
              <w:rPr>
                <w:rFonts w:eastAsiaTheme="minorEastAsia"/>
                <w:color w:val="auto"/>
              </w:rPr>
            </w:pPr>
          </w:p>
        </w:tc>
        <w:tc>
          <w:tcPr>
            <w:tcW w:w="1513" w:type="dxa"/>
            <w:tcBorders>
              <w:left w:val="nil"/>
              <w:right w:val="single" w:color="auto" w:sz="4" w:space="0"/>
            </w:tcBorders>
            <w:vAlign w:val="center"/>
          </w:tcPr>
          <w:p>
            <w:pPr>
              <w:pStyle w:val="246"/>
              <w:rPr>
                <w:rFonts w:eastAsiaTheme="minorEastAsia"/>
                <w:color w:val="auto"/>
              </w:rPr>
            </w:pPr>
            <w:r>
              <w:rPr>
                <w:rFonts w:eastAsiaTheme="minorEastAsia"/>
                <w:color w:val="auto"/>
              </w:rPr>
              <w:t>岩土剥离</w:t>
            </w:r>
          </w:p>
        </w:tc>
        <w:tc>
          <w:tcPr>
            <w:tcW w:w="924" w:type="dxa"/>
            <w:tcBorders>
              <w:left w:val="single" w:color="auto" w:sz="4" w:space="0"/>
            </w:tcBorders>
            <w:vAlign w:val="center"/>
          </w:tcPr>
          <w:p>
            <w:pPr>
              <w:pStyle w:val="246"/>
              <w:rPr>
                <w:rFonts w:eastAsiaTheme="minorEastAsia"/>
                <w:color w:val="auto"/>
              </w:rPr>
            </w:pPr>
            <w:r>
              <w:rPr>
                <w:rFonts w:eastAsiaTheme="minorEastAsia"/>
                <w:color w:val="auto"/>
              </w:rPr>
              <w:t>-2</w:t>
            </w:r>
          </w:p>
        </w:tc>
        <w:tc>
          <w:tcPr>
            <w:tcW w:w="1229" w:type="dxa"/>
            <w:tcBorders>
              <w:right w:val="single" w:color="auto" w:sz="4" w:space="0"/>
            </w:tcBorders>
            <w:vAlign w:val="center"/>
          </w:tcPr>
          <w:p>
            <w:pPr>
              <w:pStyle w:val="246"/>
              <w:rPr>
                <w:rFonts w:eastAsiaTheme="minorEastAsia"/>
                <w:color w:val="auto"/>
              </w:rPr>
            </w:pPr>
          </w:p>
        </w:tc>
        <w:tc>
          <w:tcPr>
            <w:tcW w:w="1229" w:type="dxa"/>
            <w:tcBorders>
              <w:right w:val="single" w:color="auto" w:sz="4" w:space="0"/>
            </w:tcBorders>
          </w:tcPr>
          <w:p>
            <w:pPr>
              <w:pStyle w:val="246"/>
              <w:rPr>
                <w:rFonts w:eastAsiaTheme="minorEastAsia"/>
                <w:color w:val="auto"/>
              </w:rPr>
            </w:pPr>
          </w:p>
        </w:tc>
        <w:tc>
          <w:tcPr>
            <w:tcW w:w="1229" w:type="dxa"/>
            <w:tcBorders>
              <w:left w:val="single" w:color="auto" w:sz="4" w:space="0"/>
            </w:tcBorders>
            <w:vAlign w:val="center"/>
          </w:tcPr>
          <w:p>
            <w:pPr>
              <w:pStyle w:val="246"/>
              <w:rPr>
                <w:rFonts w:eastAsiaTheme="minorEastAsia"/>
                <w:color w:val="auto"/>
              </w:rPr>
            </w:pPr>
            <w:r>
              <w:rPr>
                <w:rFonts w:eastAsiaTheme="minorEastAsia"/>
                <w:color w:val="auto"/>
              </w:rPr>
              <w:t>-2</w:t>
            </w:r>
          </w:p>
        </w:tc>
        <w:tc>
          <w:tcPr>
            <w:tcW w:w="925" w:type="dxa"/>
            <w:tcBorders>
              <w:right w:val="nil"/>
            </w:tcBorders>
            <w:vAlign w:val="center"/>
          </w:tcPr>
          <w:p>
            <w:pPr>
              <w:pStyle w:val="246"/>
              <w:rPr>
                <w:rFonts w:eastAsiaTheme="minorEastAsia"/>
                <w:color w:val="auto"/>
              </w:rPr>
            </w:pPr>
            <w:r>
              <w:rPr>
                <w:rFonts w:eastAsiaTheme="minorEastAsia"/>
                <w:color w:val="auto"/>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jc w:val="center"/>
        </w:trPr>
        <w:tc>
          <w:tcPr>
            <w:tcW w:w="1257" w:type="dxa"/>
            <w:vMerge w:val="continue"/>
            <w:tcBorders>
              <w:left w:val="nil"/>
              <w:right w:val="single" w:color="auto" w:sz="4" w:space="0"/>
            </w:tcBorders>
            <w:vAlign w:val="center"/>
          </w:tcPr>
          <w:p>
            <w:pPr>
              <w:pStyle w:val="246"/>
              <w:rPr>
                <w:rFonts w:eastAsiaTheme="minorEastAsia"/>
                <w:color w:val="auto"/>
              </w:rPr>
            </w:pPr>
          </w:p>
        </w:tc>
        <w:tc>
          <w:tcPr>
            <w:tcW w:w="1513" w:type="dxa"/>
            <w:tcBorders>
              <w:left w:val="nil"/>
              <w:right w:val="single" w:color="auto" w:sz="4" w:space="0"/>
            </w:tcBorders>
            <w:vAlign w:val="center"/>
          </w:tcPr>
          <w:p>
            <w:pPr>
              <w:pStyle w:val="246"/>
              <w:rPr>
                <w:rFonts w:eastAsiaTheme="minorEastAsia"/>
                <w:color w:val="auto"/>
              </w:rPr>
            </w:pPr>
            <w:r>
              <w:rPr>
                <w:rFonts w:eastAsiaTheme="minorEastAsia"/>
                <w:color w:val="auto"/>
              </w:rPr>
              <w:t>施工作业</w:t>
            </w:r>
          </w:p>
        </w:tc>
        <w:tc>
          <w:tcPr>
            <w:tcW w:w="924" w:type="dxa"/>
            <w:tcBorders>
              <w:left w:val="single" w:color="auto" w:sz="4" w:space="0"/>
            </w:tcBorders>
            <w:vAlign w:val="center"/>
          </w:tcPr>
          <w:p>
            <w:pPr>
              <w:pStyle w:val="246"/>
              <w:rPr>
                <w:rFonts w:eastAsiaTheme="minorEastAsia"/>
                <w:color w:val="auto"/>
              </w:rPr>
            </w:pPr>
          </w:p>
        </w:tc>
        <w:tc>
          <w:tcPr>
            <w:tcW w:w="1229" w:type="dxa"/>
            <w:tcBorders>
              <w:right w:val="single" w:color="auto" w:sz="4" w:space="0"/>
            </w:tcBorders>
            <w:vAlign w:val="center"/>
          </w:tcPr>
          <w:p>
            <w:pPr>
              <w:pStyle w:val="246"/>
              <w:rPr>
                <w:rFonts w:eastAsiaTheme="minorEastAsia"/>
                <w:color w:val="auto"/>
              </w:rPr>
            </w:pPr>
            <w:r>
              <w:rPr>
                <w:rFonts w:eastAsiaTheme="minorEastAsia"/>
                <w:color w:val="auto"/>
              </w:rPr>
              <w:t>-1</w:t>
            </w:r>
          </w:p>
        </w:tc>
        <w:tc>
          <w:tcPr>
            <w:tcW w:w="1229" w:type="dxa"/>
            <w:tcBorders>
              <w:right w:val="single" w:color="auto" w:sz="4" w:space="0"/>
            </w:tcBorders>
          </w:tcPr>
          <w:p>
            <w:pPr>
              <w:pStyle w:val="246"/>
              <w:rPr>
                <w:rFonts w:eastAsiaTheme="minorEastAsia"/>
                <w:color w:val="auto"/>
              </w:rPr>
            </w:pPr>
          </w:p>
        </w:tc>
        <w:tc>
          <w:tcPr>
            <w:tcW w:w="1229" w:type="dxa"/>
            <w:tcBorders>
              <w:left w:val="single" w:color="auto" w:sz="4" w:space="0"/>
            </w:tcBorders>
            <w:vAlign w:val="center"/>
          </w:tcPr>
          <w:p>
            <w:pPr>
              <w:pStyle w:val="246"/>
              <w:rPr>
                <w:rFonts w:eastAsiaTheme="minorEastAsia"/>
                <w:color w:val="auto"/>
              </w:rPr>
            </w:pPr>
            <w:r>
              <w:rPr>
                <w:rFonts w:eastAsiaTheme="minorEastAsia"/>
                <w:color w:val="auto"/>
              </w:rPr>
              <w:t>-1</w:t>
            </w:r>
          </w:p>
        </w:tc>
        <w:tc>
          <w:tcPr>
            <w:tcW w:w="925" w:type="dxa"/>
            <w:tcBorders>
              <w:right w:val="nil"/>
            </w:tcBorders>
            <w:vAlign w:val="center"/>
          </w:tcPr>
          <w:p>
            <w:pPr>
              <w:pStyle w:val="246"/>
              <w:rPr>
                <w:rFonts w:eastAsiaTheme="minorEastAsia"/>
                <w:color w:val="auto"/>
              </w:rPr>
            </w:pPr>
            <w:r>
              <w:rPr>
                <w:rFonts w:eastAsiaTheme="minorEastAsia"/>
                <w:color w:val="auto"/>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jc w:val="center"/>
        </w:trPr>
        <w:tc>
          <w:tcPr>
            <w:tcW w:w="1257" w:type="dxa"/>
            <w:vMerge w:val="restart"/>
            <w:tcBorders>
              <w:left w:val="nil"/>
              <w:right w:val="single" w:color="auto" w:sz="4" w:space="0"/>
            </w:tcBorders>
            <w:vAlign w:val="center"/>
          </w:tcPr>
          <w:p>
            <w:pPr>
              <w:pStyle w:val="246"/>
              <w:rPr>
                <w:rFonts w:eastAsiaTheme="minorEastAsia"/>
                <w:color w:val="auto"/>
              </w:rPr>
            </w:pPr>
            <w:r>
              <w:rPr>
                <w:rFonts w:eastAsiaTheme="minorEastAsia"/>
                <w:color w:val="auto"/>
              </w:rPr>
              <w:t>运行期</w:t>
            </w:r>
          </w:p>
        </w:tc>
        <w:tc>
          <w:tcPr>
            <w:tcW w:w="1513" w:type="dxa"/>
            <w:tcBorders>
              <w:left w:val="single" w:color="auto" w:sz="4" w:space="0"/>
            </w:tcBorders>
            <w:vAlign w:val="center"/>
          </w:tcPr>
          <w:p>
            <w:pPr>
              <w:pStyle w:val="246"/>
              <w:rPr>
                <w:rFonts w:eastAsiaTheme="minorEastAsia"/>
                <w:color w:val="auto"/>
              </w:rPr>
            </w:pPr>
            <w:r>
              <w:rPr>
                <w:rFonts w:eastAsiaTheme="minorEastAsia"/>
                <w:color w:val="auto"/>
              </w:rPr>
              <w:t>矿山开采</w:t>
            </w:r>
          </w:p>
        </w:tc>
        <w:tc>
          <w:tcPr>
            <w:tcW w:w="924" w:type="dxa"/>
            <w:vAlign w:val="center"/>
          </w:tcPr>
          <w:p>
            <w:pPr>
              <w:pStyle w:val="246"/>
              <w:rPr>
                <w:rFonts w:eastAsiaTheme="minorEastAsia"/>
                <w:color w:val="auto"/>
              </w:rPr>
            </w:pPr>
            <w:r>
              <w:rPr>
                <w:rFonts w:eastAsiaTheme="minorEastAsia"/>
                <w:color w:val="auto"/>
              </w:rPr>
              <w:t>-2</w:t>
            </w:r>
          </w:p>
        </w:tc>
        <w:tc>
          <w:tcPr>
            <w:tcW w:w="1229" w:type="dxa"/>
            <w:vAlign w:val="center"/>
          </w:tcPr>
          <w:p>
            <w:pPr>
              <w:pStyle w:val="246"/>
              <w:rPr>
                <w:rFonts w:eastAsiaTheme="minorEastAsia"/>
                <w:color w:val="auto"/>
              </w:rPr>
            </w:pPr>
          </w:p>
        </w:tc>
        <w:tc>
          <w:tcPr>
            <w:tcW w:w="1229" w:type="dxa"/>
          </w:tcPr>
          <w:p>
            <w:pPr>
              <w:pStyle w:val="246"/>
              <w:rPr>
                <w:rFonts w:eastAsiaTheme="minorEastAsia"/>
                <w:color w:val="auto"/>
              </w:rPr>
            </w:pPr>
            <w:r>
              <w:rPr>
                <w:rFonts w:eastAsiaTheme="minorEastAsia"/>
                <w:color w:val="auto"/>
              </w:rPr>
              <w:t>-1</w:t>
            </w:r>
          </w:p>
        </w:tc>
        <w:tc>
          <w:tcPr>
            <w:tcW w:w="1229" w:type="dxa"/>
            <w:vAlign w:val="center"/>
          </w:tcPr>
          <w:p>
            <w:pPr>
              <w:pStyle w:val="246"/>
              <w:rPr>
                <w:rFonts w:eastAsiaTheme="minorEastAsia"/>
                <w:color w:val="auto"/>
              </w:rPr>
            </w:pPr>
            <w:r>
              <w:rPr>
                <w:rFonts w:eastAsiaTheme="minorEastAsia"/>
                <w:color w:val="auto"/>
              </w:rPr>
              <w:t>-2</w:t>
            </w:r>
          </w:p>
        </w:tc>
        <w:tc>
          <w:tcPr>
            <w:tcW w:w="925" w:type="dxa"/>
            <w:tcBorders>
              <w:right w:val="nil"/>
            </w:tcBorders>
            <w:vAlign w:val="center"/>
          </w:tcPr>
          <w:p>
            <w:pPr>
              <w:pStyle w:val="246"/>
              <w:rPr>
                <w:rFonts w:eastAsiaTheme="minorEastAsia"/>
                <w:color w:val="auto"/>
              </w:rPr>
            </w:pPr>
            <w:r>
              <w:rPr>
                <w:rFonts w:eastAsiaTheme="minorEastAsia"/>
                <w:color w:val="auto"/>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jc w:val="center"/>
        </w:trPr>
        <w:tc>
          <w:tcPr>
            <w:tcW w:w="1257" w:type="dxa"/>
            <w:vMerge w:val="continue"/>
            <w:tcBorders>
              <w:left w:val="nil"/>
              <w:right w:val="single" w:color="auto" w:sz="4" w:space="0"/>
            </w:tcBorders>
            <w:vAlign w:val="center"/>
          </w:tcPr>
          <w:p>
            <w:pPr>
              <w:pStyle w:val="246"/>
              <w:rPr>
                <w:rFonts w:eastAsiaTheme="minorEastAsia"/>
                <w:color w:val="auto"/>
              </w:rPr>
            </w:pPr>
          </w:p>
        </w:tc>
        <w:tc>
          <w:tcPr>
            <w:tcW w:w="1513" w:type="dxa"/>
            <w:tcBorders>
              <w:left w:val="single" w:color="auto" w:sz="4" w:space="0"/>
            </w:tcBorders>
            <w:vAlign w:val="center"/>
          </w:tcPr>
          <w:p>
            <w:pPr>
              <w:pStyle w:val="246"/>
              <w:rPr>
                <w:rFonts w:eastAsiaTheme="minorEastAsia"/>
                <w:color w:val="auto"/>
              </w:rPr>
            </w:pPr>
            <w:r>
              <w:rPr>
                <w:rFonts w:eastAsiaTheme="minorEastAsia"/>
                <w:color w:val="auto"/>
              </w:rPr>
              <w:t>矿石运输</w:t>
            </w:r>
          </w:p>
        </w:tc>
        <w:tc>
          <w:tcPr>
            <w:tcW w:w="924" w:type="dxa"/>
            <w:vAlign w:val="center"/>
          </w:tcPr>
          <w:p>
            <w:pPr>
              <w:pStyle w:val="246"/>
              <w:rPr>
                <w:rFonts w:eastAsiaTheme="minorEastAsia"/>
                <w:color w:val="auto"/>
              </w:rPr>
            </w:pPr>
            <w:r>
              <w:rPr>
                <w:rFonts w:eastAsiaTheme="minorEastAsia"/>
                <w:color w:val="auto"/>
              </w:rPr>
              <w:t>-1</w:t>
            </w:r>
          </w:p>
        </w:tc>
        <w:tc>
          <w:tcPr>
            <w:tcW w:w="1229" w:type="dxa"/>
            <w:vAlign w:val="center"/>
          </w:tcPr>
          <w:p>
            <w:pPr>
              <w:pStyle w:val="246"/>
              <w:rPr>
                <w:rFonts w:eastAsiaTheme="minorEastAsia"/>
                <w:color w:val="auto"/>
              </w:rPr>
            </w:pPr>
          </w:p>
        </w:tc>
        <w:tc>
          <w:tcPr>
            <w:tcW w:w="1229" w:type="dxa"/>
          </w:tcPr>
          <w:p>
            <w:pPr>
              <w:pStyle w:val="246"/>
              <w:rPr>
                <w:rFonts w:eastAsiaTheme="minorEastAsia"/>
                <w:color w:val="auto"/>
              </w:rPr>
            </w:pPr>
          </w:p>
        </w:tc>
        <w:tc>
          <w:tcPr>
            <w:tcW w:w="1229" w:type="dxa"/>
            <w:vAlign w:val="center"/>
          </w:tcPr>
          <w:p>
            <w:pPr>
              <w:pStyle w:val="246"/>
              <w:rPr>
                <w:rFonts w:eastAsiaTheme="minorEastAsia"/>
                <w:color w:val="auto"/>
              </w:rPr>
            </w:pPr>
            <w:r>
              <w:rPr>
                <w:rFonts w:eastAsiaTheme="minorEastAsia"/>
                <w:color w:val="auto"/>
              </w:rPr>
              <w:t>-1</w:t>
            </w:r>
          </w:p>
        </w:tc>
        <w:tc>
          <w:tcPr>
            <w:tcW w:w="925" w:type="dxa"/>
            <w:tcBorders>
              <w:right w:val="nil"/>
            </w:tcBorders>
            <w:vAlign w:val="center"/>
          </w:tcPr>
          <w:p>
            <w:pPr>
              <w:pStyle w:val="246"/>
              <w:rPr>
                <w:rFonts w:eastAsiaTheme="minorEastAsia"/>
                <w:color w:val="auto"/>
              </w:rPr>
            </w:pPr>
            <w:r>
              <w:rPr>
                <w:rFonts w:eastAsiaTheme="minorEastAsia"/>
                <w:color w:val="auto"/>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jc w:val="center"/>
        </w:trPr>
        <w:tc>
          <w:tcPr>
            <w:tcW w:w="1257" w:type="dxa"/>
            <w:vMerge w:val="continue"/>
            <w:tcBorders>
              <w:left w:val="nil"/>
              <w:right w:val="single" w:color="auto" w:sz="4" w:space="0"/>
            </w:tcBorders>
            <w:vAlign w:val="center"/>
          </w:tcPr>
          <w:p>
            <w:pPr>
              <w:pStyle w:val="246"/>
              <w:rPr>
                <w:rFonts w:eastAsiaTheme="minorEastAsia"/>
                <w:color w:val="auto"/>
              </w:rPr>
            </w:pPr>
          </w:p>
        </w:tc>
        <w:tc>
          <w:tcPr>
            <w:tcW w:w="1513" w:type="dxa"/>
            <w:tcBorders>
              <w:left w:val="single" w:color="auto" w:sz="4" w:space="0"/>
            </w:tcBorders>
            <w:vAlign w:val="center"/>
          </w:tcPr>
          <w:p>
            <w:pPr>
              <w:pStyle w:val="246"/>
              <w:rPr>
                <w:rFonts w:eastAsiaTheme="minorEastAsia"/>
                <w:color w:val="auto"/>
              </w:rPr>
            </w:pPr>
            <w:r>
              <w:rPr>
                <w:rFonts w:eastAsiaTheme="minorEastAsia"/>
                <w:color w:val="auto"/>
              </w:rPr>
              <w:t>生活污水</w:t>
            </w:r>
          </w:p>
        </w:tc>
        <w:tc>
          <w:tcPr>
            <w:tcW w:w="924" w:type="dxa"/>
            <w:vAlign w:val="center"/>
          </w:tcPr>
          <w:p>
            <w:pPr>
              <w:pStyle w:val="246"/>
              <w:rPr>
                <w:rFonts w:eastAsiaTheme="minorEastAsia"/>
                <w:color w:val="auto"/>
              </w:rPr>
            </w:pPr>
          </w:p>
        </w:tc>
        <w:tc>
          <w:tcPr>
            <w:tcW w:w="1229" w:type="dxa"/>
            <w:vAlign w:val="center"/>
          </w:tcPr>
          <w:p>
            <w:pPr>
              <w:pStyle w:val="246"/>
              <w:rPr>
                <w:rFonts w:eastAsiaTheme="minorEastAsia"/>
                <w:color w:val="auto"/>
              </w:rPr>
            </w:pPr>
            <w:r>
              <w:rPr>
                <w:rFonts w:eastAsiaTheme="minorEastAsia"/>
                <w:color w:val="auto"/>
              </w:rPr>
              <w:t>-1</w:t>
            </w:r>
          </w:p>
        </w:tc>
        <w:tc>
          <w:tcPr>
            <w:tcW w:w="1229" w:type="dxa"/>
          </w:tcPr>
          <w:p>
            <w:pPr>
              <w:pStyle w:val="246"/>
              <w:rPr>
                <w:rFonts w:eastAsiaTheme="minorEastAsia"/>
                <w:color w:val="auto"/>
              </w:rPr>
            </w:pPr>
          </w:p>
        </w:tc>
        <w:tc>
          <w:tcPr>
            <w:tcW w:w="1229" w:type="dxa"/>
            <w:vAlign w:val="center"/>
          </w:tcPr>
          <w:p>
            <w:pPr>
              <w:pStyle w:val="246"/>
              <w:rPr>
                <w:rFonts w:eastAsiaTheme="minorEastAsia"/>
                <w:color w:val="auto"/>
              </w:rPr>
            </w:pPr>
          </w:p>
        </w:tc>
        <w:tc>
          <w:tcPr>
            <w:tcW w:w="925" w:type="dxa"/>
            <w:tcBorders>
              <w:right w:val="nil"/>
            </w:tcBorders>
            <w:vAlign w:val="center"/>
          </w:tcPr>
          <w:p>
            <w:pPr>
              <w:pStyle w:val="246"/>
              <w:rPr>
                <w:rFonts w:eastAsiaTheme="minor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jc w:val="center"/>
        </w:trPr>
        <w:tc>
          <w:tcPr>
            <w:tcW w:w="1257" w:type="dxa"/>
            <w:vMerge w:val="restart"/>
            <w:tcBorders>
              <w:left w:val="nil"/>
              <w:right w:val="single" w:color="auto" w:sz="4" w:space="0"/>
            </w:tcBorders>
            <w:vAlign w:val="center"/>
          </w:tcPr>
          <w:p>
            <w:pPr>
              <w:pStyle w:val="246"/>
              <w:rPr>
                <w:rFonts w:eastAsiaTheme="minorEastAsia"/>
                <w:color w:val="auto"/>
              </w:rPr>
            </w:pPr>
            <w:r>
              <w:rPr>
                <w:rFonts w:eastAsiaTheme="minorEastAsia"/>
                <w:color w:val="auto"/>
              </w:rPr>
              <w:t>退役期</w:t>
            </w:r>
          </w:p>
        </w:tc>
        <w:tc>
          <w:tcPr>
            <w:tcW w:w="1513" w:type="dxa"/>
            <w:tcBorders>
              <w:left w:val="single" w:color="auto" w:sz="4" w:space="0"/>
            </w:tcBorders>
            <w:vAlign w:val="center"/>
          </w:tcPr>
          <w:p>
            <w:pPr>
              <w:pStyle w:val="246"/>
              <w:rPr>
                <w:rFonts w:eastAsiaTheme="minorEastAsia"/>
                <w:color w:val="auto"/>
              </w:rPr>
            </w:pPr>
            <w:r>
              <w:rPr>
                <w:rFonts w:eastAsiaTheme="minorEastAsia"/>
                <w:color w:val="auto"/>
              </w:rPr>
              <w:t>闭坑平整</w:t>
            </w:r>
          </w:p>
        </w:tc>
        <w:tc>
          <w:tcPr>
            <w:tcW w:w="924" w:type="dxa"/>
            <w:vAlign w:val="center"/>
          </w:tcPr>
          <w:p>
            <w:pPr>
              <w:pStyle w:val="246"/>
              <w:rPr>
                <w:rFonts w:eastAsiaTheme="minorEastAsia"/>
                <w:color w:val="auto"/>
              </w:rPr>
            </w:pPr>
            <w:r>
              <w:rPr>
                <w:rFonts w:eastAsiaTheme="minorEastAsia"/>
                <w:color w:val="auto"/>
              </w:rPr>
              <w:t>-1</w:t>
            </w:r>
          </w:p>
        </w:tc>
        <w:tc>
          <w:tcPr>
            <w:tcW w:w="1229" w:type="dxa"/>
            <w:vAlign w:val="center"/>
          </w:tcPr>
          <w:p>
            <w:pPr>
              <w:pStyle w:val="246"/>
              <w:rPr>
                <w:rFonts w:eastAsiaTheme="minorEastAsia"/>
                <w:color w:val="auto"/>
              </w:rPr>
            </w:pPr>
          </w:p>
        </w:tc>
        <w:tc>
          <w:tcPr>
            <w:tcW w:w="1229" w:type="dxa"/>
          </w:tcPr>
          <w:p>
            <w:pPr>
              <w:pStyle w:val="246"/>
              <w:rPr>
                <w:rFonts w:eastAsiaTheme="minorEastAsia"/>
                <w:color w:val="auto"/>
              </w:rPr>
            </w:pPr>
          </w:p>
        </w:tc>
        <w:tc>
          <w:tcPr>
            <w:tcW w:w="1229" w:type="dxa"/>
            <w:vAlign w:val="center"/>
          </w:tcPr>
          <w:p>
            <w:pPr>
              <w:pStyle w:val="246"/>
              <w:rPr>
                <w:rFonts w:eastAsiaTheme="minorEastAsia"/>
                <w:color w:val="auto"/>
              </w:rPr>
            </w:pPr>
            <w:r>
              <w:rPr>
                <w:rFonts w:eastAsiaTheme="minorEastAsia"/>
                <w:color w:val="auto"/>
              </w:rPr>
              <w:t>-1</w:t>
            </w:r>
          </w:p>
        </w:tc>
        <w:tc>
          <w:tcPr>
            <w:tcW w:w="925" w:type="dxa"/>
            <w:tcBorders>
              <w:right w:val="nil"/>
            </w:tcBorders>
            <w:vAlign w:val="center"/>
          </w:tcPr>
          <w:p>
            <w:pPr>
              <w:pStyle w:val="246"/>
              <w:rPr>
                <w:rFonts w:eastAsiaTheme="minor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jc w:val="center"/>
        </w:trPr>
        <w:tc>
          <w:tcPr>
            <w:tcW w:w="1257" w:type="dxa"/>
            <w:vMerge w:val="continue"/>
            <w:tcBorders>
              <w:left w:val="nil"/>
              <w:right w:val="single" w:color="auto" w:sz="4" w:space="0"/>
            </w:tcBorders>
            <w:vAlign w:val="center"/>
          </w:tcPr>
          <w:p>
            <w:pPr>
              <w:pStyle w:val="246"/>
              <w:rPr>
                <w:rFonts w:eastAsiaTheme="minorEastAsia"/>
                <w:color w:val="auto"/>
              </w:rPr>
            </w:pPr>
          </w:p>
        </w:tc>
        <w:tc>
          <w:tcPr>
            <w:tcW w:w="1513" w:type="dxa"/>
            <w:tcBorders>
              <w:left w:val="single" w:color="auto" w:sz="4" w:space="0"/>
            </w:tcBorders>
            <w:vAlign w:val="center"/>
          </w:tcPr>
          <w:p>
            <w:pPr>
              <w:pStyle w:val="246"/>
              <w:rPr>
                <w:rFonts w:eastAsiaTheme="minorEastAsia"/>
                <w:color w:val="auto"/>
              </w:rPr>
            </w:pPr>
            <w:r>
              <w:rPr>
                <w:rFonts w:eastAsiaTheme="minorEastAsia"/>
                <w:color w:val="auto"/>
              </w:rPr>
              <w:t>土地利用</w:t>
            </w:r>
          </w:p>
        </w:tc>
        <w:tc>
          <w:tcPr>
            <w:tcW w:w="924" w:type="dxa"/>
            <w:vAlign w:val="center"/>
          </w:tcPr>
          <w:p>
            <w:pPr>
              <w:pStyle w:val="246"/>
              <w:rPr>
                <w:rFonts w:eastAsiaTheme="minorEastAsia"/>
                <w:color w:val="auto"/>
              </w:rPr>
            </w:pPr>
            <w:r>
              <w:rPr>
                <w:rFonts w:eastAsiaTheme="minorEastAsia"/>
                <w:color w:val="auto"/>
              </w:rPr>
              <w:t>+1</w:t>
            </w:r>
          </w:p>
        </w:tc>
        <w:tc>
          <w:tcPr>
            <w:tcW w:w="1229" w:type="dxa"/>
            <w:vAlign w:val="center"/>
          </w:tcPr>
          <w:p>
            <w:pPr>
              <w:pStyle w:val="246"/>
              <w:rPr>
                <w:rFonts w:eastAsiaTheme="minorEastAsia"/>
                <w:color w:val="auto"/>
              </w:rPr>
            </w:pPr>
          </w:p>
        </w:tc>
        <w:tc>
          <w:tcPr>
            <w:tcW w:w="1229" w:type="dxa"/>
          </w:tcPr>
          <w:p>
            <w:pPr>
              <w:pStyle w:val="246"/>
              <w:rPr>
                <w:rFonts w:eastAsiaTheme="minorEastAsia"/>
                <w:color w:val="auto"/>
              </w:rPr>
            </w:pPr>
          </w:p>
        </w:tc>
        <w:tc>
          <w:tcPr>
            <w:tcW w:w="1229" w:type="dxa"/>
            <w:vAlign w:val="center"/>
          </w:tcPr>
          <w:p>
            <w:pPr>
              <w:pStyle w:val="246"/>
              <w:rPr>
                <w:rFonts w:eastAsiaTheme="minorEastAsia"/>
                <w:color w:val="auto"/>
              </w:rPr>
            </w:pPr>
          </w:p>
        </w:tc>
        <w:tc>
          <w:tcPr>
            <w:tcW w:w="925" w:type="dxa"/>
            <w:tcBorders>
              <w:right w:val="nil"/>
            </w:tcBorders>
            <w:vAlign w:val="center"/>
          </w:tcPr>
          <w:p>
            <w:pPr>
              <w:pStyle w:val="246"/>
              <w:rPr>
                <w:rFonts w:eastAsiaTheme="minorEastAsia"/>
                <w:color w:val="auto"/>
              </w:rPr>
            </w:pPr>
            <w:r>
              <w:rPr>
                <w:rFonts w:eastAsiaTheme="minorEastAsia"/>
                <w:color w:val="auto"/>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jc w:val="center"/>
        </w:trPr>
        <w:tc>
          <w:tcPr>
            <w:tcW w:w="1257" w:type="dxa"/>
            <w:vMerge w:val="continue"/>
            <w:tcBorders>
              <w:left w:val="nil"/>
              <w:bottom w:val="single" w:color="auto" w:sz="12" w:space="0"/>
              <w:right w:val="single" w:color="auto" w:sz="4" w:space="0"/>
            </w:tcBorders>
            <w:vAlign w:val="center"/>
          </w:tcPr>
          <w:p>
            <w:pPr>
              <w:pStyle w:val="246"/>
              <w:rPr>
                <w:rFonts w:eastAsiaTheme="minorEastAsia"/>
                <w:color w:val="auto"/>
              </w:rPr>
            </w:pPr>
          </w:p>
        </w:tc>
        <w:tc>
          <w:tcPr>
            <w:tcW w:w="1513" w:type="dxa"/>
            <w:tcBorders>
              <w:left w:val="single" w:color="auto" w:sz="4" w:space="0"/>
              <w:bottom w:val="single" w:color="auto" w:sz="12" w:space="0"/>
            </w:tcBorders>
            <w:vAlign w:val="center"/>
          </w:tcPr>
          <w:p>
            <w:pPr>
              <w:pStyle w:val="246"/>
              <w:rPr>
                <w:rFonts w:eastAsiaTheme="minorEastAsia"/>
                <w:color w:val="auto"/>
              </w:rPr>
            </w:pPr>
            <w:r>
              <w:rPr>
                <w:rFonts w:eastAsiaTheme="minorEastAsia"/>
                <w:color w:val="auto"/>
              </w:rPr>
              <w:t>植被恢复</w:t>
            </w:r>
          </w:p>
        </w:tc>
        <w:tc>
          <w:tcPr>
            <w:tcW w:w="924" w:type="dxa"/>
            <w:tcBorders>
              <w:bottom w:val="single" w:color="auto" w:sz="12" w:space="0"/>
            </w:tcBorders>
            <w:vAlign w:val="center"/>
          </w:tcPr>
          <w:p>
            <w:pPr>
              <w:pStyle w:val="246"/>
              <w:rPr>
                <w:rFonts w:eastAsiaTheme="minorEastAsia"/>
                <w:color w:val="auto"/>
              </w:rPr>
            </w:pPr>
            <w:r>
              <w:rPr>
                <w:rFonts w:eastAsiaTheme="minorEastAsia"/>
                <w:color w:val="auto"/>
              </w:rPr>
              <w:t>+2</w:t>
            </w:r>
          </w:p>
        </w:tc>
        <w:tc>
          <w:tcPr>
            <w:tcW w:w="1229" w:type="dxa"/>
            <w:tcBorders>
              <w:bottom w:val="single" w:color="auto" w:sz="12" w:space="0"/>
            </w:tcBorders>
            <w:vAlign w:val="center"/>
          </w:tcPr>
          <w:p>
            <w:pPr>
              <w:pStyle w:val="246"/>
              <w:rPr>
                <w:rFonts w:eastAsiaTheme="minorEastAsia"/>
                <w:color w:val="auto"/>
              </w:rPr>
            </w:pPr>
          </w:p>
        </w:tc>
        <w:tc>
          <w:tcPr>
            <w:tcW w:w="1229" w:type="dxa"/>
            <w:tcBorders>
              <w:bottom w:val="single" w:color="auto" w:sz="12" w:space="0"/>
            </w:tcBorders>
          </w:tcPr>
          <w:p>
            <w:pPr>
              <w:pStyle w:val="246"/>
              <w:rPr>
                <w:rFonts w:eastAsiaTheme="minorEastAsia"/>
                <w:color w:val="auto"/>
              </w:rPr>
            </w:pPr>
          </w:p>
        </w:tc>
        <w:tc>
          <w:tcPr>
            <w:tcW w:w="1229" w:type="dxa"/>
            <w:tcBorders>
              <w:bottom w:val="single" w:color="auto" w:sz="12" w:space="0"/>
            </w:tcBorders>
            <w:vAlign w:val="center"/>
          </w:tcPr>
          <w:p>
            <w:pPr>
              <w:pStyle w:val="246"/>
              <w:rPr>
                <w:rFonts w:eastAsiaTheme="minorEastAsia"/>
                <w:color w:val="auto"/>
              </w:rPr>
            </w:pPr>
          </w:p>
        </w:tc>
        <w:tc>
          <w:tcPr>
            <w:tcW w:w="925" w:type="dxa"/>
            <w:tcBorders>
              <w:bottom w:val="single" w:color="auto" w:sz="12" w:space="0"/>
              <w:right w:val="nil"/>
            </w:tcBorders>
            <w:vAlign w:val="center"/>
          </w:tcPr>
          <w:p>
            <w:pPr>
              <w:pStyle w:val="246"/>
              <w:rPr>
                <w:rFonts w:eastAsiaTheme="minorEastAsia"/>
                <w:color w:val="auto"/>
              </w:rPr>
            </w:pPr>
            <w:r>
              <w:rPr>
                <w:rFonts w:eastAsiaTheme="minorEastAsia"/>
                <w:color w:val="auto"/>
              </w:rPr>
              <w:t>+2</w:t>
            </w:r>
          </w:p>
        </w:tc>
      </w:tr>
    </w:tbl>
    <w:p>
      <w:pPr>
        <w:tabs>
          <w:tab w:val="left" w:leader="middleDot" w:pos="7371"/>
        </w:tabs>
        <w:spacing w:line="240" w:lineRule="auto"/>
        <w:rPr>
          <w:rFonts w:eastAsiaTheme="minorEastAsia"/>
          <w:b/>
          <w:color w:val="auto"/>
          <w:sz w:val="20"/>
          <w:szCs w:val="21"/>
        </w:rPr>
      </w:pPr>
      <w:bookmarkStart w:id="55" w:name="_Toc360142512"/>
      <w:bookmarkStart w:id="56" w:name="_Toc359179947"/>
      <w:r>
        <w:rPr>
          <w:rFonts w:eastAsiaTheme="minorEastAsia"/>
          <w:b/>
          <w:color w:val="auto"/>
          <w:sz w:val="20"/>
          <w:szCs w:val="21"/>
        </w:rPr>
        <w:t>注：+、-分别代表有利影响和不利影响；数字1、2、3分别代表影响程度轻度、一般、严重。</w:t>
      </w:r>
    </w:p>
    <w:p>
      <w:pPr>
        <w:pStyle w:val="240"/>
        <w:rPr>
          <w:rFonts w:ascii="Times New Roman" w:hAnsi="Times New Roman" w:cs="Times New Roman" w:eastAsiaTheme="minorEastAsia"/>
          <w:color w:val="auto"/>
        </w:rPr>
      </w:pPr>
      <w:bookmarkStart w:id="57" w:name="_Toc440973401"/>
      <w:bookmarkStart w:id="58" w:name="_Toc440973667"/>
      <w:bookmarkStart w:id="59" w:name="_Toc440973031"/>
      <w:r>
        <w:rPr>
          <w:rFonts w:ascii="Times New Roman" w:hAnsi="Times New Roman" w:cs="Times New Roman" w:eastAsiaTheme="minorEastAsia"/>
          <w:color w:val="auto"/>
        </w:rPr>
        <w:t>2.2.2评价因子筛</w:t>
      </w:r>
      <w:bookmarkEnd w:id="55"/>
      <w:bookmarkEnd w:id="56"/>
      <w:bookmarkEnd w:id="57"/>
      <w:bookmarkEnd w:id="58"/>
      <w:bookmarkEnd w:id="59"/>
      <w:r>
        <w:rPr>
          <w:rFonts w:ascii="Times New Roman" w:hAnsi="Times New Roman" w:cs="Times New Roman" w:eastAsiaTheme="minorEastAsia"/>
          <w:color w:val="auto"/>
        </w:rPr>
        <w:t>选</w:t>
      </w:r>
    </w:p>
    <w:p>
      <w:pPr>
        <w:pStyle w:val="276"/>
        <w:rPr>
          <w:rFonts w:eastAsiaTheme="minorEastAsia"/>
          <w:color w:val="auto"/>
        </w:rPr>
      </w:pPr>
      <w:r>
        <w:rPr>
          <w:rFonts w:eastAsiaTheme="minorEastAsia"/>
          <w:color w:val="auto"/>
        </w:rPr>
        <w:t>根据本项目周边环境及项目特征，确定本项目评价现状因子和预测评价因</w:t>
      </w:r>
      <w:r>
        <w:rPr>
          <w:rFonts w:eastAsiaTheme="minorEastAsia"/>
          <w:color w:val="auto"/>
        </w:rPr>
        <w:t>子，确定本项目的评价因子见表2-2-2。</w:t>
      </w:r>
    </w:p>
    <w:p>
      <w:pPr>
        <w:pStyle w:val="244"/>
        <w:rPr>
          <w:rFonts w:eastAsiaTheme="minorEastAsia"/>
          <w:color w:val="auto"/>
        </w:rPr>
      </w:pPr>
      <w:r>
        <w:rPr>
          <w:rFonts w:eastAsiaTheme="minorEastAsia"/>
          <w:color w:val="auto"/>
        </w:rPr>
        <w:t>表2-2-2  评价因子筛选结果</w:t>
      </w:r>
    </w:p>
    <w:tbl>
      <w:tblPr>
        <w:tblStyle w:val="53"/>
        <w:tblW w:w="852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01"/>
        <w:gridCol w:w="699"/>
        <w:gridCol w:w="10"/>
        <w:gridCol w:w="1276"/>
        <w:gridCol w:w="54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1101" w:type="dxa"/>
            <w:tcBorders>
              <w:top w:val="single" w:color="auto" w:sz="12" w:space="0"/>
              <w:left w:val="nil"/>
            </w:tcBorders>
            <w:vAlign w:val="center"/>
          </w:tcPr>
          <w:p>
            <w:pPr>
              <w:pStyle w:val="206"/>
              <w:rPr>
                <w:rFonts w:eastAsiaTheme="minorEastAsia"/>
                <w:color w:val="auto"/>
              </w:rPr>
            </w:pPr>
            <w:r>
              <w:rPr>
                <w:rFonts w:eastAsiaTheme="minorEastAsia"/>
                <w:color w:val="auto"/>
              </w:rPr>
              <w:t>环境要素</w:t>
            </w:r>
          </w:p>
        </w:tc>
        <w:tc>
          <w:tcPr>
            <w:tcW w:w="1985" w:type="dxa"/>
            <w:gridSpan w:val="3"/>
            <w:tcBorders>
              <w:top w:val="single" w:color="auto" w:sz="12" w:space="0"/>
            </w:tcBorders>
            <w:vAlign w:val="center"/>
          </w:tcPr>
          <w:p>
            <w:pPr>
              <w:pStyle w:val="206"/>
              <w:rPr>
                <w:rFonts w:eastAsiaTheme="minorEastAsia"/>
                <w:color w:val="auto"/>
              </w:rPr>
            </w:pPr>
            <w:r>
              <w:rPr>
                <w:rFonts w:eastAsiaTheme="minorEastAsia"/>
                <w:color w:val="auto"/>
              </w:rPr>
              <w:t>评价类别</w:t>
            </w:r>
          </w:p>
        </w:tc>
        <w:tc>
          <w:tcPr>
            <w:tcW w:w="5437" w:type="dxa"/>
            <w:tcBorders>
              <w:top w:val="single" w:color="auto" w:sz="12" w:space="0"/>
              <w:right w:val="nil"/>
            </w:tcBorders>
            <w:vAlign w:val="center"/>
          </w:tcPr>
          <w:p>
            <w:pPr>
              <w:pStyle w:val="206"/>
              <w:rPr>
                <w:rFonts w:eastAsiaTheme="minorEastAsia"/>
                <w:color w:val="auto"/>
              </w:rPr>
            </w:pPr>
            <w:r>
              <w:rPr>
                <w:rFonts w:eastAsiaTheme="minorEastAsia"/>
                <w:color w:val="auto"/>
              </w:rPr>
              <w:t>评价因子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1101" w:type="dxa"/>
            <w:vMerge w:val="restart"/>
            <w:tcBorders>
              <w:left w:val="nil"/>
            </w:tcBorders>
            <w:vAlign w:val="center"/>
          </w:tcPr>
          <w:p>
            <w:pPr>
              <w:pStyle w:val="206"/>
              <w:rPr>
                <w:rFonts w:eastAsiaTheme="minorEastAsia"/>
                <w:color w:val="auto"/>
              </w:rPr>
            </w:pPr>
            <w:r>
              <w:rPr>
                <w:rFonts w:eastAsiaTheme="minorEastAsia"/>
                <w:color w:val="auto"/>
              </w:rPr>
              <w:t>环境空气</w:t>
            </w:r>
          </w:p>
        </w:tc>
        <w:tc>
          <w:tcPr>
            <w:tcW w:w="1985" w:type="dxa"/>
            <w:gridSpan w:val="3"/>
            <w:vAlign w:val="center"/>
          </w:tcPr>
          <w:p>
            <w:pPr>
              <w:pStyle w:val="206"/>
              <w:rPr>
                <w:rFonts w:eastAsiaTheme="minorEastAsia"/>
                <w:color w:val="auto"/>
              </w:rPr>
            </w:pPr>
            <w:r>
              <w:rPr>
                <w:rFonts w:eastAsiaTheme="minorEastAsia"/>
                <w:color w:val="auto"/>
              </w:rPr>
              <w:t>现状评价</w:t>
            </w:r>
          </w:p>
        </w:tc>
        <w:tc>
          <w:tcPr>
            <w:tcW w:w="5437" w:type="dxa"/>
            <w:tcBorders>
              <w:right w:val="nil"/>
            </w:tcBorders>
            <w:vAlign w:val="center"/>
          </w:tcPr>
          <w:p>
            <w:pPr>
              <w:pStyle w:val="206"/>
              <w:rPr>
                <w:rFonts w:eastAsiaTheme="minorEastAsia"/>
                <w:color w:val="auto"/>
              </w:rPr>
            </w:pPr>
            <w:r>
              <w:rPr>
                <w:rFonts w:eastAsiaTheme="minorEastAsia"/>
                <w:color w:val="auto"/>
                <w:highlight w:val="none"/>
              </w:rPr>
              <w:t>SO</w:t>
            </w:r>
            <w:r>
              <w:rPr>
                <w:rFonts w:eastAsiaTheme="minorEastAsia"/>
                <w:color w:val="auto"/>
                <w:highlight w:val="none"/>
                <w:vertAlign w:val="subscript"/>
              </w:rPr>
              <w:t>2</w:t>
            </w:r>
            <w:r>
              <w:rPr>
                <w:rFonts w:eastAsiaTheme="minorEastAsia"/>
                <w:color w:val="auto"/>
                <w:highlight w:val="none"/>
              </w:rPr>
              <w:t>、NO</w:t>
            </w:r>
            <w:r>
              <w:rPr>
                <w:rFonts w:eastAsiaTheme="minorEastAsia"/>
                <w:color w:val="auto"/>
                <w:highlight w:val="none"/>
                <w:vertAlign w:val="subscript"/>
              </w:rPr>
              <w:t>2</w:t>
            </w:r>
            <w:r>
              <w:rPr>
                <w:rFonts w:eastAsiaTheme="minorEastAsia"/>
                <w:color w:val="auto"/>
                <w:highlight w:val="none"/>
              </w:rPr>
              <w:t>、TSP、PM</w:t>
            </w:r>
            <w:r>
              <w:rPr>
                <w:rFonts w:eastAsiaTheme="minorEastAsia"/>
                <w:color w:val="auto"/>
                <w:highlight w:val="none"/>
                <w:vertAlign w:val="subscript"/>
              </w:rPr>
              <w:t>2.5</w:t>
            </w:r>
            <w:r>
              <w:rPr>
                <w:rFonts w:eastAsiaTheme="minorEastAsia"/>
                <w:color w:val="auto"/>
                <w:highlight w:val="none"/>
              </w:rPr>
              <w:t>、PM</w:t>
            </w:r>
            <w:r>
              <w:rPr>
                <w:rFonts w:eastAsiaTheme="minorEastAsia"/>
                <w:color w:val="auto"/>
                <w:highlight w:val="none"/>
                <w:vertAlign w:val="subscript"/>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1101" w:type="dxa"/>
            <w:vMerge w:val="continue"/>
            <w:tcBorders>
              <w:left w:val="nil"/>
            </w:tcBorders>
            <w:vAlign w:val="center"/>
          </w:tcPr>
          <w:p>
            <w:pPr>
              <w:pStyle w:val="206"/>
              <w:rPr>
                <w:rFonts w:eastAsiaTheme="minorEastAsia"/>
                <w:color w:val="auto"/>
              </w:rPr>
            </w:pPr>
          </w:p>
        </w:tc>
        <w:tc>
          <w:tcPr>
            <w:tcW w:w="709" w:type="dxa"/>
            <w:gridSpan w:val="2"/>
            <w:vMerge w:val="restart"/>
            <w:tcBorders>
              <w:right w:val="single" w:color="auto" w:sz="4" w:space="0"/>
            </w:tcBorders>
            <w:vAlign w:val="center"/>
          </w:tcPr>
          <w:p>
            <w:pPr>
              <w:pStyle w:val="206"/>
              <w:rPr>
                <w:rFonts w:eastAsiaTheme="minorEastAsia"/>
                <w:color w:val="auto"/>
              </w:rPr>
            </w:pPr>
            <w:r>
              <w:rPr>
                <w:rFonts w:eastAsiaTheme="minorEastAsia"/>
                <w:color w:val="auto"/>
              </w:rPr>
              <w:t>影响评价</w:t>
            </w:r>
          </w:p>
        </w:tc>
        <w:tc>
          <w:tcPr>
            <w:tcW w:w="1276" w:type="dxa"/>
            <w:tcBorders>
              <w:left w:val="single" w:color="auto" w:sz="4" w:space="0"/>
            </w:tcBorders>
            <w:vAlign w:val="center"/>
          </w:tcPr>
          <w:p>
            <w:pPr>
              <w:pStyle w:val="206"/>
              <w:rPr>
                <w:rFonts w:eastAsiaTheme="minorEastAsia"/>
                <w:color w:val="auto"/>
              </w:rPr>
            </w:pPr>
            <w:r>
              <w:rPr>
                <w:rFonts w:eastAsiaTheme="minorEastAsia"/>
                <w:color w:val="auto"/>
              </w:rPr>
              <w:t>施工期</w:t>
            </w:r>
          </w:p>
        </w:tc>
        <w:tc>
          <w:tcPr>
            <w:tcW w:w="5437" w:type="dxa"/>
            <w:tcBorders>
              <w:right w:val="nil"/>
            </w:tcBorders>
            <w:vAlign w:val="center"/>
          </w:tcPr>
          <w:p>
            <w:pPr>
              <w:pStyle w:val="206"/>
              <w:rPr>
                <w:rFonts w:eastAsiaTheme="minorEastAsia"/>
                <w:color w:val="auto"/>
              </w:rPr>
            </w:pPr>
            <w:r>
              <w:rPr>
                <w:rFonts w:eastAsiaTheme="minorEastAsia"/>
                <w:color w:val="auto"/>
              </w:rPr>
              <w:t>TSP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1101" w:type="dxa"/>
            <w:vMerge w:val="continue"/>
            <w:tcBorders>
              <w:left w:val="nil"/>
            </w:tcBorders>
            <w:vAlign w:val="center"/>
          </w:tcPr>
          <w:p>
            <w:pPr>
              <w:pStyle w:val="206"/>
              <w:rPr>
                <w:rFonts w:eastAsiaTheme="minorEastAsia"/>
                <w:color w:val="auto"/>
              </w:rPr>
            </w:pPr>
          </w:p>
        </w:tc>
        <w:tc>
          <w:tcPr>
            <w:tcW w:w="709" w:type="dxa"/>
            <w:gridSpan w:val="2"/>
            <w:vMerge w:val="continue"/>
            <w:tcBorders>
              <w:right w:val="single" w:color="auto" w:sz="4" w:space="0"/>
            </w:tcBorders>
            <w:vAlign w:val="center"/>
          </w:tcPr>
          <w:p>
            <w:pPr>
              <w:pStyle w:val="206"/>
              <w:rPr>
                <w:rFonts w:eastAsiaTheme="minorEastAsia"/>
                <w:color w:val="auto"/>
              </w:rPr>
            </w:pPr>
          </w:p>
        </w:tc>
        <w:tc>
          <w:tcPr>
            <w:tcW w:w="1276" w:type="dxa"/>
            <w:tcBorders>
              <w:left w:val="single" w:color="auto" w:sz="4" w:space="0"/>
            </w:tcBorders>
            <w:vAlign w:val="center"/>
          </w:tcPr>
          <w:p>
            <w:pPr>
              <w:pStyle w:val="206"/>
              <w:rPr>
                <w:rFonts w:eastAsiaTheme="minorEastAsia"/>
                <w:color w:val="auto"/>
              </w:rPr>
            </w:pPr>
            <w:r>
              <w:rPr>
                <w:rFonts w:eastAsiaTheme="minorEastAsia"/>
                <w:color w:val="auto"/>
              </w:rPr>
              <w:t>运行期</w:t>
            </w:r>
          </w:p>
        </w:tc>
        <w:tc>
          <w:tcPr>
            <w:tcW w:w="5437" w:type="dxa"/>
            <w:tcBorders>
              <w:right w:val="nil"/>
            </w:tcBorders>
            <w:vAlign w:val="center"/>
          </w:tcPr>
          <w:p>
            <w:pPr>
              <w:pStyle w:val="206"/>
              <w:rPr>
                <w:rFonts w:eastAsiaTheme="minorEastAsia"/>
                <w:color w:val="auto"/>
              </w:rPr>
            </w:pPr>
            <w:r>
              <w:rPr>
                <w:rFonts w:eastAsiaTheme="minorEastAsia"/>
                <w:color w:val="auto"/>
              </w:rPr>
              <w:t>TSP、PM</w:t>
            </w:r>
            <w:r>
              <w:rPr>
                <w:rFonts w:eastAsiaTheme="minorEastAsia"/>
                <w:color w:val="auto"/>
                <w:vertAlign w:val="subscript"/>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1101" w:type="dxa"/>
            <w:vMerge w:val="restart"/>
            <w:tcBorders>
              <w:left w:val="nil"/>
            </w:tcBorders>
            <w:vAlign w:val="center"/>
          </w:tcPr>
          <w:p>
            <w:pPr>
              <w:pStyle w:val="206"/>
              <w:rPr>
                <w:rFonts w:eastAsiaTheme="minorEastAsia"/>
                <w:color w:val="auto"/>
              </w:rPr>
            </w:pPr>
            <w:r>
              <w:rPr>
                <w:rFonts w:eastAsiaTheme="minorEastAsia"/>
                <w:color w:val="auto"/>
              </w:rPr>
              <w:t>声环境</w:t>
            </w:r>
          </w:p>
        </w:tc>
        <w:tc>
          <w:tcPr>
            <w:tcW w:w="1985" w:type="dxa"/>
            <w:gridSpan w:val="3"/>
            <w:vAlign w:val="center"/>
          </w:tcPr>
          <w:p>
            <w:pPr>
              <w:pStyle w:val="206"/>
              <w:rPr>
                <w:rFonts w:eastAsiaTheme="minorEastAsia"/>
                <w:color w:val="auto"/>
              </w:rPr>
            </w:pPr>
            <w:r>
              <w:rPr>
                <w:rFonts w:eastAsiaTheme="minorEastAsia"/>
                <w:color w:val="auto"/>
              </w:rPr>
              <w:t>现状评价</w:t>
            </w:r>
          </w:p>
        </w:tc>
        <w:tc>
          <w:tcPr>
            <w:tcW w:w="5437" w:type="dxa"/>
            <w:tcBorders>
              <w:right w:val="nil"/>
            </w:tcBorders>
            <w:vAlign w:val="center"/>
          </w:tcPr>
          <w:p>
            <w:pPr>
              <w:pStyle w:val="206"/>
              <w:rPr>
                <w:rFonts w:eastAsiaTheme="minorEastAsia"/>
                <w:color w:val="auto"/>
              </w:rPr>
            </w:pPr>
            <w:r>
              <w:rPr>
                <w:rFonts w:eastAsiaTheme="minorEastAsia"/>
                <w:color w:val="auto"/>
              </w:rPr>
              <w:t>Leq（A）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1101" w:type="dxa"/>
            <w:vMerge w:val="continue"/>
            <w:tcBorders>
              <w:left w:val="nil"/>
            </w:tcBorders>
            <w:vAlign w:val="center"/>
          </w:tcPr>
          <w:p>
            <w:pPr>
              <w:pStyle w:val="206"/>
              <w:rPr>
                <w:rFonts w:eastAsiaTheme="minorEastAsia"/>
                <w:color w:val="auto"/>
              </w:rPr>
            </w:pPr>
          </w:p>
        </w:tc>
        <w:tc>
          <w:tcPr>
            <w:tcW w:w="709" w:type="dxa"/>
            <w:gridSpan w:val="2"/>
            <w:vMerge w:val="restart"/>
            <w:tcBorders>
              <w:right w:val="single" w:color="auto" w:sz="4" w:space="0"/>
            </w:tcBorders>
            <w:vAlign w:val="center"/>
          </w:tcPr>
          <w:p>
            <w:pPr>
              <w:pStyle w:val="206"/>
              <w:rPr>
                <w:rFonts w:eastAsiaTheme="minorEastAsia"/>
                <w:color w:val="auto"/>
              </w:rPr>
            </w:pPr>
            <w:r>
              <w:rPr>
                <w:rFonts w:eastAsiaTheme="minorEastAsia"/>
                <w:color w:val="auto"/>
              </w:rPr>
              <w:t>影响评价</w:t>
            </w:r>
          </w:p>
        </w:tc>
        <w:tc>
          <w:tcPr>
            <w:tcW w:w="1276" w:type="dxa"/>
            <w:tcBorders>
              <w:left w:val="single" w:color="auto" w:sz="4" w:space="0"/>
            </w:tcBorders>
            <w:vAlign w:val="center"/>
          </w:tcPr>
          <w:p>
            <w:pPr>
              <w:pStyle w:val="206"/>
              <w:rPr>
                <w:rFonts w:eastAsiaTheme="minorEastAsia"/>
                <w:color w:val="auto"/>
              </w:rPr>
            </w:pPr>
            <w:r>
              <w:rPr>
                <w:rFonts w:eastAsiaTheme="minorEastAsia"/>
                <w:color w:val="auto"/>
              </w:rPr>
              <w:t>施工期</w:t>
            </w:r>
          </w:p>
        </w:tc>
        <w:tc>
          <w:tcPr>
            <w:tcW w:w="5437" w:type="dxa"/>
            <w:tcBorders>
              <w:right w:val="nil"/>
            </w:tcBorders>
            <w:vAlign w:val="center"/>
          </w:tcPr>
          <w:p>
            <w:pPr>
              <w:pStyle w:val="206"/>
              <w:rPr>
                <w:rFonts w:eastAsiaTheme="minorEastAsia"/>
                <w:color w:val="auto"/>
              </w:rPr>
            </w:pPr>
            <w:r>
              <w:rPr>
                <w:rFonts w:eastAsiaTheme="minorEastAsia"/>
                <w:color w:val="auto"/>
              </w:rPr>
              <w:t>Leq（A）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1101" w:type="dxa"/>
            <w:vMerge w:val="continue"/>
            <w:tcBorders>
              <w:left w:val="nil"/>
            </w:tcBorders>
            <w:vAlign w:val="center"/>
          </w:tcPr>
          <w:p>
            <w:pPr>
              <w:pStyle w:val="206"/>
              <w:rPr>
                <w:rFonts w:eastAsiaTheme="minorEastAsia"/>
                <w:color w:val="auto"/>
              </w:rPr>
            </w:pPr>
          </w:p>
        </w:tc>
        <w:tc>
          <w:tcPr>
            <w:tcW w:w="709" w:type="dxa"/>
            <w:gridSpan w:val="2"/>
            <w:vMerge w:val="continue"/>
            <w:tcBorders>
              <w:right w:val="single" w:color="auto" w:sz="4" w:space="0"/>
            </w:tcBorders>
            <w:vAlign w:val="center"/>
          </w:tcPr>
          <w:p>
            <w:pPr>
              <w:pStyle w:val="206"/>
              <w:rPr>
                <w:rFonts w:eastAsiaTheme="minorEastAsia"/>
                <w:color w:val="auto"/>
              </w:rPr>
            </w:pPr>
          </w:p>
        </w:tc>
        <w:tc>
          <w:tcPr>
            <w:tcW w:w="1276" w:type="dxa"/>
            <w:tcBorders>
              <w:left w:val="single" w:color="auto" w:sz="4" w:space="0"/>
            </w:tcBorders>
            <w:vAlign w:val="center"/>
          </w:tcPr>
          <w:p>
            <w:pPr>
              <w:pStyle w:val="206"/>
              <w:rPr>
                <w:rFonts w:eastAsiaTheme="minorEastAsia"/>
                <w:color w:val="auto"/>
              </w:rPr>
            </w:pPr>
            <w:r>
              <w:rPr>
                <w:rFonts w:eastAsiaTheme="minorEastAsia"/>
                <w:color w:val="auto"/>
              </w:rPr>
              <w:t>运行期</w:t>
            </w:r>
          </w:p>
        </w:tc>
        <w:tc>
          <w:tcPr>
            <w:tcW w:w="5437" w:type="dxa"/>
            <w:tcBorders>
              <w:right w:val="nil"/>
            </w:tcBorders>
            <w:vAlign w:val="center"/>
          </w:tcPr>
          <w:p>
            <w:pPr>
              <w:pStyle w:val="206"/>
              <w:rPr>
                <w:rFonts w:eastAsiaTheme="minorEastAsia"/>
                <w:color w:val="auto"/>
              </w:rPr>
            </w:pPr>
            <w:r>
              <w:rPr>
                <w:rFonts w:eastAsiaTheme="minorEastAsia"/>
                <w:color w:val="auto"/>
              </w:rPr>
              <w:t>Leq（A）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1101" w:type="dxa"/>
            <w:vMerge w:val="restart"/>
            <w:tcBorders>
              <w:left w:val="nil"/>
            </w:tcBorders>
            <w:vAlign w:val="center"/>
          </w:tcPr>
          <w:p>
            <w:pPr>
              <w:pStyle w:val="206"/>
              <w:rPr>
                <w:rFonts w:eastAsiaTheme="minorEastAsia"/>
                <w:color w:val="auto"/>
              </w:rPr>
            </w:pPr>
            <w:r>
              <w:rPr>
                <w:rFonts w:eastAsiaTheme="minorEastAsia"/>
                <w:color w:val="auto"/>
              </w:rPr>
              <w:t>地表水</w:t>
            </w:r>
          </w:p>
        </w:tc>
        <w:tc>
          <w:tcPr>
            <w:tcW w:w="1985" w:type="dxa"/>
            <w:gridSpan w:val="3"/>
            <w:vAlign w:val="center"/>
          </w:tcPr>
          <w:p>
            <w:pPr>
              <w:pStyle w:val="206"/>
              <w:rPr>
                <w:rFonts w:eastAsiaTheme="minorEastAsia"/>
                <w:color w:val="auto"/>
              </w:rPr>
            </w:pPr>
            <w:r>
              <w:rPr>
                <w:rFonts w:eastAsiaTheme="minorEastAsia"/>
                <w:color w:val="auto"/>
              </w:rPr>
              <w:t>现状评价</w:t>
            </w:r>
          </w:p>
        </w:tc>
        <w:tc>
          <w:tcPr>
            <w:tcW w:w="5437" w:type="dxa"/>
            <w:tcBorders>
              <w:right w:val="nil"/>
            </w:tcBorders>
            <w:vAlign w:val="center"/>
          </w:tcPr>
          <w:p>
            <w:pPr>
              <w:pStyle w:val="206"/>
              <w:rPr>
                <w:rFonts w:eastAsiaTheme="minorEastAsia"/>
                <w:color w:val="auto"/>
              </w:rPr>
            </w:pPr>
            <w:r>
              <w:rPr>
                <w:rFonts w:eastAsiaTheme="minorEastAsia"/>
                <w:color w:val="auto"/>
              </w:rPr>
              <w:t>pH、COD、氨氮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1101" w:type="dxa"/>
            <w:vMerge w:val="continue"/>
            <w:tcBorders>
              <w:left w:val="nil"/>
            </w:tcBorders>
            <w:vAlign w:val="center"/>
          </w:tcPr>
          <w:p>
            <w:pPr>
              <w:pStyle w:val="206"/>
              <w:rPr>
                <w:rFonts w:eastAsiaTheme="minorEastAsia"/>
                <w:color w:val="auto"/>
              </w:rPr>
            </w:pPr>
          </w:p>
        </w:tc>
        <w:tc>
          <w:tcPr>
            <w:tcW w:w="709" w:type="dxa"/>
            <w:gridSpan w:val="2"/>
            <w:vMerge w:val="restart"/>
            <w:tcBorders>
              <w:right w:val="single" w:color="auto" w:sz="4" w:space="0"/>
            </w:tcBorders>
            <w:vAlign w:val="center"/>
          </w:tcPr>
          <w:p>
            <w:pPr>
              <w:pStyle w:val="206"/>
              <w:rPr>
                <w:rFonts w:eastAsiaTheme="minorEastAsia"/>
                <w:color w:val="auto"/>
              </w:rPr>
            </w:pPr>
            <w:r>
              <w:rPr>
                <w:rFonts w:eastAsiaTheme="minorEastAsia"/>
                <w:color w:val="auto"/>
              </w:rPr>
              <w:t>影响分析</w:t>
            </w:r>
          </w:p>
        </w:tc>
        <w:tc>
          <w:tcPr>
            <w:tcW w:w="1276" w:type="dxa"/>
            <w:tcBorders>
              <w:left w:val="single" w:color="auto" w:sz="4" w:space="0"/>
            </w:tcBorders>
            <w:vAlign w:val="center"/>
          </w:tcPr>
          <w:p>
            <w:pPr>
              <w:pStyle w:val="206"/>
              <w:rPr>
                <w:rFonts w:eastAsiaTheme="minorEastAsia"/>
                <w:color w:val="auto"/>
              </w:rPr>
            </w:pPr>
            <w:r>
              <w:rPr>
                <w:rFonts w:eastAsiaTheme="minorEastAsia"/>
                <w:color w:val="auto"/>
              </w:rPr>
              <w:t>施工期</w:t>
            </w:r>
          </w:p>
        </w:tc>
        <w:tc>
          <w:tcPr>
            <w:tcW w:w="5437" w:type="dxa"/>
            <w:tcBorders>
              <w:right w:val="nil"/>
            </w:tcBorders>
            <w:vAlign w:val="center"/>
          </w:tcPr>
          <w:p>
            <w:pPr>
              <w:pStyle w:val="206"/>
              <w:rPr>
                <w:rFonts w:eastAsiaTheme="minorEastAsia"/>
                <w:color w:val="auto"/>
              </w:rPr>
            </w:pPr>
            <w:r>
              <w:rPr>
                <w:rFonts w:eastAsiaTheme="minorEastAsia"/>
                <w:color w:val="auto"/>
              </w:rPr>
              <w:t>COD、SS、氨氮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1101" w:type="dxa"/>
            <w:vMerge w:val="continue"/>
            <w:tcBorders>
              <w:left w:val="nil"/>
            </w:tcBorders>
            <w:vAlign w:val="center"/>
          </w:tcPr>
          <w:p>
            <w:pPr>
              <w:pStyle w:val="206"/>
              <w:rPr>
                <w:rFonts w:eastAsiaTheme="minorEastAsia"/>
                <w:color w:val="auto"/>
              </w:rPr>
            </w:pPr>
          </w:p>
        </w:tc>
        <w:tc>
          <w:tcPr>
            <w:tcW w:w="709" w:type="dxa"/>
            <w:gridSpan w:val="2"/>
            <w:vMerge w:val="continue"/>
            <w:tcBorders>
              <w:right w:val="single" w:color="auto" w:sz="4" w:space="0"/>
            </w:tcBorders>
            <w:vAlign w:val="center"/>
          </w:tcPr>
          <w:p>
            <w:pPr>
              <w:pStyle w:val="206"/>
              <w:rPr>
                <w:rFonts w:eastAsiaTheme="minorEastAsia"/>
                <w:color w:val="auto"/>
              </w:rPr>
            </w:pPr>
          </w:p>
        </w:tc>
        <w:tc>
          <w:tcPr>
            <w:tcW w:w="1276" w:type="dxa"/>
            <w:tcBorders>
              <w:left w:val="single" w:color="auto" w:sz="4" w:space="0"/>
            </w:tcBorders>
            <w:vAlign w:val="center"/>
          </w:tcPr>
          <w:p>
            <w:pPr>
              <w:pStyle w:val="206"/>
              <w:rPr>
                <w:rFonts w:eastAsiaTheme="minorEastAsia"/>
                <w:color w:val="auto"/>
              </w:rPr>
            </w:pPr>
            <w:r>
              <w:rPr>
                <w:rFonts w:eastAsiaTheme="minorEastAsia"/>
                <w:color w:val="auto"/>
              </w:rPr>
              <w:t>运行期</w:t>
            </w:r>
          </w:p>
        </w:tc>
        <w:tc>
          <w:tcPr>
            <w:tcW w:w="5437" w:type="dxa"/>
            <w:tcBorders>
              <w:right w:val="nil"/>
            </w:tcBorders>
            <w:vAlign w:val="center"/>
          </w:tcPr>
          <w:p>
            <w:pPr>
              <w:pStyle w:val="206"/>
              <w:rPr>
                <w:rFonts w:eastAsiaTheme="minorEastAsia"/>
                <w:color w:val="auto"/>
              </w:rPr>
            </w:pPr>
            <w:r>
              <w:rPr>
                <w:rFonts w:eastAsiaTheme="minorEastAsia"/>
                <w:color w:val="auto"/>
              </w:rPr>
              <w:t>COD、SS、氨氮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1101" w:type="dxa"/>
            <w:vMerge w:val="restart"/>
            <w:tcBorders>
              <w:left w:val="nil"/>
            </w:tcBorders>
            <w:vAlign w:val="center"/>
          </w:tcPr>
          <w:p>
            <w:pPr>
              <w:pStyle w:val="206"/>
              <w:rPr>
                <w:rFonts w:eastAsiaTheme="minorEastAsia"/>
                <w:color w:val="auto"/>
              </w:rPr>
            </w:pPr>
            <w:r>
              <w:rPr>
                <w:rFonts w:eastAsiaTheme="minorEastAsia"/>
                <w:color w:val="auto"/>
              </w:rPr>
              <w:t>固体废物</w:t>
            </w:r>
          </w:p>
        </w:tc>
        <w:tc>
          <w:tcPr>
            <w:tcW w:w="709" w:type="dxa"/>
            <w:gridSpan w:val="2"/>
            <w:vMerge w:val="restart"/>
            <w:tcBorders>
              <w:right w:val="single" w:color="auto" w:sz="4" w:space="0"/>
            </w:tcBorders>
            <w:vAlign w:val="center"/>
          </w:tcPr>
          <w:p>
            <w:pPr>
              <w:pStyle w:val="206"/>
              <w:rPr>
                <w:rFonts w:eastAsiaTheme="minorEastAsia"/>
                <w:color w:val="auto"/>
              </w:rPr>
            </w:pPr>
            <w:r>
              <w:rPr>
                <w:rFonts w:eastAsiaTheme="minorEastAsia"/>
                <w:color w:val="auto"/>
              </w:rPr>
              <w:t>影响评价</w:t>
            </w:r>
          </w:p>
        </w:tc>
        <w:tc>
          <w:tcPr>
            <w:tcW w:w="1276" w:type="dxa"/>
            <w:tcBorders>
              <w:left w:val="single" w:color="auto" w:sz="4" w:space="0"/>
              <w:right w:val="nil"/>
            </w:tcBorders>
            <w:vAlign w:val="center"/>
          </w:tcPr>
          <w:p>
            <w:pPr>
              <w:pStyle w:val="206"/>
              <w:rPr>
                <w:rFonts w:eastAsiaTheme="minorEastAsia"/>
                <w:color w:val="auto"/>
              </w:rPr>
            </w:pPr>
            <w:r>
              <w:rPr>
                <w:rFonts w:eastAsiaTheme="minorEastAsia"/>
                <w:color w:val="auto"/>
              </w:rPr>
              <w:t>施工期</w:t>
            </w:r>
          </w:p>
        </w:tc>
        <w:tc>
          <w:tcPr>
            <w:tcW w:w="5437" w:type="dxa"/>
            <w:tcBorders>
              <w:right w:val="nil"/>
            </w:tcBorders>
            <w:vAlign w:val="center"/>
          </w:tcPr>
          <w:p>
            <w:pPr>
              <w:pStyle w:val="206"/>
              <w:rPr>
                <w:rFonts w:hint="eastAsia" w:eastAsiaTheme="minorEastAsia"/>
                <w:color w:val="auto"/>
                <w:lang w:eastAsia="zh-CN"/>
              </w:rPr>
            </w:pPr>
            <w:r>
              <w:rPr>
                <w:rFonts w:eastAsiaTheme="minorEastAsia"/>
                <w:color w:val="auto"/>
              </w:rPr>
              <w:t>生活垃圾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1101" w:type="dxa"/>
            <w:vMerge w:val="continue"/>
            <w:tcBorders>
              <w:left w:val="nil"/>
            </w:tcBorders>
            <w:vAlign w:val="center"/>
          </w:tcPr>
          <w:p>
            <w:pPr>
              <w:pStyle w:val="206"/>
              <w:rPr>
                <w:rFonts w:eastAsiaTheme="minorEastAsia"/>
                <w:color w:val="auto"/>
              </w:rPr>
            </w:pPr>
          </w:p>
        </w:tc>
        <w:tc>
          <w:tcPr>
            <w:tcW w:w="709" w:type="dxa"/>
            <w:gridSpan w:val="2"/>
            <w:vMerge w:val="continue"/>
            <w:tcBorders>
              <w:right w:val="single" w:color="auto" w:sz="4" w:space="0"/>
            </w:tcBorders>
            <w:vAlign w:val="center"/>
          </w:tcPr>
          <w:p>
            <w:pPr>
              <w:pStyle w:val="206"/>
              <w:rPr>
                <w:rFonts w:eastAsiaTheme="minorEastAsia"/>
                <w:color w:val="auto"/>
              </w:rPr>
            </w:pPr>
          </w:p>
        </w:tc>
        <w:tc>
          <w:tcPr>
            <w:tcW w:w="1276" w:type="dxa"/>
            <w:tcBorders>
              <w:left w:val="single" w:color="auto" w:sz="4" w:space="0"/>
              <w:right w:val="nil"/>
            </w:tcBorders>
            <w:vAlign w:val="center"/>
          </w:tcPr>
          <w:p>
            <w:pPr>
              <w:pStyle w:val="206"/>
              <w:rPr>
                <w:rFonts w:eastAsiaTheme="minorEastAsia"/>
                <w:color w:val="auto"/>
              </w:rPr>
            </w:pPr>
            <w:r>
              <w:rPr>
                <w:rFonts w:eastAsiaTheme="minorEastAsia"/>
                <w:color w:val="auto"/>
              </w:rPr>
              <w:t>运行期</w:t>
            </w:r>
          </w:p>
        </w:tc>
        <w:tc>
          <w:tcPr>
            <w:tcW w:w="5437" w:type="dxa"/>
            <w:tcBorders>
              <w:right w:val="nil"/>
            </w:tcBorders>
            <w:vAlign w:val="center"/>
          </w:tcPr>
          <w:p>
            <w:pPr>
              <w:pStyle w:val="206"/>
              <w:rPr>
                <w:rFonts w:eastAsiaTheme="minorEastAsia"/>
                <w:color w:val="auto"/>
              </w:rPr>
            </w:pPr>
            <w:r>
              <w:rPr>
                <w:rFonts w:eastAsiaTheme="minorEastAsia"/>
                <w:color w:val="auto"/>
              </w:rPr>
              <w:t>生活垃圾、土岩、石粉、布袋除尘器收到的粉尘、</w:t>
            </w:r>
            <w:r>
              <w:rPr>
                <w:rFonts w:eastAsiaTheme="minorEastAsia"/>
                <w:color w:val="auto"/>
                <w:spacing w:val="22"/>
                <w:szCs w:val="21"/>
              </w:rPr>
              <w:t>炸药包装物、设备废机油（HW08）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1101" w:type="dxa"/>
            <w:vMerge w:val="restart"/>
            <w:tcBorders>
              <w:left w:val="nil"/>
            </w:tcBorders>
            <w:vAlign w:val="center"/>
          </w:tcPr>
          <w:p>
            <w:pPr>
              <w:pStyle w:val="206"/>
              <w:rPr>
                <w:rFonts w:eastAsiaTheme="minorEastAsia"/>
                <w:color w:val="auto"/>
              </w:rPr>
            </w:pPr>
            <w:r>
              <w:rPr>
                <w:rFonts w:eastAsiaTheme="minorEastAsia"/>
                <w:color w:val="auto"/>
              </w:rPr>
              <w:t>生态环境</w:t>
            </w:r>
          </w:p>
        </w:tc>
        <w:tc>
          <w:tcPr>
            <w:tcW w:w="1985" w:type="dxa"/>
            <w:gridSpan w:val="3"/>
            <w:vAlign w:val="center"/>
          </w:tcPr>
          <w:p>
            <w:pPr>
              <w:pStyle w:val="206"/>
              <w:rPr>
                <w:rFonts w:eastAsiaTheme="minorEastAsia"/>
                <w:color w:val="auto"/>
              </w:rPr>
            </w:pPr>
            <w:r>
              <w:rPr>
                <w:rFonts w:eastAsiaTheme="minorEastAsia"/>
                <w:color w:val="auto"/>
              </w:rPr>
              <w:t>现状评价</w:t>
            </w:r>
          </w:p>
        </w:tc>
        <w:tc>
          <w:tcPr>
            <w:tcW w:w="5437" w:type="dxa"/>
            <w:tcBorders>
              <w:right w:val="nil"/>
            </w:tcBorders>
            <w:vAlign w:val="center"/>
          </w:tcPr>
          <w:p>
            <w:pPr>
              <w:pStyle w:val="206"/>
              <w:rPr>
                <w:rFonts w:eastAsiaTheme="minorEastAsia"/>
                <w:color w:val="auto"/>
              </w:rPr>
            </w:pPr>
            <w:r>
              <w:rPr>
                <w:rFonts w:eastAsiaTheme="minorEastAsia"/>
                <w:color w:val="auto"/>
              </w:rPr>
              <w:t>动植物、生物多样性、水土流失、土地利用性质等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1101" w:type="dxa"/>
            <w:vMerge w:val="continue"/>
            <w:tcBorders>
              <w:left w:val="nil"/>
            </w:tcBorders>
            <w:vAlign w:val="center"/>
          </w:tcPr>
          <w:p>
            <w:pPr>
              <w:pStyle w:val="206"/>
              <w:rPr>
                <w:rFonts w:eastAsiaTheme="minorEastAsia"/>
                <w:color w:val="auto"/>
              </w:rPr>
            </w:pPr>
          </w:p>
        </w:tc>
        <w:tc>
          <w:tcPr>
            <w:tcW w:w="699" w:type="dxa"/>
            <w:vMerge w:val="restart"/>
            <w:tcBorders>
              <w:right w:val="single" w:color="auto" w:sz="4" w:space="0"/>
            </w:tcBorders>
            <w:vAlign w:val="center"/>
          </w:tcPr>
          <w:p>
            <w:pPr>
              <w:pStyle w:val="206"/>
              <w:rPr>
                <w:rFonts w:eastAsiaTheme="minorEastAsia"/>
                <w:color w:val="auto"/>
              </w:rPr>
            </w:pPr>
            <w:r>
              <w:rPr>
                <w:rFonts w:eastAsiaTheme="minorEastAsia"/>
                <w:color w:val="auto"/>
              </w:rPr>
              <w:t>影响评价</w:t>
            </w:r>
          </w:p>
        </w:tc>
        <w:tc>
          <w:tcPr>
            <w:tcW w:w="1286" w:type="dxa"/>
            <w:gridSpan w:val="2"/>
            <w:tcBorders>
              <w:left w:val="single" w:color="auto" w:sz="4" w:space="0"/>
            </w:tcBorders>
            <w:vAlign w:val="center"/>
          </w:tcPr>
          <w:p>
            <w:pPr>
              <w:pStyle w:val="206"/>
              <w:rPr>
                <w:rFonts w:eastAsiaTheme="minorEastAsia"/>
                <w:color w:val="auto"/>
              </w:rPr>
            </w:pPr>
            <w:r>
              <w:rPr>
                <w:rFonts w:eastAsiaTheme="minorEastAsia"/>
                <w:color w:val="auto"/>
              </w:rPr>
              <w:t>施工期</w:t>
            </w:r>
          </w:p>
        </w:tc>
        <w:tc>
          <w:tcPr>
            <w:tcW w:w="5437" w:type="dxa"/>
            <w:tcBorders>
              <w:right w:val="nil"/>
            </w:tcBorders>
            <w:vAlign w:val="center"/>
          </w:tcPr>
          <w:p>
            <w:pPr>
              <w:pStyle w:val="206"/>
              <w:rPr>
                <w:rFonts w:eastAsiaTheme="minorEastAsia"/>
                <w:color w:val="auto"/>
              </w:rPr>
            </w:pPr>
            <w:r>
              <w:rPr>
                <w:rFonts w:eastAsiaTheme="minorEastAsia"/>
                <w:color w:val="auto"/>
              </w:rPr>
              <w:t>动植物、生物多样性、水土流失、土地利用性质等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1101" w:type="dxa"/>
            <w:vMerge w:val="continue"/>
            <w:tcBorders>
              <w:left w:val="nil"/>
            </w:tcBorders>
            <w:vAlign w:val="center"/>
          </w:tcPr>
          <w:p>
            <w:pPr>
              <w:pStyle w:val="206"/>
              <w:rPr>
                <w:rFonts w:eastAsiaTheme="minorEastAsia"/>
                <w:color w:val="auto"/>
              </w:rPr>
            </w:pPr>
          </w:p>
        </w:tc>
        <w:tc>
          <w:tcPr>
            <w:tcW w:w="699" w:type="dxa"/>
            <w:vMerge w:val="continue"/>
            <w:tcBorders>
              <w:right w:val="single" w:color="auto" w:sz="4" w:space="0"/>
            </w:tcBorders>
            <w:vAlign w:val="center"/>
          </w:tcPr>
          <w:p>
            <w:pPr>
              <w:pStyle w:val="206"/>
              <w:rPr>
                <w:rFonts w:eastAsiaTheme="minorEastAsia"/>
                <w:color w:val="auto"/>
              </w:rPr>
            </w:pPr>
          </w:p>
        </w:tc>
        <w:tc>
          <w:tcPr>
            <w:tcW w:w="1286" w:type="dxa"/>
            <w:gridSpan w:val="2"/>
            <w:tcBorders>
              <w:left w:val="single" w:color="auto" w:sz="4" w:space="0"/>
            </w:tcBorders>
            <w:vAlign w:val="center"/>
          </w:tcPr>
          <w:p>
            <w:pPr>
              <w:pStyle w:val="206"/>
              <w:rPr>
                <w:rFonts w:eastAsiaTheme="minorEastAsia"/>
                <w:color w:val="auto"/>
              </w:rPr>
            </w:pPr>
            <w:r>
              <w:rPr>
                <w:rFonts w:eastAsiaTheme="minorEastAsia"/>
                <w:color w:val="auto"/>
              </w:rPr>
              <w:t>运行期</w:t>
            </w:r>
          </w:p>
        </w:tc>
        <w:tc>
          <w:tcPr>
            <w:tcW w:w="5437" w:type="dxa"/>
            <w:tcBorders>
              <w:right w:val="nil"/>
            </w:tcBorders>
            <w:vAlign w:val="center"/>
          </w:tcPr>
          <w:p>
            <w:pPr>
              <w:pStyle w:val="206"/>
              <w:rPr>
                <w:rFonts w:eastAsiaTheme="minorEastAsia"/>
                <w:color w:val="auto"/>
              </w:rPr>
            </w:pPr>
            <w:r>
              <w:rPr>
                <w:rFonts w:eastAsiaTheme="minorEastAsia"/>
                <w:color w:val="auto"/>
              </w:rPr>
              <w:t>动植物、生物多样性、水土流失等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1101" w:type="dxa"/>
            <w:vMerge w:val="continue"/>
            <w:tcBorders>
              <w:left w:val="nil"/>
              <w:bottom w:val="single" w:color="auto" w:sz="12" w:space="0"/>
            </w:tcBorders>
            <w:vAlign w:val="center"/>
          </w:tcPr>
          <w:p>
            <w:pPr>
              <w:pStyle w:val="206"/>
              <w:rPr>
                <w:rFonts w:eastAsiaTheme="minorEastAsia"/>
                <w:color w:val="auto"/>
              </w:rPr>
            </w:pPr>
          </w:p>
        </w:tc>
        <w:tc>
          <w:tcPr>
            <w:tcW w:w="699" w:type="dxa"/>
            <w:vMerge w:val="continue"/>
            <w:tcBorders>
              <w:bottom w:val="single" w:color="auto" w:sz="12" w:space="0"/>
              <w:right w:val="single" w:color="auto" w:sz="4" w:space="0"/>
            </w:tcBorders>
            <w:vAlign w:val="center"/>
          </w:tcPr>
          <w:p>
            <w:pPr>
              <w:pStyle w:val="206"/>
              <w:rPr>
                <w:rFonts w:eastAsiaTheme="minorEastAsia"/>
                <w:color w:val="auto"/>
              </w:rPr>
            </w:pPr>
          </w:p>
        </w:tc>
        <w:tc>
          <w:tcPr>
            <w:tcW w:w="1286" w:type="dxa"/>
            <w:gridSpan w:val="2"/>
            <w:tcBorders>
              <w:left w:val="single" w:color="auto" w:sz="4" w:space="0"/>
              <w:bottom w:val="single" w:color="auto" w:sz="12" w:space="0"/>
            </w:tcBorders>
            <w:vAlign w:val="center"/>
          </w:tcPr>
          <w:p>
            <w:pPr>
              <w:pStyle w:val="206"/>
              <w:rPr>
                <w:rFonts w:eastAsiaTheme="minorEastAsia"/>
                <w:color w:val="auto"/>
              </w:rPr>
            </w:pPr>
            <w:r>
              <w:rPr>
                <w:rFonts w:eastAsiaTheme="minorEastAsia"/>
                <w:color w:val="auto"/>
              </w:rPr>
              <w:t>退役期</w:t>
            </w:r>
          </w:p>
        </w:tc>
        <w:tc>
          <w:tcPr>
            <w:tcW w:w="5437" w:type="dxa"/>
            <w:tcBorders>
              <w:bottom w:val="single" w:color="auto" w:sz="12" w:space="0"/>
              <w:right w:val="nil"/>
            </w:tcBorders>
            <w:vAlign w:val="center"/>
          </w:tcPr>
          <w:p>
            <w:pPr>
              <w:pStyle w:val="206"/>
              <w:rPr>
                <w:rFonts w:eastAsiaTheme="minorEastAsia"/>
                <w:color w:val="auto"/>
              </w:rPr>
            </w:pPr>
            <w:r>
              <w:rPr>
                <w:rFonts w:eastAsiaTheme="minorEastAsia"/>
                <w:color w:val="auto"/>
              </w:rPr>
              <w:t>动植物、生物多样性、水土流失等</w:t>
            </w:r>
          </w:p>
        </w:tc>
      </w:tr>
    </w:tbl>
    <w:p>
      <w:pPr>
        <w:pStyle w:val="238"/>
        <w:rPr>
          <w:rFonts w:hAnsi="Times New Roman" w:eastAsiaTheme="minorEastAsia"/>
          <w:color w:val="auto"/>
        </w:rPr>
      </w:pPr>
      <w:bookmarkStart w:id="60" w:name="_Toc519693561"/>
      <w:bookmarkStart w:id="61" w:name="_Toc359179948"/>
      <w:bookmarkStart w:id="62" w:name="_Toc440973402"/>
      <w:bookmarkStart w:id="63" w:name="_Toc360142513"/>
      <w:bookmarkStart w:id="64" w:name="_Toc436406185"/>
      <w:bookmarkStart w:id="65" w:name="_Toc440973668"/>
      <w:r>
        <w:rPr>
          <w:rFonts w:hAnsi="Times New Roman" w:eastAsiaTheme="minorEastAsia"/>
          <w:color w:val="auto"/>
        </w:rPr>
        <w:t>2.3环境功能区划及评价标准</w:t>
      </w:r>
      <w:bookmarkEnd w:id="60"/>
      <w:bookmarkEnd w:id="61"/>
      <w:bookmarkEnd w:id="62"/>
      <w:bookmarkEnd w:id="63"/>
      <w:bookmarkEnd w:id="64"/>
      <w:bookmarkEnd w:id="65"/>
    </w:p>
    <w:p>
      <w:pPr>
        <w:pStyle w:val="240"/>
        <w:rPr>
          <w:rFonts w:ascii="Times New Roman" w:hAnsi="Times New Roman" w:cs="Times New Roman" w:eastAsiaTheme="minorEastAsia"/>
          <w:color w:val="auto"/>
        </w:rPr>
      </w:pPr>
      <w:bookmarkStart w:id="66" w:name="_Toc359179949"/>
      <w:bookmarkStart w:id="67" w:name="_Toc440973403"/>
      <w:bookmarkStart w:id="68" w:name="_Toc440973669"/>
      <w:bookmarkStart w:id="69" w:name="_Toc440973033"/>
      <w:bookmarkStart w:id="70" w:name="_Toc360142514"/>
      <w:r>
        <w:rPr>
          <w:rFonts w:ascii="Times New Roman" w:hAnsi="Times New Roman" w:cs="Times New Roman" w:eastAsiaTheme="minorEastAsia"/>
          <w:color w:val="auto"/>
        </w:rPr>
        <w:t>2.3.1环境功能区划</w:t>
      </w:r>
      <w:bookmarkEnd w:id="66"/>
      <w:bookmarkEnd w:id="67"/>
      <w:bookmarkEnd w:id="68"/>
      <w:bookmarkEnd w:id="69"/>
      <w:bookmarkEnd w:id="70"/>
    </w:p>
    <w:p>
      <w:pPr>
        <w:autoSpaceDE w:val="0"/>
        <w:autoSpaceDN w:val="0"/>
        <w:adjustRightInd w:val="0"/>
        <w:snapToGrid w:val="0"/>
        <w:spacing w:line="500" w:lineRule="exact"/>
        <w:ind w:firstLine="480" w:firstLineChars="200"/>
        <w:jc w:val="left"/>
        <w:rPr>
          <w:rFonts w:eastAsiaTheme="minorEastAsia"/>
          <w:color w:val="auto"/>
          <w:kern w:val="0"/>
          <w:szCs w:val="24"/>
        </w:rPr>
      </w:pPr>
      <w:r>
        <w:rPr>
          <w:rFonts w:eastAsiaTheme="minorEastAsia"/>
          <w:color w:val="auto"/>
          <w:kern w:val="0"/>
          <w:szCs w:val="24"/>
        </w:rPr>
        <w:t xml:space="preserve">（1）环境空气 </w:t>
      </w:r>
    </w:p>
    <w:p>
      <w:pPr>
        <w:pStyle w:val="276"/>
        <w:adjustRightInd w:val="0"/>
        <w:snapToGrid w:val="0"/>
        <w:rPr>
          <w:rFonts w:eastAsiaTheme="minorEastAsia"/>
          <w:color w:val="auto"/>
        </w:rPr>
      </w:pPr>
      <w:r>
        <w:rPr>
          <w:rFonts w:eastAsiaTheme="minorEastAsia"/>
          <w:color w:val="auto"/>
        </w:rPr>
        <w:t>评价区环境空气质量划为二类区，执行《环境空气质量标准》（GB3095-2012）中二级标准。</w:t>
      </w:r>
    </w:p>
    <w:p>
      <w:pPr>
        <w:autoSpaceDE w:val="0"/>
        <w:autoSpaceDN w:val="0"/>
        <w:adjustRightInd w:val="0"/>
        <w:snapToGrid w:val="0"/>
        <w:spacing w:line="500" w:lineRule="exact"/>
        <w:ind w:firstLine="480" w:firstLineChars="200"/>
        <w:jc w:val="left"/>
        <w:rPr>
          <w:rFonts w:eastAsiaTheme="minorEastAsia"/>
          <w:color w:val="auto"/>
          <w:kern w:val="0"/>
          <w:szCs w:val="24"/>
        </w:rPr>
      </w:pPr>
      <w:r>
        <w:rPr>
          <w:rFonts w:eastAsiaTheme="minorEastAsia"/>
          <w:color w:val="auto"/>
          <w:kern w:val="0"/>
          <w:szCs w:val="24"/>
        </w:rPr>
        <w:t xml:space="preserve">（2）声环境 </w:t>
      </w:r>
    </w:p>
    <w:p>
      <w:pPr>
        <w:pStyle w:val="276"/>
        <w:adjustRightInd w:val="0"/>
        <w:snapToGrid w:val="0"/>
        <w:rPr>
          <w:rFonts w:eastAsiaTheme="minorEastAsia"/>
          <w:color w:val="auto"/>
        </w:rPr>
      </w:pPr>
      <w:r>
        <w:rPr>
          <w:rFonts w:eastAsiaTheme="minorEastAsia"/>
          <w:color w:val="auto"/>
        </w:rPr>
        <w:t>根据《声环境质量标准》（GB3096-2008），以商业金融、集市贸易为主要功能，或者居住、商业、工业混杂，需要维护住宅安静的区域属于2类声环境功能区划，因此本项目矿区声环境功能为2类。</w:t>
      </w:r>
    </w:p>
    <w:p>
      <w:pPr>
        <w:autoSpaceDE w:val="0"/>
        <w:autoSpaceDN w:val="0"/>
        <w:adjustRightInd w:val="0"/>
        <w:snapToGrid w:val="0"/>
        <w:spacing w:line="500" w:lineRule="exact"/>
        <w:ind w:firstLine="480" w:firstLineChars="200"/>
        <w:jc w:val="left"/>
        <w:rPr>
          <w:rFonts w:eastAsiaTheme="minorEastAsia"/>
          <w:color w:val="auto"/>
          <w:kern w:val="0"/>
          <w:szCs w:val="24"/>
        </w:rPr>
      </w:pPr>
      <w:r>
        <w:rPr>
          <w:rFonts w:eastAsiaTheme="minorEastAsia"/>
          <w:color w:val="auto"/>
          <w:kern w:val="0"/>
          <w:szCs w:val="24"/>
        </w:rPr>
        <w:t xml:space="preserve">（3）水环境 </w:t>
      </w:r>
    </w:p>
    <w:p>
      <w:pPr>
        <w:pStyle w:val="276"/>
        <w:keepNext w:val="0"/>
        <w:keepLines w:val="0"/>
        <w:pageBreakBefore w:val="0"/>
        <w:widowControl w:val="0"/>
        <w:kinsoku/>
        <w:wordWrap/>
        <w:overflowPunct/>
        <w:topLinePunct w:val="0"/>
        <w:autoSpaceDE/>
        <w:autoSpaceDN/>
        <w:bidi w:val="0"/>
        <w:adjustRightInd/>
        <w:snapToGrid/>
        <w:jc w:val="both"/>
        <w:textAlignment w:val="auto"/>
        <w:outlineLvl w:val="9"/>
        <w:rPr>
          <w:rFonts w:eastAsiaTheme="minorEastAsia"/>
          <w:color w:val="auto"/>
        </w:rPr>
      </w:pPr>
      <w:r>
        <w:rPr>
          <w:rFonts w:cs="Times New Roman"/>
          <w:color w:val="auto"/>
        </w:rPr>
        <w:t>根据《国务院关于全国重要江河湖泊水功能区划（2010-2030年）的批复》国函[2011]167号文件，本项目地表水执行国家《地表水环境质量标准》（GB3838-2002）中的</w:t>
      </w:r>
      <w:r>
        <w:rPr>
          <w:rFonts w:hint="eastAsia" w:ascii="宋体" w:hAnsi="宋体" w:cs="宋体"/>
          <w:color w:val="auto"/>
        </w:rPr>
        <w:t>Ⅳ</w:t>
      </w:r>
      <w:r>
        <w:rPr>
          <w:rFonts w:cs="Times New Roman"/>
          <w:color w:val="auto"/>
        </w:rPr>
        <w:t>类标准。</w:t>
      </w:r>
    </w:p>
    <w:p>
      <w:pPr>
        <w:autoSpaceDE w:val="0"/>
        <w:autoSpaceDN w:val="0"/>
        <w:adjustRightInd w:val="0"/>
        <w:snapToGrid w:val="0"/>
        <w:spacing w:line="500" w:lineRule="exact"/>
        <w:ind w:firstLine="480" w:firstLineChars="200"/>
        <w:jc w:val="left"/>
        <w:rPr>
          <w:rFonts w:eastAsiaTheme="minorEastAsia"/>
          <w:color w:val="auto"/>
          <w:kern w:val="0"/>
          <w:szCs w:val="24"/>
        </w:rPr>
      </w:pPr>
      <w:r>
        <w:rPr>
          <w:rFonts w:eastAsiaTheme="minorEastAsia"/>
          <w:color w:val="auto"/>
          <w:kern w:val="0"/>
          <w:szCs w:val="24"/>
        </w:rPr>
        <w:t xml:space="preserve">（4）生态环境 </w:t>
      </w:r>
    </w:p>
    <w:p>
      <w:pPr>
        <w:pStyle w:val="276"/>
        <w:adjustRightInd w:val="0"/>
        <w:snapToGrid w:val="0"/>
        <w:rPr>
          <w:rFonts w:eastAsiaTheme="minorEastAsia"/>
          <w:color w:val="auto"/>
        </w:rPr>
      </w:pPr>
      <w:r>
        <w:rPr>
          <w:rFonts w:eastAsiaTheme="minorEastAsia"/>
          <w:color w:val="auto"/>
        </w:rPr>
        <w:t>依据《黑龙江省生态功能区划》，本项目所处区域属于“Ⅰ—3三江平原农业与湿地生态区”中“Ⅰ—3—1三江平原东北部湿地与农业生态亚区”“Ⅰ—3—1—1佳木斯城镇与农业生态功能区”，该区域主要位于佳木斯市，面积1875平方公里，主要生态问题为工业“三废”排放量大，局部地区水污染和大气污染严重；农业垦殖系数高；水土流失较为敏感。生态环境敏感性为土壤侵蚀敏感性为中度敏感；土壤沙漠化敏感性大部分地区为中度敏感性；沿松花江流域水污染敏感性为中度敏感，主要生态系统服务功能为土壤保持、水环境保护、大气环境保护、城镇发展、工农业生产。</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2.3.2</w:t>
      </w:r>
      <w:r>
        <w:rPr>
          <w:rFonts w:ascii="Times New Roman" w:hAnsi="Times New Roman" w:cs="Times New Roman" w:eastAsiaTheme="minorEastAsia"/>
          <w:color w:val="auto"/>
        </w:rPr>
        <w:t>环境质量标准</w:t>
      </w:r>
    </w:p>
    <w:p>
      <w:pPr>
        <w:pStyle w:val="276"/>
        <w:rPr>
          <w:rFonts w:eastAsiaTheme="minorEastAsia"/>
          <w:color w:val="auto"/>
        </w:rPr>
      </w:pPr>
      <w:r>
        <w:rPr>
          <w:rFonts w:eastAsiaTheme="minorEastAsia"/>
          <w:color w:val="auto"/>
        </w:rPr>
        <w:t>（1）环境空气</w:t>
      </w:r>
    </w:p>
    <w:p>
      <w:pPr>
        <w:pStyle w:val="276"/>
        <w:rPr>
          <w:rFonts w:eastAsiaTheme="minorEastAsia"/>
          <w:color w:val="auto"/>
        </w:rPr>
      </w:pPr>
      <w:r>
        <w:rPr>
          <w:rFonts w:eastAsiaTheme="minorEastAsia"/>
          <w:color w:val="auto"/>
        </w:rPr>
        <w:t>本项目所在区域环境空气质量评价执行《环境空气质量标准》（GB3095- 2012）二级标准，详见表2-3-1。</w:t>
      </w:r>
    </w:p>
    <w:p>
      <w:pPr>
        <w:pStyle w:val="244"/>
        <w:rPr>
          <w:rFonts w:eastAsiaTheme="minorEastAsia"/>
          <w:color w:val="auto"/>
        </w:rPr>
      </w:pPr>
      <w:r>
        <w:rPr>
          <w:rFonts w:eastAsiaTheme="minorEastAsia"/>
          <w:color w:val="auto"/>
        </w:rPr>
        <w:t>表2-3-1  环境空气质量标准   单位：μg/m</w:t>
      </w:r>
      <w:r>
        <w:rPr>
          <w:rFonts w:eastAsiaTheme="minorEastAsia"/>
          <w:color w:val="auto"/>
          <w:vertAlign w:val="superscript"/>
        </w:rPr>
        <w:t>3</w:t>
      </w:r>
    </w:p>
    <w:tbl>
      <w:tblPr>
        <w:tblStyle w:val="53"/>
        <w:tblW w:w="8306" w:type="dxa"/>
        <w:jc w:val="center"/>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864"/>
        <w:gridCol w:w="1696"/>
        <w:gridCol w:w="1658"/>
        <w:gridCol w:w="3088"/>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0" w:hRule="atLeast"/>
          <w:jc w:val="center"/>
        </w:trPr>
        <w:tc>
          <w:tcPr>
            <w:tcW w:w="1864" w:type="dxa"/>
            <w:vAlign w:val="center"/>
          </w:tcPr>
          <w:p>
            <w:pPr>
              <w:pStyle w:val="246"/>
              <w:rPr>
                <w:rFonts w:eastAsiaTheme="minorEastAsia"/>
                <w:color w:val="auto"/>
              </w:rPr>
            </w:pPr>
            <w:r>
              <w:rPr>
                <w:rFonts w:eastAsiaTheme="minorEastAsia"/>
                <w:color w:val="auto"/>
              </w:rPr>
              <w:t>污染物名称</w:t>
            </w:r>
          </w:p>
        </w:tc>
        <w:tc>
          <w:tcPr>
            <w:tcW w:w="3354" w:type="dxa"/>
            <w:gridSpan w:val="2"/>
            <w:vAlign w:val="center"/>
          </w:tcPr>
          <w:p>
            <w:pPr>
              <w:pStyle w:val="246"/>
              <w:rPr>
                <w:rFonts w:eastAsiaTheme="minorEastAsia"/>
                <w:color w:val="auto"/>
              </w:rPr>
            </w:pPr>
            <w:r>
              <w:rPr>
                <w:rFonts w:eastAsiaTheme="minorEastAsia"/>
                <w:color w:val="auto"/>
              </w:rPr>
              <w:t>标准</w:t>
            </w:r>
          </w:p>
        </w:tc>
        <w:tc>
          <w:tcPr>
            <w:tcW w:w="3088" w:type="dxa"/>
            <w:vAlign w:val="center"/>
          </w:tcPr>
          <w:p>
            <w:pPr>
              <w:pStyle w:val="246"/>
              <w:rPr>
                <w:rFonts w:eastAsiaTheme="minorEastAsia"/>
                <w:color w:val="auto"/>
              </w:rPr>
            </w:pPr>
            <w:r>
              <w:rPr>
                <w:rFonts w:eastAsiaTheme="minorEastAsia"/>
                <w:color w:val="auto"/>
              </w:rPr>
              <w:t>标准来源</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0" w:hRule="atLeast"/>
          <w:jc w:val="center"/>
        </w:trPr>
        <w:tc>
          <w:tcPr>
            <w:tcW w:w="1864" w:type="dxa"/>
            <w:vMerge w:val="restart"/>
            <w:vAlign w:val="center"/>
          </w:tcPr>
          <w:p>
            <w:pPr>
              <w:pStyle w:val="246"/>
              <w:rPr>
                <w:rFonts w:eastAsiaTheme="minorEastAsia"/>
                <w:color w:val="auto"/>
              </w:rPr>
            </w:pPr>
            <w:r>
              <w:rPr>
                <w:rFonts w:eastAsiaTheme="minorEastAsia"/>
                <w:color w:val="auto"/>
              </w:rPr>
              <w:t>SO</w:t>
            </w:r>
            <w:r>
              <w:rPr>
                <w:rFonts w:eastAsiaTheme="minorEastAsia"/>
                <w:color w:val="auto"/>
                <w:vertAlign w:val="subscript"/>
              </w:rPr>
              <w:t>2</w:t>
            </w:r>
          </w:p>
        </w:tc>
        <w:tc>
          <w:tcPr>
            <w:tcW w:w="1696" w:type="dxa"/>
            <w:vAlign w:val="center"/>
          </w:tcPr>
          <w:p>
            <w:pPr>
              <w:pStyle w:val="246"/>
              <w:rPr>
                <w:rFonts w:eastAsiaTheme="minorEastAsia"/>
                <w:color w:val="auto"/>
              </w:rPr>
            </w:pPr>
            <w:r>
              <w:rPr>
                <w:rFonts w:eastAsiaTheme="minorEastAsia"/>
                <w:color w:val="auto"/>
              </w:rPr>
              <w:t>年平均</w:t>
            </w:r>
          </w:p>
        </w:tc>
        <w:tc>
          <w:tcPr>
            <w:tcW w:w="1658" w:type="dxa"/>
            <w:vAlign w:val="center"/>
          </w:tcPr>
          <w:p>
            <w:pPr>
              <w:pStyle w:val="246"/>
              <w:rPr>
                <w:rFonts w:eastAsiaTheme="minorEastAsia"/>
                <w:color w:val="auto"/>
              </w:rPr>
            </w:pPr>
            <w:r>
              <w:rPr>
                <w:rFonts w:eastAsiaTheme="minorEastAsia"/>
                <w:color w:val="auto"/>
              </w:rPr>
              <w:t>60</w:t>
            </w:r>
          </w:p>
        </w:tc>
        <w:tc>
          <w:tcPr>
            <w:tcW w:w="3088" w:type="dxa"/>
            <w:vMerge w:val="restart"/>
            <w:vAlign w:val="center"/>
          </w:tcPr>
          <w:p>
            <w:pPr>
              <w:pStyle w:val="246"/>
              <w:rPr>
                <w:rFonts w:eastAsiaTheme="minorEastAsia"/>
                <w:color w:val="auto"/>
              </w:rPr>
            </w:pPr>
            <w:r>
              <w:rPr>
                <w:rFonts w:eastAsiaTheme="minorEastAsia"/>
                <w:color w:val="auto"/>
              </w:rPr>
              <w:t>《环境空气质量标准》</w:t>
            </w:r>
          </w:p>
          <w:p>
            <w:pPr>
              <w:pStyle w:val="246"/>
              <w:rPr>
                <w:rFonts w:eastAsiaTheme="minorEastAsia"/>
                <w:color w:val="auto"/>
              </w:rPr>
            </w:pPr>
            <w:r>
              <w:rPr>
                <w:rFonts w:eastAsiaTheme="minorEastAsia"/>
                <w:color w:val="auto"/>
              </w:rPr>
              <w:t>（GB3095-2012）二级标准</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0" w:hRule="atLeast"/>
          <w:jc w:val="center"/>
        </w:trPr>
        <w:tc>
          <w:tcPr>
            <w:tcW w:w="1864" w:type="dxa"/>
            <w:vMerge w:val="continue"/>
            <w:vAlign w:val="center"/>
          </w:tcPr>
          <w:p>
            <w:pPr>
              <w:pStyle w:val="246"/>
              <w:rPr>
                <w:rFonts w:eastAsiaTheme="minorEastAsia"/>
                <w:color w:val="auto"/>
              </w:rPr>
            </w:pPr>
          </w:p>
        </w:tc>
        <w:tc>
          <w:tcPr>
            <w:tcW w:w="1696" w:type="dxa"/>
            <w:vAlign w:val="center"/>
          </w:tcPr>
          <w:p>
            <w:pPr>
              <w:pStyle w:val="246"/>
              <w:rPr>
                <w:rFonts w:eastAsiaTheme="minorEastAsia"/>
                <w:color w:val="auto"/>
              </w:rPr>
            </w:pPr>
            <w:r>
              <w:rPr>
                <w:rFonts w:eastAsiaTheme="minorEastAsia"/>
                <w:color w:val="auto"/>
              </w:rPr>
              <w:t>24小时平均</w:t>
            </w:r>
          </w:p>
        </w:tc>
        <w:tc>
          <w:tcPr>
            <w:tcW w:w="1658" w:type="dxa"/>
            <w:vAlign w:val="center"/>
          </w:tcPr>
          <w:p>
            <w:pPr>
              <w:pStyle w:val="246"/>
              <w:rPr>
                <w:rFonts w:eastAsiaTheme="minorEastAsia"/>
                <w:color w:val="auto"/>
              </w:rPr>
            </w:pPr>
            <w:r>
              <w:rPr>
                <w:rFonts w:eastAsiaTheme="minorEastAsia"/>
                <w:color w:val="auto"/>
              </w:rPr>
              <w:t>150</w:t>
            </w:r>
          </w:p>
        </w:tc>
        <w:tc>
          <w:tcPr>
            <w:tcW w:w="3088" w:type="dxa"/>
            <w:vMerge w:val="continue"/>
            <w:vAlign w:val="center"/>
          </w:tcPr>
          <w:p>
            <w:pPr>
              <w:pStyle w:val="246"/>
              <w:rPr>
                <w:rFonts w:eastAsiaTheme="minorEastAsia"/>
                <w:color w:val="auto"/>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0" w:hRule="atLeast"/>
          <w:jc w:val="center"/>
        </w:trPr>
        <w:tc>
          <w:tcPr>
            <w:tcW w:w="1864" w:type="dxa"/>
            <w:vMerge w:val="continue"/>
            <w:vAlign w:val="center"/>
          </w:tcPr>
          <w:p>
            <w:pPr>
              <w:pStyle w:val="246"/>
              <w:rPr>
                <w:rFonts w:eastAsiaTheme="minorEastAsia"/>
                <w:color w:val="auto"/>
              </w:rPr>
            </w:pPr>
          </w:p>
        </w:tc>
        <w:tc>
          <w:tcPr>
            <w:tcW w:w="1696" w:type="dxa"/>
            <w:vAlign w:val="center"/>
          </w:tcPr>
          <w:p>
            <w:pPr>
              <w:pStyle w:val="246"/>
              <w:rPr>
                <w:rFonts w:eastAsiaTheme="minorEastAsia"/>
                <w:color w:val="auto"/>
              </w:rPr>
            </w:pPr>
            <w:r>
              <w:rPr>
                <w:rFonts w:eastAsiaTheme="minorEastAsia"/>
                <w:color w:val="auto"/>
              </w:rPr>
              <w:t>1小时平均</w:t>
            </w:r>
          </w:p>
        </w:tc>
        <w:tc>
          <w:tcPr>
            <w:tcW w:w="1658" w:type="dxa"/>
            <w:vAlign w:val="center"/>
          </w:tcPr>
          <w:p>
            <w:pPr>
              <w:pStyle w:val="246"/>
              <w:rPr>
                <w:rFonts w:eastAsiaTheme="minorEastAsia"/>
                <w:color w:val="auto"/>
              </w:rPr>
            </w:pPr>
            <w:r>
              <w:rPr>
                <w:rFonts w:eastAsiaTheme="minorEastAsia"/>
                <w:color w:val="auto"/>
              </w:rPr>
              <w:t>500</w:t>
            </w:r>
          </w:p>
        </w:tc>
        <w:tc>
          <w:tcPr>
            <w:tcW w:w="3088" w:type="dxa"/>
            <w:vMerge w:val="continue"/>
            <w:vAlign w:val="center"/>
          </w:tcPr>
          <w:p>
            <w:pPr>
              <w:pStyle w:val="246"/>
              <w:rPr>
                <w:rFonts w:eastAsiaTheme="minorEastAsia"/>
                <w:color w:val="auto"/>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0" w:hRule="atLeast"/>
          <w:jc w:val="center"/>
        </w:trPr>
        <w:tc>
          <w:tcPr>
            <w:tcW w:w="1864" w:type="dxa"/>
            <w:vMerge w:val="restart"/>
            <w:vAlign w:val="center"/>
          </w:tcPr>
          <w:p>
            <w:pPr>
              <w:pStyle w:val="246"/>
              <w:rPr>
                <w:rFonts w:eastAsiaTheme="minorEastAsia"/>
                <w:color w:val="auto"/>
              </w:rPr>
            </w:pPr>
            <w:r>
              <w:rPr>
                <w:rFonts w:eastAsiaTheme="minorEastAsia"/>
                <w:color w:val="auto"/>
              </w:rPr>
              <w:t>NO</w:t>
            </w:r>
            <w:r>
              <w:rPr>
                <w:rFonts w:eastAsiaTheme="minorEastAsia"/>
                <w:color w:val="auto"/>
                <w:vertAlign w:val="subscript"/>
              </w:rPr>
              <w:t>2</w:t>
            </w:r>
          </w:p>
        </w:tc>
        <w:tc>
          <w:tcPr>
            <w:tcW w:w="1696" w:type="dxa"/>
            <w:vAlign w:val="center"/>
          </w:tcPr>
          <w:p>
            <w:pPr>
              <w:pStyle w:val="246"/>
              <w:rPr>
                <w:rFonts w:eastAsiaTheme="minorEastAsia"/>
                <w:color w:val="auto"/>
              </w:rPr>
            </w:pPr>
            <w:r>
              <w:rPr>
                <w:rFonts w:eastAsiaTheme="minorEastAsia"/>
                <w:color w:val="auto"/>
              </w:rPr>
              <w:t>年平均</w:t>
            </w:r>
          </w:p>
        </w:tc>
        <w:tc>
          <w:tcPr>
            <w:tcW w:w="1658" w:type="dxa"/>
            <w:vAlign w:val="center"/>
          </w:tcPr>
          <w:p>
            <w:pPr>
              <w:pStyle w:val="246"/>
              <w:rPr>
                <w:rFonts w:eastAsiaTheme="minorEastAsia"/>
                <w:color w:val="auto"/>
              </w:rPr>
            </w:pPr>
            <w:r>
              <w:rPr>
                <w:rFonts w:eastAsiaTheme="minorEastAsia"/>
                <w:color w:val="auto"/>
              </w:rPr>
              <w:t>40</w:t>
            </w:r>
          </w:p>
        </w:tc>
        <w:tc>
          <w:tcPr>
            <w:tcW w:w="3088" w:type="dxa"/>
            <w:vMerge w:val="continue"/>
            <w:vAlign w:val="center"/>
          </w:tcPr>
          <w:p>
            <w:pPr>
              <w:pStyle w:val="246"/>
              <w:rPr>
                <w:rFonts w:eastAsiaTheme="minorEastAsia"/>
                <w:color w:val="auto"/>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0" w:hRule="atLeast"/>
          <w:jc w:val="center"/>
        </w:trPr>
        <w:tc>
          <w:tcPr>
            <w:tcW w:w="1864" w:type="dxa"/>
            <w:vMerge w:val="continue"/>
            <w:vAlign w:val="center"/>
          </w:tcPr>
          <w:p>
            <w:pPr>
              <w:pStyle w:val="246"/>
              <w:rPr>
                <w:rFonts w:eastAsiaTheme="minorEastAsia"/>
                <w:color w:val="auto"/>
              </w:rPr>
            </w:pPr>
          </w:p>
        </w:tc>
        <w:tc>
          <w:tcPr>
            <w:tcW w:w="1696" w:type="dxa"/>
            <w:vAlign w:val="center"/>
          </w:tcPr>
          <w:p>
            <w:pPr>
              <w:pStyle w:val="246"/>
              <w:rPr>
                <w:rFonts w:eastAsiaTheme="minorEastAsia"/>
                <w:color w:val="auto"/>
              </w:rPr>
            </w:pPr>
            <w:r>
              <w:rPr>
                <w:rFonts w:eastAsiaTheme="minorEastAsia"/>
                <w:color w:val="auto"/>
              </w:rPr>
              <w:t>24小时平均</w:t>
            </w:r>
          </w:p>
        </w:tc>
        <w:tc>
          <w:tcPr>
            <w:tcW w:w="1658" w:type="dxa"/>
            <w:vAlign w:val="center"/>
          </w:tcPr>
          <w:p>
            <w:pPr>
              <w:pStyle w:val="246"/>
              <w:rPr>
                <w:rFonts w:eastAsiaTheme="minorEastAsia"/>
                <w:color w:val="auto"/>
              </w:rPr>
            </w:pPr>
            <w:r>
              <w:rPr>
                <w:rFonts w:eastAsiaTheme="minorEastAsia"/>
                <w:color w:val="auto"/>
              </w:rPr>
              <w:t>80</w:t>
            </w:r>
          </w:p>
        </w:tc>
        <w:tc>
          <w:tcPr>
            <w:tcW w:w="3088" w:type="dxa"/>
            <w:vMerge w:val="continue"/>
            <w:vAlign w:val="center"/>
          </w:tcPr>
          <w:p>
            <w:pPr>
              <w:pStyle w:val="246"/>
              <w:rPr>
                <w:rFonts w:eastAsiaTheme="minorEastAsia"/>
                <w:color w:val="auto"/>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0" w:hRule="atLeast"/>
          <w:jc w:val="center"/>
        </w:trPr>
        <w:tc>
          <w:tcPr>
            <w:tcW w:w="1864" w:type="dxa"/>
            <w:vMerge w:val="continue"/>
            <w:vAlign w:val="center"/>
          </w:tcPr>
          <w:p>
            <w:pPr>
              <w:pStyle w:val="246"/>
              <w:rPr>
                <w:rFonts w:eastAsiaTheme="minorEastAsia"/>
                <w:color w:val="auto"/>
              </w:rPr>
            </w:pPr>
          </w:p>
        </w:tc>
        <w:tc>
          <w:tcPr>
            <w:tcW w:w="1696" w:type="dxa"/>
            <w:vAlign w:val="center"/>
          </w:tcPr>
          <w:p>
            <w:pPr>
              <w:pStyle w:val="246"/>
              <w:rPr>
                <w:rFonts w:eastAsiaTheme="minorEastAsia"/>
                <w:color w:val="auto"/>
              </w:rPr>
            </w:pPr>
            <w:r>
              <w:rPr>
                <w:rFonts w:eastAsiaTheme="minorEastAsia"/>
                <w:color w:val="auto"/>
              </w:rPr>
              <w:t>1小时平均</w:t>
            </w:r>
          </w:p>
        </w:tc>
        <w:tc>
          <w:tcPr>
            <w:tcW w:w="1658" w:type="dxa"/>
            <w:vAlign w:val="center"/>
          </w:tcPr>
          <w:p>
            <w:pPr>
              <w:pStyle w:val="246"/>
              <w:rPr>
                <w:rFonts w:eastAsiaTheme="minorEastAsia"/>
                <w:color w:val="auto"/>
              </w:rPr>
            </w:pPr>
            <w:r>
              <w:rPr>
                <w:rFonts w:eastAsiaTheme="minorEastAsia"/>
                <w:color w:val="auto"/>
              </w:rPr>
              <w:t>200</w:t>
            </w:r>
          </w:p>
        </w:tc>
        <w:tc>
          <w:tcPr>
            <w:tcW w:w="3088" w:type="dxa"/>
            <w:vMerge w:val="continue"/>
            <w:vAlign w:val="center"/>
          </w:tcPr>
          <w:p>
            <w:pPr>
              <w:pStyle w:val="246"/>
              <w:rPr>
                <w:rFonts w:eastAsiaTheme="minorEastAsia"/>
                <w:color w:val="auto"/>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0" w:hRule="atLeast"/>
          <w:jc w:val="center"/>
        </w:trPr>
        <w:tc>
          <w:tcPr>
            <w:tcW w:w="1864" w:type="dxa"/>
            <w:vMerge w:val="restart"/>
            <w:vAlign w:val="center"/>
          </w:tcPr>
          <w:p>
            <w:pPr>
              <w:pStyle w:val="246"/>
              <w:rPr>
                <w:rFonts w:eastAsiaTheme="minorEastAsia"/>
                <w:color w:val="auto"/>
              </w:rPr>
            </w:pPr>
            <w:r>
              <w:rPr>
                <w:rFonts w:eastAsiaTheme="minorEastAsia"/>
                <w:color w:val="auto"/>
              </w:rPr>
              <w:t>TSP</w:t>
            </w:r>
          </w:p>
        </w:tc>
        <w:tc>
          <w:tcPr>
            <w:tcW w:w="1696" w:type="dxa"/>
            <w:vAlign w:val="center"/>
          </w:tcPr>
          <w:p>
            <w:pPr>
              <w:pStyle w:val="246"/>
              <w:rPr>
                <w:rFonts w:eastAsiaTheme="minorEastAsia"/>
                <w:color w:val="auto"/>
              </w:rPr>
            </w:pPr>
            <w:r>
              <w:rPr>
                <w:rFonts w:eastAsiaTheme="minorEastAsia"/>
                <w:color w:val="auto"/>
              </w:rPr>
              <w:t>年平均</w:t>
            </w:r>
          </w:p>
        </w:tc>
        <w:tc>
          <w:tcPr>
            <w:tcW w:w="1658" w:type="dxa"/>
            <w:vAlign w:val="center"/>
          </w:tcPr>
          <w:p>
            <w:pPr>
              <w:pStyle w:val="246"/>
              <w:rPr>
                <w:rFonts w:eastAsiaTheme="minorEastAsia"/>
                <w:color w:val="auto"/>
              </w:rPr>
            </w:pPr>
            <w:r>
              <w:rPr>
                <w:rFonts w:eastAsiaTheme="minorEastAsia"/>
                <w:color w:val="auto"/>
              </w:rPr>
              <w:t>200</w:t>
            </w:r>
          </w:p>
        </w:tc>
        <w:tc>
          <w:tcPr>
            <w:tcW w:w="3088" w:type="dxa"/>
            <w:vMerge w:val="continue"/>
            <w:vAlign w:val="center"/>
          </w:tcPr>
          <w:p>
            <w:pPr>
              <w:pStyle w:val="246"/>
              <w:rPr>
                <w:rFonts w:eastAsiaTheme="minorEastAsia"/>
                <w:color w:val="auto"/>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0" w:hRule="atLeast"/>
          <w:jc w:val="center"/>
        </w:trPr>
        <w:tc>
          <w:tcPr>
            <w:tcW w:w="1864" w:type="dxa"/>
            <w:vMerge w:val="continue"/>
            <w:vAlign w:val="center"/>
          </w:tcPr>
          <w:p>
            <w:pPr>
              <w:pStyle w:val="246"/>
              <w:rPr>
                <w:rFonts w:eastAsiaTheme="minorEastAsia"/>
                <w:color w:val="auto"/>
              </w:rPr>
            </w:pPr>
          </w:p>
        </w:tc>
        <w:tc>
          <w:tcPr>
            <w:tcW w:w="1696" w:type="dxa"/>
            <w:vAlign w:val="center"/>
          </w:tcPr>
          <w:p>
            <w:pPr>
              <w:pStyle w:val="246"/>
              <w:rPr>
                <w:rFonts w:eastAsiaTheme="minorEastAsia"/>
                <w:color w:val="auto"/>
              </w:rPr>
            </w:pPr>
            <w:r>
              <w:rPr>
                <w:rFonts w:eastAsiaTheme="minorEastAsia"/>
                <w:color w:val="auto"/>
              </w:rPr>
              <w:t>24小时平均</w:t>
            </w:r>
          </w:p>
        </w:tc>
        <w:tc>
          <w:tcPr>
            <w:tcW w:w="1658" w:type="dxa"/>
            <w:vAlign w:val="center"/>
          </w:tcPr>
          <w:p>
            <w:pPr>
              <w:pStyle w:val="246"/>
              <w:rPr>
                <w:rFonts w:eastAsiaTheme="minorEastAsia"/>
                <w:color w:val="auto"/>
              </w:rPr>
            </w:pPr>
            <w:r>
              <w:rPr>
                <w:rFonts w:eastAsiaTheme="minorEastAsia"/>
                <w:color w:val="auto"/>
              </w:rPr>
              <w:t>300</w:t>
            </w:r>
          </w:p>
        </w:tc>
        <w:tc>
          <w:tcPr>
            <w:tcW w:w="3088" w:type="dxa"/>
            <w:vMerge w:val="continue"/>
            <w:vAlign w:val="center"/>
          </w:tcPr>
          <w:p>
            <w:pPr>
              <w:pStyle w:val="246"/>
              <w:rPr>
                <w:rFonts w:eastAsiaTheme="minorEastAsia"/>
                <w:color w:val="auto"/>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0" w:hRule="atLeast"/>
          <w:jc w:val="center"/>
        </w:trPr>
        <w:tc>
          <w:tcPr>
            <w:tcW w:w="1864" w:type="dxa"/>
            <w:vMerge w:val="restart"/>
            <w:vAlign w:val="center"/>
          </w:tcPr>
          <w:p>
            <w:pPr>
              <w:pStyle w:val="246"/>
              <w:rPr>
                <w:rFonts w:eastAsiaTheme="minorEastAsia"/>
                <w:color w:val="auto"/>
              </w:rPr>
            </w:pPr>
            <w:r>
              <w:rPr>
                <w:rFonts w:eastAsiaTheme="minorEastAsia"/>
                <w:color w:val="auto"/>
              </w:rPr>
              <w:t>PM</w:t>
            </w:r>
            <w:r>
              <w:rPr>
                <w:rFonts w:eastAsiaTheme="minorEastAsia"/>
                <w:color w:val="auto"/>
                <w:vertAlign w:val="subscript"/>
              </w:rPr>
              <w:t>10</w:t>
            </w:r>
          </w:p>
        </w:tc>
        <w:tc>
          <w:tcPr>
            <w:tcW w:w="1696" w:type="dxa"/>
            <w:vAlign w:val="center"/>
          </w:tcPr>
          <w:p>
            <w:pPr>
              <w:pStyle w:val="246"/>
              <w:rPr>
                <w:rFonts w:eastAsiaTheme="minorEastAsia"/>
                <w:color w:val="auto"/>
              </w:rPr>
            </w:pPr>
            <w:r>
              <w:rPr>
                <w:rFonts w:eastAsiaTheme="minorEastAsia"/>
                <w:color w:val="auto"/>
              </w:rPr>
              <w:t>年平均</w:t>
            </w:r>
          </w:p>
        </w:tc>
        <w:tc>
          <w:tcPr>
            <w:tcW w:w="1658" w:type="dxa"/>
            <w:vAlign w:val="center"/>
          </w:tcPr>
          <w:p>
            <w:pPr>
              <w:pStyle w:val="246"/>
              <w:rPr>
                <w:rFonts w:eastAsiaTheme="minorEastAsia"/>
                <w:color w:val="auto"/>
              </w:rPr>
            </w:pPr>
            <w:r>
              <w:rPr>
                <w:rFonts w:eastAsiaTheme="minorEastAsia"/>
                <w:color w:val="auto"/>
              </w:rPr>
              <w:t>70</w:t>
            </w:r>
          </w:p>
        </w:tc>
        <w:tc>
          <w:tcPr>
            <w:tcW w:w="3088" w:type="dxa"/>
            <w:vMerge w:val="continue"/>
            <w:vAlign w:val="center"/>
          </w:tcPr>
          <w:p>
            <w:pPr>
              <w:pStyle w:val="246"/>
              <w:rPr>
                <w:rFonts w:eastAsiaTheme="minorEastAsia"/>
                <w:color w:val="auto"/>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0" w:hRule="atLeast"/>
          <w:jc w:val="center"/>
        </w:trPr>
        <w:tc>
          <w:tcPr>
            <w:tcW w:w="1864" w:type="dxa"/>
            <w:vMerge w:val="continue"/>
            <w:vAlign w:val="center"/>
          </w:tcPr>
          <w:p>
            <w:pPr>
              <w:pStyle w:val="246"/>
              <w:rPr>
                <w:rFonts w:eastAsiaTheme="minorEastAsia"/>
                <w:color w:val="auto"/>
              </w:rPr>
            </w:pPr>
          </w:p>
        </w:tc>
        <w:tc>
          <w:tcPr>
            <w:tcW w:w="1696" w:type="dxa"/>
            <w:vAlign w:val="center"/>
          </w:tcPr>
          <w:p>
            <w:pPr>
              <w:pStyle w:val="246"/>
              <w:rPr>
                <w:rFonts w:eastAsiaTheme="minorEastAsia"/>
                <w:color w:val="auto"/>
              </w:rPr>
            </w:pPr>
            <w:r>
              <w:rPr>
                <w:rFonts w:eastAsiaTheme="minorEastAsia"/>
                <w:color w:val="auto"/>
              </w:rPr>
              <w:t>24小时平均</w:t>
            </w:r>
          </w:p>
        </w:tc>
        <w:tc>
          <w:tcPr>
            <w:tcW w:w="1658" w:type="dxa"/>
            <w:vAlign w:val="center"/>
          </w:tcPr>
          <w:p>
            <w:pPr>
              <w:pStyle w:val="246"/>
              <w:rPr>
                <w:rFonts w:eastAsiaTheme="minorEastAsia"/>
                <w:color w:val="auto"/>
              </w:rPr>
            </w:pPr>
            <w:r>
              <w:rPr>
                <w:rFonts w:eastAsiaTheme="minorEastAsia"/>
                <w:color w:val="auto"/>
              </w:rPr>
              <w:t>150</w:t>
            </w:r>
          </w:p>
        </w:tc>
        <w:tc>
          <w:tcPr>
            <w:tcW w:w="3088" w:type="dxa"/>
            <w:vMerge w:val="continue"/>
            <w:vAlign w:val="center"/>
          </w:tcPr>
          <w:p>
            <w:pPr>
              <w:pStyle w:val="246"/>
              <w:rPr>
                <w:rFonts w:eastAsiaTheme="minorEastAsia"/>
                <w:color w:val="auto"/>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0" w:hRule="atLeast"/>
          <w:jc w:val="center"/>
        </w:trPr>
        <w:tc>
          <w:tcPr>
            <w:tcW w:w="1864" w:type="dxa"/>
            <w:vMerge w:val="restart"/>
            <w:vAlign w:val="center"/>
          </w:tcPr>
          <w:p>
            <w:pPr>
              <w:pStyle w:val="246"/>
              <w:rPr>
                <w:rFonts w:eastAsiaTheme="minorEastAsia"/>
                <w:color w:val="auto"/>
              </w:rPr>
            </w:pPr>
            <w:r>
              <w:rPr>
                <w:rFonts w:eastAsiaTheme="minorEastAsia"/>
                <w:color w:val="auto"/>
              </w:rPr>
              <w:t>PM</w:t>
            </w:r>
            <w:r>
              <w:rPr>
                <w:rFonts w:eastAsiaTheme="minorEastAsia"/>
                <w:color w:val="auto"/>
                <w:vertAlign w:val="subscript"/>
              </w:rPr>
              <w:t>2.5</w:t>
            </w:r>
          </w:p>
        </w:tc>
        <w:tc>
          <w:tcPr>
            <w:tcW w:w="1696" w:type="dxa"/>
            <w:vAlign w:val="center"/>
          </w:tcPr>
          <w:p>
            <w:pPr>
              <w:pStyle w:val="246"/>
              <w:rPr>
                <w:rFonts w:eastAsiaTheme="minorEastAsia"/>
                <w:color w:val="auto"/>
              </w:rPr>
            </w:pPr>
            <w:r>
              <w:rPr>
                <w:rFonts w:eastAsiaTheme="minorEastAsia"/>
                <w:color w:val="auto"/>
              </w:rPr>
              <w:t>年平均</w:t>
            </w:r>
          </w:p>
        </w:tc>
        <w:tc>
          <w:tcPr>
            <w:tcW w:w="1658" w:type="dxa"/>
            <w:vAlign w:val="center"/>
          </w:tcPr>
          <w:p>
            <w:pPr>
              <w:pStyle w:val="246"/>
              <w:rPr>
                <w:rFonts w:eastAsiaTheme="minorEastAsia"/>
                <w:color w:val="auto"/>
              </w:rPr>
            </w:pPr>
            <w:r>
              <w:rPr>
                <w:rFonts w:eastAsiaTheme="minorEastAsia"/>
                <w:color w:val="auto"/>
              </w:rPr>
              <w:t>35</w:t>
            </w:r>
          </w:p>
        </w:tc>
        <w:tc>
          <w:tcPr>
            <w:tcW w:w="3088" w:type="dxa"/>
            <w:vMerge w:val="continue"/>
            <w:vAlign w:val="center"/>
          </w:tcPr>
          <w:p>
            <w:pPr>
              <w:pStyle w:val="246"/>
              <w:rPr>
                <w:rFonts w:eastAsiaTheme="minorEastAsia"/>
                <w:color w:val="auto"/>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0" w:hRule="atLeast"/>
          <w:jc w:val="center"/>
        </w:trPr>
        <w:tc>
          <w:tcPr>
            <w:tcW w:w="1864" w:type="dxa"/>
            <w:vMerge w:val="continue"/>
            <w:vAlign w:val="center"/>
          </w:tcPr>
          <w:p>
            <w:pPr>
              <w:pStyle w:val="246"/>
              <w:rPr>
                <w:rFonts w:eastAsiaTheme="minorEastAsia"/>
                <w:color w:val="auto"/>
              </w:rPr>
            </w:pPr>
          </w:p>
        </w:tc>
        <w:tc>
          <w:tcPr>
            <w:tcW w:w="1696" w:type="dxa"/>
            <w:vAlign w:val="center"/>
          </w:tcPr>
          <w:p>
            <w:pPr>
              <w:pStyle w:val="246"/>
              <w:rPr>
                <w:rFonts w:eastAsiaTheme="minorEastAsia"/>
                <w:color w:val="auto"/>
              </w:rPr>
            </w:pPr>
            <w:r>
              <w:rPr>
                <w:rFonts w:eastAsiaTheme="minorEastAsia"/>
                <w:color w:val="auto"/>
              </w:rPr>
              <w:t>24小时平均</w:t>
            </w:r>
          </w:p>
        </w:tc>
        <w:tc>
          <w:tcPr>
            <w:tcW w:w="1658" w:type="dxa"/>
            <w:vAlign w:val="center"/>
          </w:tcPr>
          <w:p>
            <w:pPr>
              <w:pStyle w:val="246"/>
              <w:rPr>
                <w:rFonts w:eastAsiaTheme="minorEastAsia"/>
                <w:color w:val="auto"/>
              </w:rPr>
            </w:pPr>
            <w:r>
              <w:rPr>
                <w:rFonts w:eastAsiaTheme="minorEastAsia"/>
                <w:color w:val="auto"/>
              </w:rPr>
              <w:t>75</w:t>
            </w:r>
          </w:p>
        </w:tc>
        <w:tc>
          <w:tcPr>
            <w:tcW w:w="3088" w:type="dxa"/>
            <w:vMerge w:val="continue"/>
            <w:vAlign w:val="center"/>
          </w:tcPr>
          <w:p>
            <w:pPr>
              <w:pStyle w:val="246"/>
              <w:rPr>
                <w:rFonts w:eastAsiaTheme="minorEastAsia"/>
                <w:color w:val="auto"/>
              </w:rPr>
            </w:pPr>
          </w:p>
        </w:tc>
      </w:tr>
    </w:tbl>
    <w:p>
      <w:pPr>
        <w:pStyle w:val="276"/>
        <w:rPr>
          <w:rFonts w:eastAsiaTheme="minorEastAsia"/>
          <w:color w:val="auto"/>
        </w:rPr>
      </w:pPr>
      <w:r>
        <w:rPr>
          <w:rFonts w:eastAsiaTheme="minorEastAsia"/>
          <w:color w:val="auto"/>
        </w:rPr>
        <w:t>（2）声环境</w:t>
      </w:r>
    </w:p>
    <w:p>
      <w:pPr>
        <w:pStyle w:val="276"/>
        <w:rPr>
          <w:rFonts w:eastAsiaTheme="minorEastAsia"/>
          <w:color w:val="auto"/>
        </w:rPr>
      </w:pPr>
      <w:r>
        <w:rPr>
          <w:rFonts w:eastAsiaTheme="minorEastAsia"/>
          <w:color w:val="auto"/>
        </w:rPr>
        <w:t>本项目声环境执行《声环境质量标准》(GB3096-2008)中2类标准，详见表2-3-2。</w:t>
      </w:r>
    </w:p>
    <w:p>
      <w:pPr>
        <w:pStyle w:val="244"/>
        <w:rPr>
          <w:rFonts w:eastAsiaTheme="minorEastAsia"/>
          <w:color w:val="auto"/>
        </w:rPr>
      </w:pPr>
      <w:r>
        <w:rPr>
          <w:rFonts w:eastAsiaTheme="minorEastAsia"/>
          <w:color w:val="auto"/>
        </w:rPr>
        <w:t>表2-3-2  声环境质量标准    单位：dB(A)</w:t>
      </w:r>
    </w:p>
    <w:tbl>
      <w:tblPr>
        <w:tblStyle w:val="53"/>
        <w:tblW w:w="8522" w:type="dxa"/>
        <w:jc w:val="center"/>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054"/>
        <w:gridCol w:w="1006"/>
        <w:gridCol w:w="1006"/>
        <w:gridCol w:w="5456"/>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jc w:val="center"/>
        </w:trPr>
        <w:tc>
          <w:tcPr>
            <w:tcW w:w="1054" w:type="dxa"/>
            <w:vAlign w:val="center"/>
          </w:tcPr>
          <w:p>
            <w:pPr>
              <w:pStyle w:val="246"/>
              <w:rPr>
                <w:rFonts w:eastAsiaTheme="minorEastAsia"/>
                <w:color w:val="auto"/>
              </w:rPr>
            </w:pPr>
            <w:r>
              <w:rPr>
                <w:rFonts w:eastAsiaTheme="minorEastAsia"/>
                <w:color w:val="auto"/>
              </w:rPr>
              <w:t>类别</w:t>
            </w:r>
          </w:p>
        </w:tc>
        <w:tc>
          <w:tcPr>
            <w:tcW w:w="1006" w:type="dxa"/>
            <w:tcBorders>
              <w:right w:val="single" w:color="auto" w:sz="4" w:space="0"/>
            </w:tcBorders>
            <w:vAlign w:val="center"/>
          </w:tcPr>
          <w:p>
            <w:pPr>
              <w:pStyle w:val="246"/>
              <w:rPr>
                <w:rFonts w:eastAsiaTheme="minorEastAsia"/>
                <w:color w:val="auto"/>
              </w:rPr>
            </w:pPr>
            <w:r>
              <w:rPr>
                <w:rFonts w:eastAsiaTheme="minorEastAsia"/>
                <w:color w:val="auto"/>
              </w:rPr>
              <w:t>昼间</w:t>
            </w:r>
          </w:p>
        </w:tc>
        <w:tc>
          <w:tcPr>
            <w:tcW w:w="1006" w:type="dxa"/>
            <w:tcBorders>
              <w:left w:val="single" w:color="auto" w:sz="4" w:space="0"/>
            </w:tcBorders>
            <w:vAlign w:val="center"/>
          </w:tcPr>
          <w:p>
            <w:pPr>
              <w:pStyle w:val="246"/>
              <w:rPr>
                <w:rFonts w:eastAsiaTheme="minorEastAsia"/>
                <w:color w:val="auto"/>
              </w:rPr>
            </w:pPr>
            <w:r>
              <w:rPr>
                <w:rFonts w:eastAsiaTheme="minorEastAsia"/>
                <w:color w:val="auto"/>
              </w:rPr>
              <w:t>夜间</w:t>
            </w:r>
          </w:p>
        </w:tc>
        <w:tc>
          <w:tcPr>
            <w:tcW w:w="5456" w:type="dxa"/>
            <w:vAlign w:val="center"/>
          </w:tcPr>
          <w:p>
            <w:pPr>
              <w:pStyle w:val="246"/>
              <w:rPr>
                <w:rFonts w:eastAsiaTheme="minorEastAsia"/>
                <w:color w:val="auto"/>
              </w:rPr>
            </w:pPr>
            <w:r>
              <w:rPr>
                <w:rFonts w:eastAsiaTheme="minorEastAsia"/>
                <w:color w:val="auto"/>
              </w:rPr>
              <w:t>标准来源</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jc w:val="center"/>
        </w:trPr>
        <w:tc>
          <w:tcPr>
            <w:tcW w:w="1054" w:type="dxa"/>
            <w:vAlign w:val="center"/>
          </w:tcPr>
          <w:p>
            <w:pPr>
              <w:pStyle w:val="246"/>
              <w:rPr>
                <w:rFonts w:eastAsiaTheme="minorEastAsia"/>
                <w:color w:val="auto"/>
              </w:rPr>
            </w:pPr>
            <w:r>
              <w:rPr>
                <w:rFonts w:eastAsiaTheme="minorEastAsia"/>
                <w:color w:val="auto"/>
              </w:rPr>
              <w:t>2类</w:t>
            </w:r>
          </w:p>
        </w:tc>
        <w:tc>
          <w:tcPr>
            <w:tcW w:w="1006" w:type="dxa"/>
            <w:tcBorders>
              <w:right w:val="single" w:color="auto" w:sz="4" w:space="0"/>
            </w:tcBorders>
            <w:vAlign w:val="center"/>
          </w:tcPr>
          <w:p>
            <w:pPr>
              <w:pStyle w:val="246"/>
              <w:rPr>
                <w:rFonts w:eastAsiaTheme="minorEastAsia"/>
                <w:color w:val="auto"/>
              </w:rPr>
            </w:pPr>
            <w:r>
              <w:rPr>
                <w:rFonts w:eastAsiaTheme="minorEastAsia"/>
                <w:color w:val="auto"/>
              </w:rPr>
              <w:t>60</w:t>
            </w:r>
          </w:p>
        </w:tc>
        <w:tc>
          <w:tcPr>
            <w:tcW w:w="1006" w:type="dxa"/>
            <w:tcBorders>
              <w:left w:val="single" w:color="auto" w:sz="4" w:space="0"/>
            </w:tcBorders>
            <w:vAlign w:val="center"/>
          </w:tcPr>
          <w:p>
            <w:pPr>
              <w:pStyle w:val="246"/>
              <w:rPr>
                <w:rFonts w:eastAsiaTheme="minorEastAsia"/>
                <w:color w:val="auto"/>
              </w:rPr>
            </w:pPr>
            <w:r>
              <w:rPr>
                <w:rFonts w:eastAsiaTheme="minorEastAsia"/>
                <w:color w:val="auto"/>
              </w:rPr>
              <w:t>50</w:t>
            </w:r>
          </w:p>
        </w:tc>
        <w:tc>
          <w:tcPr>
            <w:tcW w:w="5456" w:type="dxa"/>
            <w:vAlign w:val="center"/>
          </w:tcPr>
          <w:p>
            <w:pPr>
              <w:pStyle w:val="246"/>
              <w:rPr>
                <w:rFonts w:eastAsiaTheme="minorEastAsia"/>
                <w:color w:val="auto"/>
              </w:rPr>
            </w:pPr>
            <w:r>
              <w:rPr>
                <w:rFonts w:eastAsiaTheme="minorEastAsia"/>
                <w:color w:val="auto"/>
              </w:rPr>
              <w:t xml:space="preserve">《声环境质量标准》(GB3096-2008) </w:t>
            </w:r>
          </w:p>
        </w:tc>
      </w:tr>
    </w:tbl>
    <w:p>
      <w:pPr>
        <w:pStyle w:val="276"/>
        <w:rPr>
          <w:rFonts w:eastAsiaTheme="minorEastAsia"/>
          <w:color w:val="auto"/>
        </w:rPr>
      </w:pPr>
      <w:r>
        <w:rPr>
          <w:rFonts w:eastAsiaTheme="minorEastAsia"/>
          <w:color w:val="auto"/>
        </w:rPr>
        <w:t>（3）地表水环境</w:t>
      </w:r>
    </w:p>
    <w:p>
      <w:pPr>
        <w:pStyle w:val="276"/>
        <w:rPr>
          <w:rFonts w:eastAsiaTheme="minorEastAsia"/>
          <w:color w:val="auto"/>
        </w:rPr>
      </w:pPr>
      <w:r>
        <w:rPr>
          <w:rFonts w:eastAsiaTheme="minorEastAsia"/>
          <w:color w:val="auto"/>
        </w:rPr>
        <w:t>地表水执行《地表水环境质量标准》（GB3838—2002）中的</w:t>
      </w:r>
      <w:r>
        <w:rPr>
          <w:rFonts w:hint="eastAsia" w:ascii="宋体" w:hAnsi="宋体" w:cs="宋体"/>
          <w:color w:val="auto"/>
        </w:rPr>
        <w:t>Ⅳ</w:t>
      </w:r>
      <w:r>
        <w:rPr>
          <w:rFonts w:eastAsiaTheme="minorEastAsia"/>
          <w:color w:val="auto"/>
        </w:rPr>
        <w:t>类标准。见表2-3-3。</w:t>
      </w:r>
    </w:p>
    <w:p>
      <w:pPr>
        <w:pStyle w:val="244"/>
        <w:rPr>
          <w:rFonts w:eastAsiaTheme="minorEastAsia"/>
          <w:color w:val="auto"/>
        </w:rPr>
      </w:pPr>
      <w:r>
        <w:rPr>
          <w:rFonts w:eastAsiaTheme="minorEastAsia"/>
          <w:color w:val="auto"/>
        </w:rPr>
        <w:t>表2-3-3   地表水环境质量标准      单位：mg/L(pH除外)</w:t>
      </w:r>
    </w:p>
    <w:tbl>
      <w:tblPr>
        <w:tblStyle w:val="53"/>
        <w:tblW w:w="8522"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62"/>
        <w:gridCol w:w="1747"/>
        <w:gridCol w:w="1694"/>
        <w:gridCol w:w="431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762" w:type="dxa"/>
            <w:vAlign w:val="center"/>
          </w:tcPr>
          <w:p>
            <w:pPr>
              <w:pStyle w:val="246"/>
              <w:rPr>
                <w:rFonts w:eastAsiaTheme="minorEastAsia"/>
                <w:color w:val="auto"/>
              </w:rPr>
            </w:pPr>
            <w:r>
              <w:rPr>
                <w:rFonts w:eastAsiaTheme="minorEastAsia"/>
                <w:color w:val="auto"/>
              </w:rPr>
              <w:t>序号</w:t>
            </w:r>
          </w:p>
        </w:tc>
        <w:tc>
          <w:tcPr>
            <w:tcW w:w="1747" w:type="dxa"/>
            <w:vAlign w:val="center"/>
          </w:tcPr>
          <w:p>
            <w:pPr>
              <w:pStyle w:val="246"/>
              <w:rPr>
                <w:rFonts w:eastAsiaTheme="minorEastAsia"/>
                <w:color w:val="auto"/>
              </w:rPr>
            </w:pPr>
            <w:r>
              <w:rPr>
                <w:rFonts w:eastAsiaTheme="minorEastAsia"/>
                <w:color w:val="auto"/>
              </w:rPr>
              <w:t>参数</w:t>
            </w:r>
          </w:p>
        </w:tc>
        <w:tc>
          <w:tcPr>
            <w:tcW w:w="1694" w:type="dxa"/>
            <w:vAlign w:val="center"/>
          </w:tcPr>
          <w:p>
            <w:pPr>
              <w:pStyle w:val="246"/>
              <w:rPr>
                <w:rFonts w:eastAsiaTheme="minorEastAsia"/>
                <w:color w:val="auto"/>
              </w:rPr>
            </w:pPr>
            <w:r>
              <w:rPr>
                <w:rFonts w:eastAsiaTheme="minorEastAsia"/>
                <w:color w:val="auto"/>
              </w:rPr>
              <w:t>标准值</w:t>
            </w:r>
          </w:p>
        </w:tc>
        <w:tc>
          <w:tcPr>
            <w:tcW w:w="4319" w:type="dxa"/>
            <w:vAlign w:val="center"/>
          </w:tcPr>
          <w:p>
            <w:pPr>
              <w:pStyle w:val="246"/>
              <w:rPr>
                <w:rFonts w:eastAsiaTheme="minorEastAsia"/>
                <w:color w:val="auto"/>
              </w:rPr>
            </w:pPr>
            <w:r>
              <w:rPr>
                <w:rFonts w:eastAsiaTheme="minorEastAsia"/>
                <w:color w:val="auto"/>
              </w:rPr>
              <w:t>标准来源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762" w:type="dxa"/>
            <w:vAlign w:val="center"/>
          </w:tcPr>
          <w:p>
            <w:pPr>
              <w:pStyle w:val="246"/>
              <w:rPr>
                <w:rFonts w:eastAsiaTheme="minorEastAsia"/>
                <w:color w:val="auto"/>
              </w:rPr>
            </w:pPr>
            <w:r>
              <w:rPr>
                <w:rFonts w:eastAsiaTheme="minorEastAsia"/>
                <w:color w:val="auto"/>
              </w:rPr>
              <w:t>1</w:t>
            </w:r>
          </w:p>
        </w:tc>
        <w:tc>
          <w:tcPr>
            <w:tcW w:w="1747" w:type="dxa"/>
            <w:vAlign w:val="center"/>
          </w:tcPr>
          <w:p>
            <w:pPr>
              <w:pStyle w:val="246"/>
              <w:rPr>
                <w:rFonts w:eastAsiaTheme="minorEastAsia"/>
                <w:color w:val="auto"/>
              </w:rPr>
            </w:pPr>
            <w:r>
              <w:rPr>
                <w:rFonts w:eastAsiaTheme="minorEastAsia"/>
                <w:color w:val="auto"/>
              </w:rPr>
              <w:t>pH</w:t>
            </w:r>
          </w:p>
        </w:tc>
        <w:tc>
          <w:tcPr>
            <w:tcW w:w="1694" w:type="dxa"/>
            <w:vAlign w:val="center"/>
          </w:tcPr>
          <w:p>
            <w:pPr>
              <w:pStyle w:val="246"/>
              <w:rPr>
                <w:rFonts w:eastAsiaTheme="minorEastAsia"/>
                <w:color w:val="auto"/>
              </w:rPr>
            </w:pPr>
            <w:r>
              <w:rPr>
                <w:rFonts w:eastAsiaTheme="minorEastAsia"/>
                <w:color w:val="auto"/>
              </w:rPr>
              <w:t>6~9</w:t>
            </w:r>
          </w:p>
        </w:tc>
        <w:tc>
          <w:tcPr>
            <w:tcW w:w="4319" w:type="dxa"/>
            <w:vMerge w:val="restart"/>
            <w:vAlign w:val="center"/>
          </w:tcPr>
          <w:p>
            <w:pPr>
              <w:pStyle w:val="246"/>
              <w:rPr>
                <w:rFonts w:eastAsiaTheme="minorEastAsia"/>
                <w:color w:val="auto"/>
              </w:rPr>
            </w:pPr>
            <w:r>
              <w:rPr>
                <w:rFonts w:eastAsiaTheme="minorEastAsia"/>
                <w:color w:val="auto"/>
              </w:rPr>
              <w:t>《地表水环境质量标准》（GB3838-2002）</w:t>
            </w:r>
          </w:p>
          <w:p>
            <w:pPr>
              <w:pStyle w:val="246"/>
              <w:rPr>
                <w:rFonts w:eastAsiaTheme="minorEastAsia"/>
                <w:color w:val="auto"/>
              </w:rPr>
            </w:pPr>
            <w:r>
              <w:rPr>
                <w:rFonts w:hint="eastAsia" w:ascii="宋体" w:hAnsi="宋体" w:cs="宋体"/>
                <w:color w:val="auto"/>
              </w:rPr>
              <w:t>Ⅳ</w:t>
            </w:r>
            <w:r>
              <w:rPr>
                <w:rFonts w:eastAsiaTheme="minorEastAsia"/>
                <w:color w:val="auto"/>
              </w:rPr>
              <w:t>类标准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762" w:type="dxa"/>
            <w:vAlign w:val="center"/>
          </w:tcPr>
          <w:p>
            <w:pPr>
              <w:pStyle w:val="246"/>
              <w:rPr>
                <w:rFonts w:eastAsiaTheme="minorEastAsia"/>
                <w:color w:val="auto"/>
              </w:rPr>
            </w:pPr>
            <w:r>
              <w:rPr>
                <w:rFonts w:eastAsiaTheme="minorEastAsia"/>
                <w:color w:val="auto"/>
              </w:rPr>
              <w:t>2</w:t>
            </w:r>
          </w:p>
        </w:tc>
        <w:tc>
          <w:tcPr>
            <w:tcW w:w="1747" w:type="dxa"/>
            <w:vAlign w:val="center"/>
          </w:tcPr>
          <w:p>
            <w:pPr>
              <w:pStyle w:val="246"/>
              <w:rPr>
                <w:rFonts w:eastAsiaTheme="minorEastAsia"/>
                <w:color w:val="auto"/>
              </w:rPr>
            </w:pPr>
            <w:r>
              <w:rPr>
                <w:rFonts w:eastAsiaTheme="minorEastAsia"/>
                <w:color w:val="auto"/>
              </w:rPr>
              <w:t>COD</w:t>
            </w:r>
          </w:p>
        </w:tc>
        <w:tc>
          <w:tcPr>
            <w:tcW w:w="1694" w:type="dxa"/>
            <w:vAlign w:val="center"/>
          </w:tcPr>
          <w:p>
            <w:pPr>
              <w:pStyle w:val="246"/>
              <w:rPr>
                <w:rFonts w:eastAsiaTheme="minorEastAsia"/>
                <w:color w:val="auto"/>
              </w:rPr>
            </w:pPr>
            <w:r>
              <w:rPr>
                <w:rFonts w:eastAsiaTheme="minorEastAsia"/>
                <w:color w:val="auto"/>
              </w:rPr>
              <w:t>≤30</w:t>
            </w:r>
          </w:p>
        </w:tc>
        <w:tc>
          <w:tcPr>
            <w:tcW w:w="4319" w:type="dxa"/>
            <w:vMerge w:val="continue"/>
            <w:vAlign w:val="center"/>
          </w:tcPr>
          <w:p>
            <w:pPr>
              <w:pStyle w:val="246"/>
              <w:rPr>
                <w:rFonts w:eastAsiaTheme="minorEastAsia"/>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762" w:type="dxa"/>
            <w:vAlign w:val="center"/>
          </w:tcPr>
          <w:p>
            <w:pPr>
              <w:pStyle w:val="246"/>
              <w:rPr>
                <w:rFonts w:eastAsiaTheme="minorEastAsia"/>
                <w:color w:val="auto"/>
              </w:rPr>
            </w:pPr>
            <w:r>
              <w:rPr>
                <w:rFonts w:eastAsiaTheme="minorEastAsia"/>
                <w:color w:val="auto"/>
              </w:rPr>
              <w:t>3</w:t>
            </w:r>
          </w:p>
        </w:tc>
        <w:tc>
          <w:tcPr>
            <w:tcW w:w="1747" w:type="dxa"/>
            <w:vAlign w:val="center"/>
          </w:tcPr>
          <w:p>
            <w:pPr>
              <w:pStyle w:val="246"/>
              <w:rPr>
                <w:rFonts w:eastAsiaTheme="minorEastAsia"/>
                <w:color w:val="auto"/>
              </w:rPr>
            </w:pPr>
            <w:r>
              <w:rPr>
                <w:rFonts w:eastAsiaTheme="minorEastAsia"/>
                <w:color w:val="auto"/>
              </w:rPr>
              <w:t>氨氮</w:t>
            </w:r>
          </w:p>
        </w:tc>
        <w:tc>
          <w:tcPr>
            <w:tcW w:w="1694" w:type="dxa"/>
            <w:vAlign w:val="center"/>
          </w:tcPr>
          <w:p>
            <w:pPr>
              <w:pStyle w:val="246"/>
              <w:rPr>
                <w:rFonts w:eastAsiaTheme="minorEastAsia"/>
                <w:color w:val="auto"/>
              </w:rPr>
            </w:pPr>
            <w:r>
              <w:rPr>
                <w:rFonts w:eastAsiaTheme="minorEastAsia"/>
                <w:color w:val="auto"/>
              </w:rPr>
              <w:t>≤1.5</w:t>
            </w:r>
          </w:p>
        </w:tc>
        <w:tc>
          <w:tcPr>
            <w:tcW w:w="4319" w:type="dxa"/>
            <w:vMerge w:val="continue"/>
            <w:vAlign w:val="center"/>
          </w:tcPr>
          <w:p>
            <w:pPr>
              <w:pStyle w:val="246"/>
              <w:rPr>
                <w:rFonts w:eastAsiaTheme="minorEastAsia"/>
                <w:color w:val="auto"/>
              </w:rPr>
            </w:pPr>
          </w:p>
        </w:tc>
      </w:tr>
    </w:tbl>
    <w:p>
      <w:pPr>
        <w:pStyle w:val="240"/>
        <w:rPr>
          <w:rFonts w:ascii="Times New Roman" w:hAnsi="Times New Roman" w:cs="Times New Roman" w:eastAsiaTheme="minorEastAsia"/>
          <w:color w:val="auto"/>
        </w:rPr>
      </w:pPr>
      <w:bookmarkStart w:id="71" w:name="_Toc440973034"/>
      <w:bookmarkStart w:id="72" w:name="_Toc440973670"/>
      <w:bookmarkStart w:id="73" w:name="_Toc440973404"/>
      <w:r>
        <w:rPr>
          <w:rFonts w:ascii="Times New Roman" w:hAnsi="Times New Roman" w:cs="Times New Roman" w:eastAsiaTheme="minorEastAsia"/>
          <w:color w:val="auto"/>
        </w:rPr>
        <w:t>2.3.3污染物排放标准</w:t>
      </w:r>
      <w:bookmarkEnd w:id="71"/>
      <w:bookmarkEnd w:id="72"/>
      <w:bookmarkEnd w:id="73"/>
    </w:p>
    <w:p>
      <w:pPr>
        <w:pStyle w:val="276"/>
        <w:rPr>
          <w:rFonts w:eastAsiaTheme="minorEastAsia"/>
          <w:color w:val="auto"/>
        </w:rPr>
      </w:pPr>
      <w:r>
        <w:rPr>
          <w:rFonts w:eastAsiaTheme="minorEastAsia"/>
          <w:color w:val="auto"/>
        </w:rPr>
        <w:t>（1）废气</w:t>
      </w:r>
    </w:p>
    <w:p>
      <w:pPr>
        <w:pStyle w:val="276"/>
        <w:rPr>
          <w:rFonts w:eastAsiaTheme="minorEastAsia"/>
          <w:color w:val="auto"/>
        </w:rPr>
      </w:pPr>
      <w:r>
        <w:rPr>
          <w:rFonts w:eastAsiaTheme="minorEastAsia"/>
          <w:color w:val="auto"/>
        </w:rPr>
        <w:t>本项目废气主要为颗粒物，执行《大气污染物综合排放标准》（GB16297- 1996）表2中的标准，详见表2-3-4。</w:t>
      </w:r>
    </w:p>
    <w:p>
      <w:pPr>
        <w:pStyle w:val="244"/>
        <w:rPr>
          <w:rFonts w:eastAsiaTheme="minorEastAsia"/>
          <w:color w:val="auto"/>
        </w:rPr>
      </w:pPr>
      <w:r>
        <w:rPr>
          <w:rFonts w:eastAsiaTheme="minorEastAsia"/>
          <w:color w:val="auto"/>
        </w:rPr>
        <w:t>表2-3-4  大气污染物综合排放标准</w:t>
      </w:r>
    </w:p>
    <w:tbl>
      <w:tblPr>
        <w:tblStyle w:val="53"/>
        <w:tblW w:w="8306"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60" w:type="dxa"/>
          <w:bottom w:w="0" w:type="dxa"/>
          <w:right w:w="60" w:type="dxa"/>
        </w:tblCellMar>
      </w:tblPr>
      <w:tblGrid>
        <w:gridCol w:w="684"/>
        <w:gridCol w:w="1890"/>
        <w:gridCol w:w="1679"/>
        <w:gridCol w:w="978"/>
        <w:gridCol w:w="1817"/>
        <w:gridCol w:w="125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60" w:type="dxa"/>
            <w:bottom w:w="0" w:type="dxa"/>
            <w:right w:w="60" w:type="dxa"/>
          </w:tblCellMar>
        </w:tblPrEx>
        <w:trPr>
          <w:cantSplit/>
          <w:trHeight w:val="397" w:hRule="atLeast"/>
          <w:jc w:val="center"/>
        </w:trPr>
        <w:tc>
          <w:tcPr>
            <w:tcW w:w="684" w:type="dxa"/>
            <w:vMerge w:val="restart"/>
            <w:vAlign w:val="center"/>
          </w:tcPr>
          <w:p>
            <w:pPr>
              <w:pStyle w:val="246"/>
              <w:rPr>
                <w:rFonts w:eastAsiaTheme="minorEastAsia"/>
                <w:color w:val="auto"/>
              </w:rPr>
            </w:pPr>
            <w:r>
              <w:rPr>
                <w:rFonts w:eastAsiaTheme="minorEastAsia"/>
                <w:color w:val="auto"/>
              </w:rPr>
              <w:t>污染物</w:t>
            </w:r>
          </w:p>
        </w:tc>
        <w:tc>
          <w:tcPr>
            <w:tcW w:w="1890" w:type="dxa"/>
            <w:vMerge w:val="restart"/>
          </w:tcPr>
          <w:p>
            <w:pPr>
              <w:pStyle w:val="246"/>
              <w:rPr>
                <w:rFonts w:eastAsiaTheme="minorEastAsia"/>
                <w:color w:val="auto"/>
              </w:rPr>
            </w:pPr>
            <w:r>
              <w:rPr>
                <w:rFonts w:eastAsiaTheme="minorEastAsia"/>
                <w:color w:val="auto"/>
              </w:rPr>
              <w:t>最高允许排放浓度(mg/m</w:t>
            </w:r>
            <w:r>
              <w:rPr>
                <w:rFonts w:eastAsiaTheme="minorEastAsia"/>
                <w:color w:val="auto"/>
                <w:vertAlign w:val="superscript"/>
              </w:rPr>
              <w:t>3</w:t>
            </w:r>
            <w:r>
              <w:rPr>
                <w:rFonts w:eastAsiaTheme="minorEastAsia"/>
                <w:color w:val="auto"/>
              </w:rPr>
              <w:t xml:space="preserve"> )</w:t>
            </w:r>
          </w:p>
        </w:tc>
        <w:tc>
          <w:tcPr>
            <w:tcW w:w="2657" w:type="dxa"/>
            <w:gridSpan w:val="2"/>
          </w:tcPr>
          <w:p>
            <w:pPr>
              <w:pStyle w:val="246"/>
              <w:rPr>
                <w:rFonts w:eastAsiaTheme="minorEastAsia"/>
                <w:color w:val="auto"/>
              </w:rPr>
            </w:pPr>
            <w:r>
              <w:rPr>
                <w:rFonts w:eastAsiaTheme="minorEastAsia"/>
                <w:color w:val="auto"/>
              </w:rPr>
              <w:t>最高允许排放速率（kg/h）</w:t>
            </w:r>
          </w:p>
        </w:tc>
        <w:tc>
          <w:tcPr>
            <w:tcW w:w="3075" w:type="dxa"/>
            <w:gridSpan w:val="2"/>
            <w:vAlign w:val="center"/>
          </w:tcPr>
          <w:p>
            <w:pPr>
              <w:pStyle w:val="246"/>
              <w:rPr>
                <w:rFonts w:eastAsiaTheme="minorEastAsia"/>
                <w:color w:val="auto"/>
              </w:rPr>
            </w:pPr>
            <w:r>
              <w:rPr>
                <w:rFonts w:eastAsiaTheme="minorEastAsia"/>
                <w:color w:val="auto"/>
              </w:rPr>
              <w:t>无组织排放监控浓度限值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60" w:type="dxa"/>
            <w:bottom w:w="0" w:type="dxa"/>
            <w:right w:w="60" w:type="dxa"/>
          </w:tblCellMar>
        </w:tblPrEx>
        <w:trPr>
          <w:cantSplit/>
          <w:trHeight w:val="397" w:hRule="atLeast"/>
          <w:jc w:val="center"/>
        </w:trPr>
        <w:tc>
          <w:tcPr>
            <w:tcW w:w="684" w:type="dxa"/>
            <w:vMerge w:val="continue"/>
            <w:vAlign w:val="center"/>
          </w:tcPr>
          <w:p>
            <w:pPr>
              <w:pStyle w:val="246"/>
              <w:rPr>
                <w:rFonts w:eastAsiaTheme="minorEastAsia"/>
                <w:color w:val="auto"/>
              </w:rPr>
            </w:pPr>
          </w:p>
        </w:tc>
        <w:tc>
          <w:tcPr>
            <w:tcW w:w="1890" w:type="dxa"/>
            <w:vMerge w:val="continue"/>
          </w:tcPr>
          <w:p>
            <w:pPr>
              <w:pStyle w:val="246"/>
              <w:rPr>
                <w:rFonts w:eastAsiaTheme="minorEastAsia"/>
                <w:color w:val="auto"/>
              </w:rPr>
            </w:pPr>
          </w:p>
        </w:tc>
        <w:tc>
          <w:tcPr>
            <w:tcW w:w="1679" w:type="dxa"/>
          </w:tcPr>
          <w:p>
            <w:pPr>
              <w:pStyle w:val="246"/>
              <w:rPr>
                <w:rFonts w:eastAsiaTheme="minorEastAsia"/>
                <w:color w:val="auto"/>
              </w:rPr>
            </w:pPr>
            <w:r>
              <w:rPr>
                <w:rFonts w:eastAsiaTheme="minorEastAsia"/>
                <w:color w:val="auto"/>
              </w:rPr>
              <w:t>排气筒高度（m）</w:t>
            </w:r>
          </w:p>
        </w:tc>
        <w:tc>
          <w:tcPr>
            <w:tcW w:w="978" w:type="dxa"/>
          </w:tcPr>
          <w:p>
            <w:pPr>
              <w:pStyle w:val="246"/>
              <w:rPr>
                <w:rFonts w:eastAsiaTheme="minorEastAsia"/>
                <w:color w:val="auto"/>
              </w:rPr>
            </w:pPr>
            <w:r>
              <w:rPr>
                <w:rFonts w:eastAsiaTheme="minorEastAsia"/>
                <w:color w:val="auto"/>
              </w:rPr>
              <w:t>二级</w:t>
            </w:r>
          </w:p>
        </w:tc>
        <w:tc>
          <w:tcPr>
            <w:tcW w:w="1817" w:type="dxa"/>
            <w:vAlign w:val="center"/>
          </w:tcPr>
          <w:p>
            <w:pPr>
              <w:pStyle w:val="246"/>
              <w:rPr>
                <w:rFonts w:eastAsiaTheme="minorEastAsia"/>
                <w:color w:val="auto"/>
              </w:rPr>
            </w:pPr>
            <w:r>
              <w:rPr>
                <w:rFonts w:eastAsiaTheme="minorEastAsia"/>
                <w:color w:val="auto"/>
              </w:rPr>
              <w:t>监控点</w:t>
            </w:r>
          </w:p>
        </w:tc>
        <w:tc>
          <w:tcPr>
            <w:tcW w:w="1258" w:type="dxa"/>
            <w:vAlign w:val="center"/>
          </w:tcPr>
          <w:p>
            <w:pPr>
              <w:pStyle w:val="246"/>
              <w:rPr>
                <w:rFonts w:eastAsiaTheme="minorEastAsia"/>
                <w:color w:val="auto"/>
              </w:rPr>
            </w:pPr>
            <w:r>
              <w:rPr>
                <w:rFonts w:eastAsiaTheme="minorEastAsia"/>
                <w:color w:val="auto"/>
              </w:rPr>
              <w:t>浓度(mg/m</w:t>
            </w:r>
            <w:r>
              <w:rPr>
                <w:rFonts w:eastAsiaTheme="minorEastAsia"/>
                <w:color w:val="auto"/>
                <w:vertAlign w:val="superscript"/>
              </w:rPr>
              <w:t>3</w:t>
            </w:r>
            <w:r>
              <w:rPr>
                <w:rFonts w:eastAsiaTheme="minorEastAsia"/>
                <w:color w:val="auto"/>
              </w:rPr>
              <w:t xml:space="preserve">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60" w:type="dxa"/>
            <w:bottom w:w="0" w:type="dxa"/>
            <w:right w:w="60" w:type="dxa"/>
          </w:tblCellMar>
        </w:tblPrEx>
        <w:trPr>
          <w:cantSplit/>
          <w:trHeight w:val="397" w:hRule="atLeast"/>
          <w:jc w:val="center"/>
        </w:trPr>
        <w:tc>
          <w:tcPr>
            <w:tcW w:w="684" w:type="dxa"/>
            <w:vAlign w:val="center"/>
          </w:tcPr>
          <w:p>
            <w:pPr>
              <w:pStyle w:val="246"/>
              <w:rPr>
                <w:rFonts w:eastAsiaTheme="minorEastAsia"/>
                <w:color w:val="auto"/>
              </w:rPr>
            </w:pPr>
            <w:r>
              <w:rPr>
                <w:rFonts w:eastAsiaTheme="minorEastAsia"/>
                <w:color w:val="auto"/>
              </w:rPr>
              <w:t>颗粒物</w:t>
            </w:r>
          </w:p>
        </w:tc>
        <w:tc>
          <w:tcPr>
            <w:tcW w:w="1890" w:type="dxa"/>
          </w:tcPr>
          <w:p>
            <w:pPr>
              <w:pStyle w:val="246"/>
              <w:rPr>
                <w:rFonts w:eastAsiaTheme="minorEastAsia"/>
                <w:color w:val="auto"/>
              </w:rPr>
            </w:pPr>
            <w:r>
              <w:rPr>
                <w:rFonts w:eastAsiaTheme="minorEastAsia"/>
                <w:color w:val="auto"/>
              </w:rPr>
              <w:t>120</w:t>
            </w:r>
          </w:p>
        </w:tc>
        <w:tc>
          <w:tcPr>
            <w:tcW w:w="1679" w:type="dxa"/>
          </w:tcPr>
          <w:p>
            <w:pPr>
              <w:pStyle w:val="246"/>
              <w:rPr>
                <w:rFonts w:eastAsiaTheme="minorEastAsia"/>
                <w:color w:val="auto"/>
              </w:rPr>
            </w:pPr>
            <w:r>
              <w:rPr>
                <w:rFonts w:eastAsiaTheme="minorEastAsia"/>
                <w:color w:val="auto"/>
              </w:rPr>
              <w:t>15</w:t>
            </w:r>
          </w:p>
        </w:tc>
        <w:tc>
          <w:tcPr>
            <w:tcW w:w="978" w:type="dxa"/>
          </w:tcPr>
          <w:p>
            <w:pPr>
              <w:pStyle w:val="246"/>
              <w:rPr>
                <w:rFonts w:eastAsiaTheme="minorEastAsia"/>
                <w:color w:val="auto"/>
              </w:rPr>
            </w:pPr>
            <w:r>
              <w:rPr>
                <w:rFonts w:eastAsiaTheme="minorEastAsia"/>
                <w:color w:val="auto"/>
              </w:rPr>
              <w:t>3.5</w:t>
            </w:r>
          </w:p>
        </w:tc>
        <w:tc>
          <w:tcPr>
            <w:tcW w:w="1817" w:type="dxa"/>
            <w:vAlign w:val="center"/>
          </w:tcPr>
          <w:p>
            <w:pPr>
              <w:pStyle w:val="246"/>
              <w:rPr>
                <w:rFonts w:eastAsiaTheme="minorEastAsia"/>
                <w:color w:val="auto"/>
              </w:rPr>
            </w:pPr>
            <w:r>
              <w:rPr>
                <w:rFonts w:eastAsiaTheme="minorEastAsia"/>
                <w:color w:val="auto"/>
              </w:rPr>
              <w:t>周界外浓度最高点</w:t>
            </w:r>
          </w:p>
        </w:tc>
        <w:tc>
          <w:tcPr>
            <w:tcW w:w="1258" w:type="dxa"/>
            <w:vAlign w:val="center"/>
          </w:tcPr>
          <w:p>
            <w:pPr>
              <w:pStyle w:val="246"/>
              <w:rPr>
                <w:rFonts w:eastAsiaTheme="minorEastAsia"/>
                <w:color w:val="auto"/>
              </w:rPr>
            </w:pPr>
            <w:r>
              <w:rPr>
                <w:rFonts w:eastAsiaTheme="minorEastAsia"/>
                <w:color w:val="auto"/>
              </w:rPr>
              <w:t>1.0</w:t>
            </w:r>
          </w:p>
        </w:tc>
      </w:tr>
    </w:tbl>
    <w:p>
      <w:pPr>
        <w:pStyle w:val="276"/>
        <w:rPr>
          <w:rFonts w:eastAsiaTheme="minorEastAsia"/>
          <w:color w:val="auto"/>
        </w:rPr>
      </w:pPr>
      <w:r>
        <w:rPr>
          <w:rFonts w:eastAsiaTheme="minorEastAsia"/>
          <w:color w:val="auto"/>
        </w:rPr>
        <w:t>（2）噪声</w:t>
      </w:r>
      <w:r>
        <w:rPr>
          <w:rFonts w:eastAsiaTheme="minorEastAsia"/>
          <w:color w:val="auto"/>
        </w:rPr>
        <w:tab/>
      </w:r>
    </w:p>
    <w:p>
      <w:pPr>
        <w:pStyle w:val="276"/>
        <w:rPr>
          <w:rFonts w:eastAsiaTheme="minorEastAsia"/>
          <w:color w:val="auto"/>
        </w:rPr>
      </w:pPr>
      <w:r>
        <w:rPr>
          <w:rFonts w:eastAsiaTheme="minorEastAsia"/>
          <w:color w:val="auto"/>
        </w:rPr>
        <w:t>施工期的噪声执行《建筑施工场界环境噪声排放标准》（GB12523-2011）标准；运行期噪声执行《工业企业厂界环境噪声排放标准》（GB12348-2008）表1中的2类标准。详见表2-3-5。</w:t>
      </w:r>
    </w:p>
    <w:p>
      <w:pPr>
        <w:pStyle w:val="244"/>
        <w:rPr>
          <w:rFonts w:eastAsiaTheme="minorEastAsia"/>
          <w:color w:val="auto"/>
          <w:szCs w:val="21"/>
        </w:rPr>
      </w:pPr>
      <w:bookmarkStart w:id="74" w:name="OLE_LINK1"/>
      <w:r>
        <w:rPr>
          <w:rFonts w:eastAsiaTheme="minorEastAsia"/>
          <w:color w:val="auto"/>
        </w:rPr>
        <w:t xml:space="preserve">表2-3-5  噪声排放标准     </w:t>
      </w:r>
      <w:r>
        <w:rPr>
          <w:rFonts w:eastAsiaTheme="minorEastAsia"/>
          <w:color w:val="auto"/>
          <w:szCs w:val="21"/>
        </w:rPr>
        <w:t>单位：dB(A)</w:t>
      </w:r>
    </w:p>
    <w:bookmarkEnd w:id="74"/>
    <w:tbl>
      <w:tblPr>
        <w:tblStyle w:val="53"/>
        <w:tblW w:w="8306" w:type="dxa"/>
        <w:jc w:val="center"/>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2043"/>
        <w:gridCol w:w="1103"/>
        <w:gridCol w:w="829"/>
        <w:gridCol w:w="834"/>
        <w:gridCol w:w="3497"/>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jc w:val="center"/>
        </w:trPr>
        <w:tc>
          <w:tcPr>
            <w:tcW w:w="2043" w:type="dxa"/>
            <w:tcBorders>
              <w:top w:val="single" w:color="auto" w:sz="12" w:space="0"/>
              <w:left w:val="nil"/>
              <w:bottom w:val="single" w:color="auto" w:sz="6" w:space="0"/>
            </w:tcBorders>
            <w:vAlign w:val="center"/>
          </w:tcPr>
          <w:p>
            <w:pPr>
              <w:pStyle w:val="246"/>
              <w:rPr>
                <w:rFonts w:eastAsiaTheme="minorEastAsia"/>
                <w:color w:val="auto"/>
              </w:rPr>
            </w:pPr>
            <w:r>
              <w:rPr>
                <w:rFonts w:eastAsiaTheme="minorEastAsia"/>
                <w:color w:val="auto"/>
              </w:rPr>
              <w:t>声环境功能区</w:t>
            </w:r>
          </w:p>
        </w:tc>
        <w:tc>
          <w:tcPr>
            <w:tcW w:w="1103" w:type="dxa"/>
            <w:tcBorders>
              <w:top w:val="single" w:color="auto" w:sz="12" w:space="0"/>
              <w:bottom w:val="single" w:color="auto" w:sz="6" w:space="0"/>
            </w:tcBorders>
            <w:vAlign w:val="center"/>
          </w:tcPr>
          <w:p>
            <w:pPr>
              <w:pStyle w:val="246"/>
              <w:rPr>
                <w:rFonts w:eastAsiaTheme="minorEastAsia"/>
                <w:color w:val="auto"/>
              </w:rPr>
            </w:pPr>
            <w:r>
              <w:rPr>
                <w:rFonts w:eastAsiaTheme="minorEastAsia"/>
                <w:color w:val="auto"/>
              </w:rPr>
              <w:t>评价时段</w:t>
            </w:r>
          </w:p>
        </w:tc>
        <w:tc>
          <w:tcPr>
            <w:tcW w:w="829" w:type="dxa"/>
            <w:tcBorders>
              <w:top w:val="single" w:color="auto" w:sz="12" w:space="0"/>
              <w:bottom w:val="single" w:color="auto" w:sz="6" w:space="0"/>
            </w:tcBorders>
            <w:vAlign w:val="center"/>
          </w:tcPr>
          <w:p>
            <w:pPr>
              <w:pStyle w:val="246"/>
              <w:rPr>
                <w:rFonts w:eastAsiaTheme="minorEastAsia"/>
                <w:color w:val="auto"/>
              </w:rPr>
            </w:pPr>
            <w:r>
              <w:rPr>
                <w:rFonts w:eastAsiaTheme="minorEastAsia"/>
                <w:color w:val="auto"/>
              </w:rPr>
              <w:t>昼间</w:t>
            </w:r>
          </w:p>
        </w:tc>
        <w:tc>
          <w:tcPr>
            <w:tcW w:w="834" w:type="dxa"/>
            <w:tcBorders>
              <w:top w:val="single" w:color="auto" w:sz="12" w:space="0"/>
              <w:bottom w:val="single" w:color="auto" w:sz="6" w:space="0"/>
              <w:right w:val="nil"/>
            </w:tcBorders>
            <w:vAlign w:val="center"/>
          </w:tcPr>
          <w:p>
            <w:pPr>
              <w:pStyle w:val="246"/>
              <w:rPr>
                <w:rFonts w:eastAsiaTheme="minorEastAsia"/>
                <w:color w:val="auto"/>
              </w:rPr>
            </w:pPr>
            <w:r>
              <w:rPr>
                <w:rFonts w:eastAsiaTheme="minorEastAsia"/>
                <w:color w:val="auto"/>
              </w:rPr>
              <w:t>夜间</w:t>
            </w:r>
          </w:p>
        </w:tc>
        <w:tc>
          <w:tcPr>
            <w:tcW w:w="3497" w:type="dxa"/>
            <w:tcBorders>
              <w:top w:val="single" w:color="auto" w:sz="12" w:space="0"/>
              <w:bottom w:val="single" w:color="auto" w:sz="6" w:space="0"/>
              <w:right w:val="nil"/>
            </w:tcBorders>
            <w:vAlign w:val="center"/>
          </w:tcPr>
          <w:p>
            <w:pPr>
              <w:pStyle w:val="246"/>
              <w:rPr>
                <w:rFonts w:eastAsiaTheme="minorEastAsia"/>
                <w:color w:val="auto"/>
              </w:rPr>
            </w:pPr>
            <w:r>
              <w:rPr>
                <w:rFonts w:eastAsiaTheme="minorEastAsia"/>
                <w:color w:val="auto"/>
              </w:rPr>
              <w:t>标准来源</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jc w:val="center"/>
        </w:trPr>
        <w:tc>
          <w:tcPr>
            <w:tcW w:w="2043" w:type="dxa"/>
            <w:vMerge w:val="restart"/>
            <w:tcBorders>
              <w:top w:val="single" w:color="auto" w:sz="4" w:space="0"/>
              <w:left w:val="nil"/>
            </w:tcBorders>
            <w:vAlign w:val="center"/>
          </w:tcPr>
          <w:p>
            <w:pPr>
              <w:pStyle w:val="246"/>
              <w:rPr>
                <w:rFonts w:eastAsiaTheme="minorEastAsia"/>
                <w:color w:val="auto"/>
              </w:rPr>
            </w:pPr>
            <w:r>
              <w:rPr>
                <w:rFonts w:eastAsiaTheme="minorEastAsia"/>
                <w:color w:val="auto"/>
              </w:rPr>
              <w:t>《声环境质量标准》(GB3096-2008)</w:t>
            </w:r>
          </w:p>
          <w:p>
            <w:pPr>
              <w:pStyle w:val="246"/>
              <w:rPr>
                <w:rFonts w:eastAsiaTheme="minorEastAsia"/>
                <w:color w:val="auto"/>
              </w:rPr>
            </w:pPr>
            <w:r>
              <w:rPr>
                <w:rFonts w:eastAsiaTheme="minorEastAsia"/>
                <w:color w:val="auto"/>
              </w:rPr>
              <w:t>2类</w:t>
            </w:r>
          </w:p>
        </w:tc>
        <w:tc>
          <w:tcPr>
            <w:tcW w:w="1103" w:type="dxa"/>
            <w:tcBorders>
              <w:top w:val="single" w:color="auto" w:sz="4" w:space="0"/>
              <w:bottom w:val="single" w:color="auto" w:sz="6" w:space="0"/>
            </w:tcBorders>
            <w:vAlign w:val="center"/>
          </w:tcPr>
          <w:p>
            <w:pPr>
              <w:pStyle w:val="246"/>
              <w:rPr>
                <w:rFonts w:eastAsiaTheme="minorEastAsia"/>
                <w:color w:val="auto"/>
              </w:rPr>
            </w:pPr>
            <w:r>
              <w:rPr>
                <w:rFonts w:eastAsiaTheme="minorEastAsia"/>
                <w:color w:val="auto"/>
              </w:rPr>
              <w:t>施工期</w:t>
            </w:r>
          </w:p>
        </w:tc>
        <w:tc>
          <w:tcPr>
            <w:tcW w:w="829" w:type="dxa"/>
            <w:tcBorders>
              <w:top w:val="single" w:color="auto" w:sz="4" w:space="0"/>
              <w:bottom w:val="single" w:color="auto" w:sz="6" w:space="0"/>
            </w:tcBorders>
            <w:vAlign w:val="center"/>
          </w:tcPr>
          <w:p>
            <w:pPr>
              <w:pStyle w:val="246"/>
              <w:rPr>
                <w:rFonts w:eastAsiaTheme="minorEastAsia"/>
                <w:color w:val="auto"/>
              </w:rPr>
            </w:pPr>
            <w:r>
              <w:rPr>
                <w:rFonts w:eastAsiaTheme="minorEastAsia"/>
                <w:color w:val="auto"/>
              </w:rPr>
              <w:t>70</w:t>
            </w:r>
          </w:p>
        </w:tc>
        <w:tc>
          <w:tcPr>
            <w:tcW w:w="834" w:type="dxa"/>
            <w:tcBorders>
              <w:top w:val="single" w:color="auto" w:sz="4" w:space="0"/>
              <w:bottom w:val="single" w:color="auto" w:sz="6" w:space="0"/>
              <w:right w:val="nil"/>
            </w:tcBorders>
            <w:vAlign w:val="center"/>
          </w:tcPr>
          <w:p>
            <w:pPr>
              <w:pStyle w:val="246"/>
              <w:rPr>
                <w:rFonts w:eastAsiaTheme="minorEastAsia"/>
                <w:color w:val="auto"/>
              </w:rPr>
            </w:pPr>
            <w:r>
              <w:rPr>
                <w:rFonts w:eastAsiaTheme="minorEastAsia"/>
                <w:color w:val="auto"/>
              </w:rPr>
              <w:t>55</w:t>
            </w:r>
          </w:p>
        </w:tc>
        <w:tc>
          <w:tcPr>
            <w:tcW w:w="3497" w:type="dxa"/>
            <w:tcBorders>
              <w:top w:val="single" w:color="auto" w:sz="4" w:space="0"/>
              <w:bottom w:val="single" w:color="auto" w:sz="6" w:space="0"/>
              <w:right w:val="nil"/>
            </w:tcBorders>
            <w:vAlign w:val="center"/>
          </w:tcPr>
          <w:p>
            <w:pPr>
              <w:pStyle w:val="246"/>
              <w:rPr>
                <w:rFonts w:eastAsiaTheme="minorEastAsia"/>
                <w:color w:val="auto"/>
              </w:rPr>
            </w:pPr>
            <w:r>
              <w:rPr>
                <w:rFonts w:eastAsiaTheme="minorEastAsia"/>
                <w:color w:val="auto"/>
              </w:rPr>
              <w:t>《建筑施工场界环境噪声排放标准》（GB12523-2011）标准</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jc w:val="center"/>
        </w:trPr>
        <w:tc>
          <w:tcPr>
            <w:tcW w:w="2043" w:type="dxa"/>
            <w:vMerge w:val="continue"/>
            <w:tcBorders>
              <w:left w:val="nil"/>
              <w:bottom w:val="single" w:color="auto" w:sz="12" w:space="0"/>
            </w:tcBorders>
            <w:vAlign w:val="center"/>
          </w:tcPr>
          <w:p>
            <w:pPr>
              <w:pStyle w:val="246"/>
              <w:rPr>
                <w:rFonts w:eastAsiaTheme="minorEastAsia"/>
                <w:color w:val="auto"/>
              </w:rPr>
            </w:pPr>
          </w:p>
        </w:tc>
        <w:tc>
          <w:tcPr>
            <w:tcW w:w="1103" w:type="dxa"/>
            <w:tcBorders>
              <w:top w:val="single" w:color="auto" w:sz="6" w:space="0"/>
              <w:bottom w:val="single" w:color="auto" w:sz="12" w:space="0"/>
            </w:tcBorders>
            <w:vAlign w:val="center"/>
          </w:tcPr>
          <w:p>
            <w:pPr>
              <w:pStyle w:val="246"/>
              <w:rPr>
                <w:rFonts w:eastAsiaTheme="minorEastAsia"/>
                <w:color w:val="auto"/>
              </w:rPr>
            </w:pPr>
            <w:r>
              <w:rPr>
                <w:rFonts w:eastAsiaTheme="minorEastAsia"/>
                <w:color w:val="auto"/>
              </w:rPr>
              <w:t>营运期</w:t>
            </w:r>
          </w:p>
        </w:tc>
        <w:tc>
          <w:tcPr>
            <w:tcW w:w="829" w:type="dxa"/>
            <w:tcBorders>
              <w:top w:val="single" w:color="auto" w:sz="6" w:space="0"/>
              <w:bottom w:val="single" w:color="auto" w:sz="12" w:space="0"/>
            </w:tcBorders>
            <w:vAlign w:val="center"/>
          </w:tcPr>
          <w:p>
            <w:pPr>
              <w:pStyle w:val="246"/>
              <w:rPr>
                <w:rFonts w:eastAsiaTheme="minorEastAsia"/>
                <w:color w:val="auto"/>
              </w:rPr>
            </w:pPr>
            <w:r>
              <w:rPr>
                <w:rFonts w:eastAsiaTheme="minorEastAsia"/>
                <w:color w:val="auto"/>
              </w:rPr>
              <w:t>60</w:t>
            </w:r>
          </w:p>
        </w:tc>
        <w:tc>
          <w:tcPr>
            <w:tcW w:w="834" w:type="dxa"/>
            <w:tcBorders>
              <w:top w:val="single" w:color="auto" w:sz="6" w:space="0"/>
              <w:bottom w:val="single" w:color="auto" w:sz="12" w:space="0"/>
              <w:right w:val="nil"/>
            </w:tcBorders>
            <w:vAlign w:val="center"/>
          </w:tcPr>
          <w:p>
            <w:pPr>
              <w:pStyle w:val="246"/>
              <w:rPr>
                <w:rFonts w:eastAsiaTheme="minorEastAsia"/>
                <w:color w:val="auto"/>
              </w:rPr>
            </w:pPr>
            <w:r>
              <w:rPr>
                <w:rFonts w:eastAsiaTheme="minorEastAsia"/>
                <w:color w:val="auto"/>
              </w:rPr>
              <w:t>50</w:t>
            </w:r>
          </w:p>
        </w:tc>
        <w:tc>
          <w:tcPr>
            <w:tcW w:w="3497" w:type="dxa"/>
            <w:tcBorders>
              <w:top w:val="single" w:color="auto" w:sz="6" w:space="0"/>
              <w:bottom w:val="single" w:color="auto" w:sz="12" w:space="0"/>
              <w:right w:val="nil"/>
            </w:tcBorders>
            <w:vAlign w:val="center"/>
          </w:tcPr>
          <w:p>
            <w:pPr>
              <w:pStyle w:val="246"/>
              <w:rPr>
                <w:rFonts w:eastAsiaTheme="minorEastAsia"/>
                <w:color w:val="auto"/>
              </w:rPr>
            </w:pPr>
            <w:r>
              <w:rPr>
                <w:rFonts w:eastAsiaTheme="minorEastAsia"/>
                <w:color w:val="auto"/>
              </w:rPr>
              <w:t>《工业企业厂界环境噪声排放标准》（GB12348-2008）2类</w:t>
            </w:r>
          </w:p>
        </w:tc>
      </w:tr>
    </w:tbl>
    <w:p>
      <w:pPr>
        <w:pStyle w:val="276"/>
        <w:rPr>
          <w:rFonts w:eastAsiaTheme="minorEastAsia"/>
          <w:color w:val="auto"/>
        </w:rPr>
      </w:pPr>
      <w:r>
        <w:rPr>
          <w:rFonts w:eastAsiaTheme="minorEastAsia"/>
          <w:color w:val="auto"/>
        </w:rPr>
        <w:t>（3）固体废物</w:t>
      </w:r>
    </w:p>
    <w:p>
      <w:pPr>
        <w:pStyle w:val="276"/>
        <w:rPr>
          <w:rFonts w:eastAsiaTheme="minorEastAsia"/>
          <w:color w:val="auto"/>
        </w:rPr>
      </w:pPr>
      <w:r>
        <w:rPr>
          <w:rFonts w:eastAsiaTheme="minorEastAsia"/>
          <w:color w:val="auto"/>
        </w:rPr>
        <w:t>一般固体废物排放执行《一般固体废物贮存、处置场污染控制标准》（GB18599-2001）相关规定及关于发布《一般工业固体废物贮存、处置场污染控制标准》（GB18599-2001）等3项国家污染物控制标准修改单的公告（环境保护部公告2013年第36号）；废机油属于危险废物（HW08），执行《危险废物贮存污染控制标准》（GB18597-2001）及修改单。</w:t>
      </w:r>
    </w:p>
    <w:p>
      <w:pPr>
        <w:pStyle w:val="238"/>
        <w:rPr>
          <w:rFonts w:hAnsi="Times New Roman" w:eastAsiaTheme="minorEastAsia"/>
          <w:color w:val="auto"/>
        </w:rPr>
      </w:pPr>
      <w:bookmarkStart w:id="75" w:name="_Toc519693562"/>
      <w:bookmarkStart w:id="76" w:name="_Toc360142516"/>
      <w:bookmarkStart w:id="77" w:name="_Toc440973405"/>
      <w:bookmarkStart w:id="78" w:name="_Toc440973671"/>
      <w:bookmarkStart w:id="79" w:name="_Toc359179951"/>
      <w:bookmarkStart w:id="80" w:name="_Toc436406186"/>
      <w:r>
        <w:rPr>
          <w:rFonts w:hAnsi="Times New Roman" w:eastAsiaTheme="minorEastAsia"/>
          <w:color w:val="auto"/>
        </w:rPr>
        <w:t>2.4评价工作等级</w:t>
      </w:r>
      <w:bookmarkEnd w:id="75"/>
      <w:bookmarkEnd w:id="76"/>
      <w:bookmarkEnd w:id="77"/>
      <w:bookmarkEnd w:id="78"/>
      <w:bookmarkEnd w:id="79"/>
      <w:bookmarkEnd w:id="80"/>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2.4.1大气环境</w:t>
      </w:r>
    </w:p>
    <w:p>
      <w:pPr>
        <w:pStyle w:val="276"/>
        <w:rPr>
          <w:rFonts w:eastAsiaTheme="minorEastAsia"/>
          <w:color w:val="auto"/>
        </w:rPr>
      </w:pPr>
      <w:r>
        <w:rPr>
          <w:rFonts w:eastAsiaTheme="minorEastAsia"/>
          <w:color w:val="auto"/>
        </w:rPr>
        <w:t>根据《环境影响评价技术导则  大气环境》（HJ</w:t>
      </w:r>
      <w:r>
        <w:rPr>
          <w:rFonts w:hint="eastAsia" w:eastAsiaTheme="minorEastAsia"/>
          <w:color w:val="auto"/>
          <w:lang w:eastAsia="zh-CN"/>
        </w:rPr>
        <w:t>2.2-2018</w:t>
      </w:r>
      <w:r>
        <w:rPr>
          <w:rFonts w:eastAsiaTheme="minorEastAsia"/>
          <w:color w:val="auto"/>
        </w:rPr>
        <w:t>）中要求</w:t>
      </w:r>
      <w:r>
        <w:rPr>
          <w:rFonts w:hint="eastAsia" w:eastAsiaTheme="minorEastAsia"/>
          <w:color w:val="auto"/>
          <w:lang w:eastAsia="zh-CN"/>
        </w:rPr>
        <w:t>以及项目污染源初步调查结果，分别计算项目排放主要污染物的最大</w:t>
      </w:r>
      <w:r>
        <w:rPr>
          <w:rFonts w:eastAsiaTheme="minorEastAsia"/>
          <w:color w:val="auto"/>
        </w:rPr>
        <w:t>地面</w:t>
      </w:r>
      <w:r>
        <w:rPr>
          <w:rFonts w:hint="eastAsia" w:eastAsiaTheme="minorEastAsia"/>
          <w:color w:val="auto"/>
          <w:lang w:eastAsia="zh-CN"/>
        </w:rPr>
        <w:t>空气</w:t>
      </w:r>
      <w:r>
        <w:rPr>
          <w:rFonts w:eastAsiaTheme="minorEastAsia"/>
          <w:color w:val="auto"/>
        </w:rPr>
        <w:t>质量浓度占标率P</w:t>
      </w:r>
      <w:r>
        <w:rPr>
          <w:rFonts w:eastAsiaTheme="minorEastAsia"/>
          <w:color w:val="auto"/>
          <w:vertAlign w:val="subscript"/>
        </w:rPr>
        <w:t>i</w:t>
      </w:r>
      <w:r>
        <w:rPr>
          <w:rFonts w:eastAsiaTheme="minorEastAsia"/>
          <w:color w:val="auto"/>
        </w:rPr>
        <w:t>及第i个污染物的地面</w:t>
      </w:r>
      <w:r>
        <w:rPr>
          <w:rFonts w:hint="eastAsia" w:eastAsiaTheme="minorEastAsia"/>
          <w:color w:val="auto"/>
          <w:lang w:eastAsia="zh-CN"/>
        </w:rPr>
        <w:t>空气质量达到标准值的</w:t>
      </w:r>
      <w:r>
        <w:rPr>
          <w:rFonts w:eastAsiaTheme="minorEastAsia"/>
          <w:color w:val="auto"/>
        </w:rPr>
        <w:t>10%时所对应的最远距离D</w:t>
      </w:r>
      <w:r>
        <w:rPr>
          <w:rFonts w:eastAsiaTheme="minorEastAsia"/>
          <w:color w:val="auto"/>
          <w:vertAlign w:val="subscript"/>
        </w:rPr>
        <w:t>10%</w:t>
      </w:r>
      <w:r>
        <w:rPr>
          <w:rFonts w:eastAsiaTheme="minorEastAsia"/>
          <w:color w:val="auto"/>
        </w:rPr>
        <w:t>，其中P</w:t>
      </w:r>
      <w:r>
        <w:rPr>
          <w:rFonts w:eastAsiaTheme="minorEastAsia"/>
          <w:color w:val="auto"/>
          <w:vertAlign w:val="subscript"/>
        </w:rPr>
        <w:t>i</w:t>
      </w:r>
      <w:r>
        <w:rPr>
          <w:rFonts w:eastAsiaTheme="minorEastAsia"/>
          <w:color w:val="auto"/>
        </w:rPr>
        <w:t>定义为：</w:t>
      </w:r>
    </w:p>
    <w:p>
      <w:pPr>
        <w:pStyle w:val="276"/>
        <w:jc w:val="center"/>
        <w:rPr>
          <w:rFonts w:eastAsiaTheme="minorEastAsia"/>
          <w:color w:val="auto"/>
        </w:rPr>
      </w:pPr>
      <w:r>
        <w:rPr>
          <w:rFonts w:eastAsiaTheme="minorEastAsia"/>
          <w:color w:val="auto"/>
          <w:position w:val="-10"/>
        </w:rPr>
        <w:object>
          <v:shape id="_x0000_i1025" o:spt="75" type="#_x0000_t75" style="height:21.75pt;width:146.2pt;" o:ole="t" filled="f" o:preferrelative="t" stroked="f" coordsize="21600,21600">
            <v:path/>
            <v:fill on="f" focussize="0,0"/>
            <v:stroke on="f"/>
            <v:imagedata r:id="rId9" o:title=""/>
            <o:lock v:ext="edit" aspectratio="t"/>
            <w10:wrap type="none"/>
            <w10:anchorlock/>
          </v:shape>
          <o:OLEObject Type="Embed" ProgID="Equation.3" ShapeID="_x0000_i1025" DrawAspect="Content" ObjectID="_1468075725" r:id="rId8">
            <o:LockedField>false</o:LockedField>
          </o:OLEObject>
        </w:object>
      </w:r>
    </w:p>
    <w:p>
      <w:pPr>
        <w:pStyle w:val="276"/>
        <w:rPr>
          <w:rFonts w:eastAsiaTheme="minorEastAsia"/>
          <w:color w:val="auto"/>
        </w:rPr>
      </w:pPr>
      <w:r>
        <w:rPr>
          <w:rFonts w:eastAsiaTheme="minorEastAsia"/>
          <w:color w:val="auto"/>
        </w:rPr>
        <w:t>式中：</w:t>
      </w:r>
      <w:r>
        <w:rPr>
          <w:rFonts w:eastAsiaTheme="minorEastAsia"/>
          <w:color w:val="auto"/>
          <w:position w:val="-12"/>
        </w:rPr>
        <w:object>
          <v:shape id="_x0000_i1026" o:spt="75" type="#_x0000_t75" style="height:21.75pt;width:14.25pt;" o:ole="t" filled="f" o:preferrelative="t" stroked="f" coordsize="21600,21600">
            <v:path/>
            <v:fill on="f" focussize="0,0"/>
            <v:stroke on="f" joinstyle="miter"/>
            <v:imagedata r:id="rId11" o:title=""/>
            <o:lock v:ext="edit" aspectratio="t"/>
            <w10:wrap type="none"/>
            <w10:anchorlock/>
          </v:shape>
          <o:OLEObject Type="Embed" ProgID="Equation.3" ShapeID="_x0000_i1026" DrawAspect="Content" ObjectID="_1468075726" r:id="rId10">
            <o:LockedField>false</o:LockedField>
          </o:OLEObject>
        </w:object>
      </w:r>
      <w:r>
        <w:rPr>
          <w:rFonts w:eastAsiaTheme="minorEastAsia"/>
          <w:color w:val="auto"/>
        </w:rPr>
        <w:t>——第</w:t>
      </w:r>
      <w:r>
        <w:rPr>
          <w:rFonts w:eastAsiaTheme="minorEastAsia"/>
          <w:i/>
          <w:color w:val="auto"/>
        </w:rPr>
        <w:t>i</w:t>
      </w:r>
      <w:r>
        <w:rPr>
          <w:rFonts w:eastAsiaTheme="minorEastAsia"/>
          <w:color w:val="auto"/>
        </w:rPr>
        <w:t>个污染物最大地面</w:t>
      </w:r>
      <w:r>
        <w:rPr>
          <w:rFonts w:hint="eastAsia" w:eastAsiaTheme="minorEastAsia"/>
          <w:color w:val="auto"/>
          <w:lang w:eastAsia="zh-CN"/>
        </w:rPr>
        <w:t>空气质量浓度</w:t>
      </w:r>
      <w:r>
        <w:rPr>
          <w:rFonts w:eastAsiaTheme="minorEastAsia"/>
          <w:color w:val="auto"/>
        </w:rPr>
        <w:t>占标率，%；</w:t>
      </w:r>
    </w:p>
    <w:p>
      <w:pPr>
        <w:pStyle w:val="276"/>
        <w:rPr>
          <w:rFonts w:eastAsiaTheme="minorEastAsia"/>
          <w:color w:val="auto"/>
        </w:rPr>
      </w:pPr>
      <w:r>
        <w:rPr>
          <w:rFonts w:eastAsiaTheme="minorEastAsia"/>
          <w:i/>
          <w:color w:val="auto"/>
        </w:rPr>
        <w:t>C</w:t>
      </w:r>
      <w:r>
        <w:rPr>
          <w:rFonts w:eastAsiaTheme="minorEastAsia"/>
          <w:i/>
          <w:color w:val="auto"/>
          <w:vertAlign w:val="subscript"/>
        </w:rPr>
        <w:t>i</w:t>
      </w:r>
      <w:r>
        <w:rPr>
          <w:rFonts w:eastAsiaTheme="minorEastAsia"/>
          <w:color w:val="auto"/>
        </w:rPr>
        <w:t>——采用估算模式计算出的第</w:t>
      </w:r>
      <w:r>
        <w:rPr>
          <w:rFonts w:eastAsiaTheme="minorEastAsia"/>
          <w:i/>
          <w:color w:val="auto"/>
        </w:rPr>
        <w:t>i</w:t>
      </w:r>
      <w:r>
        <w:rPr>
          <w:rFonts w:eastAsiaTheme="minorEastAsia"/>
          <w:color w:val="auto"/>
        </w:rPr>
        <w:t>类污染物</w:t>
      </w:r>
      <w:r>
        <w:rPr>
          <w:rFonts w:hint="eastAsia" w:eastAsiaTheme="minorEastAsia"/>
          <w:color w:val="auto"/>
          <w:lang w:eastAsia="zh-CN"/>
        </w:rPr>
        <w:t>的最大</w:t>
      </w:r>
      <w:r>
        <w:rPr>
          <w:rFonts w:hint="eastAsia" w:eastAsiaTheme="minorEastAsia"/>
          <w:color w:val="auto"/>
          <w:lang w:val="en-US" w:eastAsia="zh-CN"/>
        </w:rPr>
        <w:t>1h地面空气质量</w:t>
      </w:r>
      <w:r>
        <w:rPr>
          <w:rFonts w:eastAsiaTheme="minorEastAsia"/>
          <w:color w:val="auto"/>
        </w:rPr>
        <w:t>浓度，</w:t>
      </w:r>
      <w:r>
        <w:rPr>
          <w:rFonts w:hint="eastAsia" w:eastAsiaTheme="minorEastAsia"/>
          <w:color w:val="auto"/>
          <w:lang w:val="en-US" w:eastAsia="zh-CN"/>
        </w:rPr>
        <w:t>u</w:t>
      </w:r>
      <w:r>
        <w:rPr>
          <w:rFonts w:eastAsiaTheme="minorEastAsia"/>
          <w:color w:val="auto"/>
        </w:rPr>
        <w:t>g/m</w:t>
      </w:r>
      <w:r>
        <w:rPr>
          <w:rFonts w:eastAsiaTheme="minorEastAsia"/>
          <w:color w:val="auto"/>
          <w:vertAlign w:val="superscript"/>
        </w:rPr>
        <w:t>3</w:t>
      </w:r>
      <w:r>
        <w:rPr>
          <w:rFonts w:eastAsiaTheme="minorEastAsia"/>
          <w:color w:val="auto"/>
        </w:rPr>
        <w:t>；</w:t>
      </w:r>
    </w:p>
    <w:p>
      <w:pPr>
        <w:pStyle w:val="276"/>
        <w:rPr>
          <w:rFonts w:eastAsiaTheme="minorEastAsia"/>
          <w:color w:val="auto"/>
        </w:rPr>
      </w:pPr>
      <w:r>
        <w:rPr>
          <w:rFonts w:eastAsiaTheme="minorEastAsia"/>
          <w:color w:val="auto"/>
          <w:position w:val="-12"/>
        </w:rPr>
        <w:object>
          <v:shape id="_x0000_i1027" o:spt="75" type="#_x0000_t75" style="height:21.75pt;width:21.75pt;" o:ole="t" filled="f" o:preferrelative="t" stroked="f" coordsize="21600,21600">
            <v:path/>
            <v:fill on="f" focussize="0,0"/>
            <v:stroke on="f" joinstyle="miter"/>
            <v:imagedata r:id="rId13" o:title=""/>
            <o:lock v:ext="edit" aspectratio="t"/>
            <w10:wrap type="none"/>
            <w10:anchorlock/>
          </v:shape>
          <o:OLEObject Type="Embed" ProgID="Equation.3" ShapeID="_x0000_i1027" DrawAspect="Content" ObjectID="_1468075727" r:id="rId12">
            <o:LockedField>false</o:LockedField>
          </o:OLEObject>
        </w:object>
      </w:r>
      <w:r>
        <w:rPr>
          <w:rFonts w:eastAsiaTheme="minorEastAsia"/>
          <w:color w:val="auto"/>
        </w:rPr>
        <w:t>——第</w:t>
      </w:r>
      <w:r>
        <w:rPr>
          <w:rFonts w:eastAsiaTheme="minorEastAsia"/>
          <w:i/>
          <w:color w:val="auto"/>
        </w:rPr>
        <w:t>i</w:t>
      </w:r>
      <w:r>
        <w:rPr>
          <w:rFonts w:hint="eastAsia" w:eastAsiaTheme="minorEastAsia"/>
          <w:color w:val="auto"/>
          <w:lang w:eastAsia="zh-CN"/>
        </w:rPr>
        <w:t>个</w:t>
      </w:r>
      <w:r>
        <w:rPr>
          <w:rFonts w:eastAsiaTheme="minorEastAsia"/>
          <w:color w:val="auto"/>
        </w:rPr>
        <w:t>污染物环境空气质量</w:t>
      </w:r>
      <w:r>
        <w:rPr>
          <w:rFonts w:hint="eastAsia" w:eastAsiaTheme="minorEastAsia"/>
          <w:color w:val="auto"/>
          <w:lang w:eastAsia="zh-CN"/>
        </w:rPr>
        <w:t>浓度</w:t>
      </w:r>
      <w:r>
        <w:rPr>
          <w:rFonts w:eastAsiaTheme="minorEastAsia"/>
          <w:color w:val="auto"/>
        </w:rPr>
        <w:t>标准，</w:t>
      </w:r>
      <w:r>
        <w:rPr>
          <w:rFonts w:hint="eastAsia" w:eastAsiaTheme="minorEastAsia"/>
          <w:color w:val="auto"/>
          <w:lang w:val="en-US" w:eastAsia="zh-CN"/>
        </w:rPr>
        <w:t>u</w:t>
      </w:r>
      <w:r>
        <w:rPr>
          <w:rFonts w:eastAsiaTheme="minorEastAsia"/>
          <w:color w:val="auto"/>
        </w:rPr>
        <w:t>g/m</w:t>
      </w:r>
      <w:r>
        <w:rPr>
          <w:rFonts w:eastAsiaTheme="minorEastAsia"/>
          <w:color w:val="auto"/>
          <w:vertAlign w:val="superscript"/>
        </w:rPr>
        <w:t>3</w:t>
      </w:r>
      <w:r>
        <w:rPr>
          <w:rFonts w:eastAsiaTheme="minorEastAsia"/>
          <w:color w:val="auto"/>
        </w:rPr>
        <w:t>。</w:t>
      </w:r>
    </w:p>
    <w:p>
      <w:pPr>
        <w:pStyle w:val="276"/>
        <w:rPr>
          <w:rFonts w:eastAsiaTheme="minorEastAsia"/>
          <w:color w:val="auto"/>
        </w:rPr>
      </w:pPr>
      <w:r>
        <w:rPr>
          <w:rFonts w:eastAsiaTheme="minorEastAsia"/>
          <w:color w:val="auto"/>
        </w:rPr>
        <w:t>评价等级判定见表2-4-1。</w:t>
      </w:r>
    </w:p>
    <w:p>
      <w:pPr>
        <w:pStyle w:val="244"/>
        <w:rPr>
          <w:rFonts w:eastAsiaTheme="minorEastAsia"/>
          <w:color w:val="auto"/>
        </w:rPr>
      </w:pPr>
      <w:r>
        <w:rPr>
          <w:rFonts w:eastAsiaTheme="minorEastAsia"/>
          <w:color w:val="auto"/>
        </w:rPr>
        <w:t>表2-4-1   评价工作等级判定</w:t>
      </w:r>
    </w:p>
    <w:tbl>
      <w:tblPr>
        <w:tblStyle w:val="53"/>
        <w:tblW w:w="8420" w:type="dxa"/>
        <w:jc w:val="center"/>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57" w:type="dxa"/>
          <w:bottom w:w="0" w:type="dxa"/>
          <w:right w:w="57" w:type="dxa"/>
        </w:tblCellMar>
      </w:tblPr>
      <w:tblGrid>
        <w:gridCol w:w="1549"/>
        <w:gridCol w:w="6871"/>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57" w:type="dxa"/>
            <w:bottom w:w="0" w:type="dxa"/>
            <w:right w:w="57" w:type="dxa"/>
          </w:tblCellMar>
        </w:tblPrEx>
        <w:trPr>
          <w:trHeight w:val="397" w:hRule="atLeast"/>
          <w:jc w:val="center"/>
        </w:trPr>
        <w:tc>
          <w:tcPr>
            <w:tcW w:w="1549" w:type="dxa"/>
            <w:vAlign w:val="center"/>
          </w:tcPr>
          <w:p>
            <w:pPr>
              <w:pStyle w:val="246"/>
              <w:rPr>
                <w:rFonts w:hint="eastAsia" w:eastAsiaTheme="minorEastAsia"/>
                <w:color w:val="auto"/>
                <w:lang w:val="en-US" w:eastAsia="zh-CN"/>
              </w:rPr>
            </w:pPr>
            <w:r>
              <w:rPr>
                <w:rFonts w:hint="eastAsia" w:eastAsiaTheme="minorEastAsia"/>
                <w:color w:val="auto"/>
                <w:lang w:val="en-US" w:eastAsia="zh-CN"/>
              </w:rPr>
              <w:t>评价工作等级</w:t>
            </w:r>
          </w:p>
        </w:tc>
        <w:tc>
          <w:tcPr>
            <w:tcW w:w="6871" w:type="dxa"/>
            <w:vAlign w:val="center"/>
          </w:tcPr>
          <w:p>
            <w:pPr>
              <w:pStyle w:val="246"/>
              <w:rPr>
                <w:rFonts w:eastAsiaTheme="minorEastAsia"/>
                <w:color w:val="auto"/>
              </w:rPr>
            </w:pPr>
            <w:r>
              <w:rPr>
                <w:rFonts w:eastAsiaTheme="minorEastAsia"/>
                <w:color w:val="auto"/>
              </w:rPr>
              <w:t>评价分级判据</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57" w:type="dxa"/>
            <w:bottom w:w="0" w:type="dxa"/>
            <w:right w:w="57" w:type="dxa"/>
          </w:tblCellMar>
        </w:tblPrEx>
        <w:trPr>
          <w:trHeight w:val="397" w:hRule="atLeast"/>
          <w:jc w:val="center"/>
        </w:trPr>
        <w:tc>
          <w:tcPr>
            <w:tcW w:w="1549" w:type="dxa"/>
            <w:vAlign w:val="center"/>
          </w:tcPr>
          <w:p>
            <w:pPr>
              <w:pStyle w:val="246"/>
              <w:rPr>
                <w:rFonts w:eastAsiaTheme="minorEastAsia"/>
                <w:color w:val="auto"/>
              </w:rPr>
            </w:pPr>
            <w:r>
              <w:rPr>
                <w:rFonts w:eastAsiaTheme="minorEastAsia"/>
                <w:color w:val="auto"/>
              </w:rPr>
              <w:t>一级</w:t>
            </w:r>
          </w:p>
        </w:tc>
        <w:tc>
          <w:tcPr>
            <w:tcW w:w="6871" w:type="dxa"/>
            <w:vAlign w:val="center"/>
          </w:tcPr>
          <w:p>
            <w:pPr>
              <w:pStyle w:val="246"/>
              <w:rPr>
                <w:rFonts w:eastAsiaTheme="minorEastAsia"/>
                <w:color w:val="auto"/>
              </w:rPr>
            </w:pPr>
            <w:r>
              <w:rPr>
                <w:rFonts w:eastAsiaTheme="minorEastAsia"/>
                <w:color w:val="auto"/>
              </w:rPr>
              <w:t>Pmax</w:t>
            </w:r>
            <w:r>
              <w:rPr>
                <w:rFonts w:eastAsiaTheme="minorEastAsia"/>
                <w:color w:val="auto"/>
                <w:spacing w:val="20"/>
              </w:rPr>
              <w:t>≥</w:t>
            </w:r>
            <w:r>
              <w:rPr>
                <w:rFonts w:hint="eastAsia" w:eastAsiaTheme="minorEastAsia"/>
                <w:color w:val="auto"/>
                <w:spacing w:val="20"/>
                <w:lang w:val="en-US" w:eastAsia="zh-CN"/>
              </w:rPr>
              <w:t>1</w:t>
            </w:r>
            <w:r>
              <w:rPr>
                <w:rFonts w:eastAsiaTheme="minorEastAsia"/>
                <w:color w:val="auto"/>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57" w:type="dxa"/>
            <w:bottom w:w="0" w:type="dxa"/>
            <w:right w:w="57" w:type="dxa"/>
          </w:tblCellMar>
        </w:tblPrEx>
        <w:trPr>
          <w:trHeight w:val="397" w:hRule="atLeast"/>
          <w:jc w:val="center"/>
        </w:trPr>
        <w:tc>
          <w:tcPr>
            <w:tcW w:w="1549" w:type="dxa"/>
            <w:vAlign w:val="center"/>
          </w:tcPr>
          <w:p>
            <w:pPr>
              <w:pStyle w:val="246"/>
              <w:rPr>
                <w:rFonts w:eastAsiaTheme="minorEastAsia"/>
                <w:color w:val="auto"/>
              </w:rPr>
            </w:pPr>
            <w:r>
              <w:rPr>
                <w:rFonts w:eastAsiaTheme="minorEastAsia"/>
                <w:color w:val="auto"/>
              </w:rPr>
              <w:t>二级</w:t>
            </w:r>
          </w:p>
        </w:tc>
        <w:tc>
          <w:tcPr>
            <w:tcW w:w="6871" w:type="dxa"/>
            <w:vAlign w:val="center"/>
          </w:tcPr>
          <w:p>
            <w:pPr>
              <w:pStyle w:val="246"/>
              <w:rPr>
                <w:rFonts w:eastAsiaTheme="minorEastAsia"/>
                <w:color w:val="auto"/>
              </w:rPr>
            </w:pPr>
            <w:r>
              <w:rPr>
                <w:rFonts w:hint="eastAsia" w:eastAsiaTheme="minorEastAsia"/>
                <w:color w:val="auto"/>
                <w:lang w:val="en-US" w:eastAsia="zh-CN"/>
              </w:rPr>
              <w:t>1%</w:t>
            </w:r>
            <w:r>
              <w:rPr>
                <w:rFonts w:hint="eastAsia" w:eastAsiaTheme="minorEastAsia"/>
                <w:color w:val="auto"/>
                <w:lang w:eastAsia="zh-CN"/>
              </w:rPr>
              <w:t>≤</w:t>
            </w:r>
            <w:r>
              <w:rPr>
                <w:rFonts w:eastAsiaTheme="minorEastAsia"/>
                <w:color w:val="auto"/>
              </w:rPr>
              <w:t>Pmax＜10%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57" w:type="dxa"/>
            <w:bottom w:w="0" w:type="dxa"/>
            <w:right w:w="57" w:type="dxa"/>
          </w:tblCellMar>
        </w:tblPrEx>
        <w:trPr>
          <w:trHeight w:val="397" w:hRule="atLeast"/>
          <w:jc w:val="center"/>
        </w:trPr>
        <w:tc>
          <w:tcPr>
            <w:tcW w:w="1549" w:type="dxa"/>
            <w:vAlign w:val="center"/>
          </w:tcPr>
          <w:p>
            <w:pPr>
              <w:pStyle w:val="246"/>
              <w:rPr>
                <w:rFonts w:eastAsiaTheme="minorEastAsia"/>
                <w:color w:val="auto"/>
              </w:rPr>
            </w:pPr>
            <w:r>
              <w:rPr>
                <w:rFonts w:eastAsiaTheme="minorEastAsia"/>
                <w:color w:val="auto"/>
              </w:rPr>
              <w:t>三级</w:t>
            </w:r>
          </w:p>
        </w:tc>
        <w:tc>
          <w:tcPr>
            <w:tcW w:w="6871" w:type="dxa"/>
            <w:vAlign w:val="center"/>
          </w:tcPr>
          <w:p>
            <w:pPr>
              <w:pStyle w:val="246"/>
              <w:rPr>
                <w:rFonts w:eastAsiaTheme="minorEastAsia"/>
                <w:color w:val="auto"/>
              </w:rPr>
            </w:pPr>
            <w:r>
              <w:rPr>
                <w:rFonts w:eastAsiaTheme="minorEastAsia"/>
                <w:color w:val="auto"/>
              </w:rPr>
              <w:t>Pmax＜</w:t>
            </w:r>
            <w:r>
              <w:rPr>
                <w:rFonts w:hint="eastAsia" w:eastAsiaTheme="minorEastAsia"/>
                <w:color w:val="auto"/>
                <w:lang w:val="en-US" w:eastAsia="zh-CN"/>
              </w:rPr>
              <w:t>1%</w:t>
            </w:r>
          </w:p>
        </w:tc>
      </w:tr>
    </w:tbl>
    <w:p>
      <w:pPr>
        <w:pStyle w:val="276"/>
        <w:rPr>
          <w:rFonts w:eastAsiaTheme="minorEastAsia"/>
          <w:color w:val="auto"/>
        </w:rPr>
      </w:pPr>
      <w:r>
        <w:rPr>
          <w:rFonts w:eastAsiaTheme="minorEastAsia"/>
          <w:color w:val="auto"/>
        </w:rPr>
        <w:t>本项目为露天开采项目，因此其主要为凿岩钻孔、爆破、破碎筛分、集堆铲装、临时堆土场、运输过程</w:t>
      </w:r>
      <w:r>
        <w:rPr>
          <w:rFonts w:hint="eastAsia" w:eastAsiaTheme="minorEastAsia"/>
          <w:color w:val="auto"/>
          <w:lang w:eastAsia="zh-CN"/>
        </w:rPr>
        <w:t>产生的颗粒物</w:t>
      </w:r>
      <w:r>
        <w:rPr>
          <w:rFonts w:eastAsiaTheme="minorEastAsia"/>
          <w:color w:val="auto"/>
        </w:rPr>
        <w:t>。采用估算模式计算参数见表2-4-2，估算结果见表2-4-3。</w:t>
      </w:r>
    </w:p>
    <w:p>
      <w:pPr>
        <w:pStyle w:val="276"/>
        <w:jc w:val="center"/>
        <w:rPr>
          <w:rFonts w:eastAsiaTheme="minorEastAsia"/>
          <w:color w:val="auto"/>
        </w:rPr>
      </w:pPr>
      <w:r>
        <w:rPr>
          <w:rFonts w:hint="eastAsia" w:ascii="宋体" w:hAnsi="宋体" w:eastAsia="宋体" w:cs="宋体"/>
          <w:i w:val="0"/>
          <w:color w:val="auto"/>
          <w:kern w:val="0"/>
          <w:sz w:val="24"/>
          <w:szCs w:val="24"/>
          <w:u w:val="none"/>
          <w:lang w:val="en-US" w:eastAsia="zh-CN" w:bidi="ar"/>
        </w:rPr>
        <w:t>表C.1 评价因子和评价标准表</w:t>
      </w:r>
    </w:p>
    <w:tbl>
      <w:tblPr>
        <w:tblStyle w:val="53"/>
        <w:tblW w:w="8336" w:type="dxa"/>
        <w:jc w:val="center"/>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fixed"/>
        <w:tblCellMar>
          <w:top w:w="15" w:type="dxa"/>
          <w:left w:w="15" w:type="dxa"/>
          <w:bottom w:w="15" w:type="dxa"/>
          <w:right w:w="15" w:type="dxa"/>
        </w:tblCellMar>
      </w:tblPr>
      <w:tblGrid>
        <w:gridCol w:w="1107"/>
        <w:gridCol w:w="1116"/>
        <w:gridCol w:w="1557"/>
        <w:gridCol w:w="4556"/>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fixed"/>
          <w:tblCellMar>
            <w:top w:w="15" w:type="dxa"/>
            <w:left w:w="15" w:type="dxa"/>
            <w:bottom w:w="15" w:type="dxa"/>
            <w:right w:w="15" w:type="dxa"/>
          </w:tblCellMar>
        </w:tblPrEx>
        <w:trPr>
          <w:trHeight w:val="90" w:hRule="atLeast"/>
          <w:jc w:val="center"/>
        </w:trPr>
        <w:tc>
          <w:tcPr>
            <w:tcW w:w="1107" w:type="dxa"/>
            <w:tcBorders>
              <w:tl2br w:val="nil"/>
              <w:tr2bl w:val="nil"/>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评价因子</w:t>
            </w:r>
          </w:p>
        </w:tc>
        <w:tc>
          <w:tcPr>
            <w:tcW w:w="1116" w:type="dxa"/>
            <w:tcBorders>
              <w:tl2br w:val="nil"/>
              <w:tr2bl w:val="nil"/>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平均时段</w:t>
            </w:r>
          </w:p>
        </w:tc>
        <w:tc>
          <w:tcPr>
            <w:tcW w:w="1557" w:type="dxa"/>
            <w:tcBorders>
              <w:tl2br w:val="nil"/>
              <w:tr2bl w:val="nil"/>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标准值/（μg/m</w:t>
            </w:r>
            <w:r>
              <w:rPr>
                <w:rFonts w:hint="eastAsia" w:asciiTheme="minorEastAsia" w:hAnsiTheme="minorEastAsia" w:eastAsiaTheme="minorEastAsia" w:cstheme="minorEastAsia"/>
                <w:i w:val="0"/>
                <w:color w:val="auto"/>
                <w:kern w:val="0"/>
                <w:sz w:val="21"/>
                <w:szCs w:val="21"/>
                <w:u w:val="none"/>
                <w:vertAlign w:val="superscript"/>
                <w:lang w:val="en-US" w:eastAsia="zh-CN" w:bidi="ar"/>
              </w:rPr>
              <w:t>3</w:t>
            </w:r>
            <w:r>
              <w:rPr>
                <w:rFonts w:hint="eastAsia" w:asciiTheme="minorEastAsia" w:hAnsiTheme="minorEastAsia" w:eastAsiaTheme="minorEastAsia" w:cstheme="minorEastAsia"/>
                <w:i w:val="0"/>
                <w:color w:val="auto"/>
                <w:kern w:val="0"/>
                <w:sz w:val="21"/>
                <w:szCs w:val="21"/>
                <w:u w:val="none"/>
                <w:lang w:val="en-US" w:eastAsia="zh-CN" w:bidi="ar"/>
              </w:rPr>
              <w:t>）</w:t>
            </w:r>
          </w:p>
        </w:tc>
        <w:tc>
          <w:tcPr>
            <w:tcW w:w="4556" w:type="dxa"/>
            <w:tcBorders>
              <w:tl2br w:val="nil"/>
              <w:tr2bl w:val="nil"/>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标准来源</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jc w:val="center"/>
        </w:trPr>
        <w:tc>
          <w:tcPr>
            <w:tcW w:w="1107" w:type="dxa"/>
            <w:tcBorders>
              <w:tl2br w:val="nil"/>
              <w:tr2bl w:val="nil"/>
            </w:tcBorders>
            <w:shd w:val="clear" w:color="auto" w:fill="auto"/>
            <w:vAlign w:val="center"/>
          </w:tcPr>
          <w:p>
            <w:pPr>
              <w:jc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color w:val="auto"/>
                <w:sz w:val="21"/>
                <w:szCs w:val="21"/>
                <w:lang w:val="en-US" w:eastAsia="zh-CN"/>
              </w:rPr>
              <w:t>PM</w:t>
            </w:r>
            <w:r>
              <w:rPr>
                <w:rFonts w:hint="eastAsia" w:asciiTheme="minorEastAsia" w:hAnsiTheme="minorEastAsia" w:eastAsiaTheme="minorEastAsia" w:cstheme="minorEastAsia"/>
                <w:color w:val="auto"/>
                <w:sz w:val="21"/>
                <w:szCs w:val="21"/>
                <w:vertAlign w:val="subscript"/>
                <w:lang w:val="en-US" w:eastAsia="zh-CN"/>
              </w:rPr>
              <w:t>10</w:t>
            </w:r>
          </w:p>
        </w:tc>
        <w:tc>
          <w:tcPr>
            <w:tcW w:w="1116" w:type="dxa"/>
            <w:tcBorders>
              <w:tl2br w:val="nil"/>
              <w:tr2bl w:val="nil"/>
            </w:tcBorders>
            <w:shd w:val="clear" w:color="auto" w:fill="auto"/>
            <w:vAlign w:val="center"/>
          </w:tcPr>
          <w:p>
            <w:pPr>
              <w:jc w:val="center"/>
              <w:rPr>
                <w:rFonts w:hint="eastAsia" w:asciiTheme="minorEastAsia" w:hAnsiTheme="minorEastAsia" w:eastAsiaTheme="minorEastAsia" w:cstheme="minorEastAsia"/>
                <w:i w:val="0"/>
                <w:color w:val="auto"/>
                <w:sz w:val="21"/>
                <w:szCs w:val="21"/>
                <w:u w:val="none"/>
                <w:lang w:eastAsia="zh-CN"/>
              </w:rPr>
            </w:pPr>
            <w:r>
              <w:rPr>
                <w:rFonts w:hint="eastAsia" w:asciiTheme="minorEastAsia" w:hAnsiTheme="minorEastAsia" w:eastAsiaTheme="minorEastAsia" w:cstheme="minorEastAsia"/>
                <w:color w:val="auto"/>
                <w:sz w:val="21"/>
                <w:szCs w:val="21"/>
              </w:rPr>
              <w:t>24小时平均</w:t>
            </w:r>
          </w:p>
        </w:tc>
        <w:tc>
          <w:tcPr>
            <w:tcW w:w="1557" w:type="dxa"/>
            <w:tcBorders>
              <w:tl2br w:val="nil"/>
              <w:tr2bl w:val="nil"/>
            </w:tcBorders>
            <w:shd w:val="clear" w:color="auto" w:fill="auto"/>
            <w:vAlign w:val="center"/>
          </w:tcPr>
          <w:p>
            <w:pPr>
              <w:jc w:val="center"/>
              <w:rPr>
                <w:rFonts w:hint="eastAsia" w:asciiTheme="minorEastAsia" w:hAnsiTheme="minorEastAsia" w:eastAsiaTheme="minorEastAsia" w:cstheme="minorEastAsia"/>
                <w:i w:val="0"/>
                <w:color w:val="auto"/>
                <w:sz w:val="21"/>
                <w:szCs w:val="21"/>
                <w:u w:val="none"/>
                <w:lang w:val="en-US" w:eastAsia="zh-CN"/>
              </w:rPr>
            </w:pPr>
            <w:r>
              <w:rPr>
                <w:rFonts w:hint="eastAsia" w:asciiTheme="minorEastAsia" w:hAnsiTheme="minorEastAsia" w:eastAsiaTheme="minorEastAsia" w:cstheme="minorEastAsia"/>
                <w:color w:val="auto"/>
                <w:sz w:val="21"/>
                <w:szCs w:val="21"/>
              </w:rPr>
              <w:t>150</w:t>
            </w:r>
          </w:p>
        </w:tc>
        <w:tc>
          <w:tcPr>
            <w:tcW w:w="4556" w:type="dxa"/>
            <w:vMerge w:val="restart"/>
            <w:tcBorders>
              <w:tl2br w:val="nil"/>
              <w:tr2bl w:val="nil"/>
            </w:tcBorders>
            <w:shd w:val="clear" w:color="auto" w:fill="auto"/>
            <w:vAlign w:val="center"/>
          </w:tcPr>
          <w:p>
            <w:pPr>
              <w:pStyle w:val="246"/>
              <w:jc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color w:val="auto"/>
                <w:sz w:val="21"/>
                <w:szCs w:val="21"/>
              </w:rPr>
              <w:t>《环境空气质量标准》（GB3095-2012）二级标准</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jc w:val="center"/>
        </w:trPr>
        <w:tc>
          <w:tcPr>
            <w:tcW w:w="1107" w:type="dxa"/>
            <w:tcBorders>
              <w:tl2br w:val="nil"/>
              <w:tr2bl w:val="nil"/>
            </w:tcBorders>
            <w:shd w:val="clear" w:color="auto" w:fill="auto"/>
            <w:vAlign w:val="center"/>
          </w:tcPr>
          <w:p>
            <w:pPr>
              <w:jc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color w:val="auto"/>
                <w:sz w:val="21"/>
                <w:szCs w:val="21"/>
                <w:lang w:val="en-US" w:eastAsia="zh-CN"/>
              </w:rPr>
              <w:t>TSP</w:t>
            </w:r>
          </w:p>
        </w:tc>
        <w:tc>
          <w:tcPr>
            <w:tcW w:w="1116" w:type="dxa"/>
            <w:tcBorders>
              <w:tl2br w:val="nil"/>
              <w:tr2bl w:val="nil"/>
            </w:tcBorders>
            <w:shd w:val="clear" w:color="auto" w:fill="auto"/>
            <w:vAlign w:val="center"/>
          </w:tcPr>
          <w:p>
            <w:pPr>
              <w:jc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color w:val="auto"/>
                <w:sz w:val="21"/>
                <w:szCs w:val="21"/>
              </w:rPr>
              <w:t>24小时平均</w:t>
            </w:r>
          </w:p>
        </w:tc>
        <w:tc>
          <w:tcPr>
            <w:tcW w:w="1557" w:type="dxa"/>
            <w:tcBorders>
              <w:tl2br w:val="nil"/>
              <w:tr2bl w:val="nil"/>
            </w:tcBorders>
            <w:shd w:val="clear" w:color="auto" w:fill="auto"/>
            <w:vAlign w:val="center"/>
          </w:tcPr>
          <w:p>
            <w:pPr>
              <w:jc w:val="center"/>
              <w:rPr>
                <w:rFonts w:hint="eastAsia" w:asciiTheme="minorEastAsia" w:hAnsiTheme="minorEastAsia" w:eastAsiaTheme="minorEastAsia" w:cstheme="minorEastAsia"/>
                <w:i w:val="0"/>
                <w:color w:val="auto"/>
                <w:sz w:val="21"/>
                <w:szCs w:val="21"/>
                <w:u w:val="none"/>
                <w:lang w:val="en-US" w:eastAsia="zh-CN"/>
              </w:rPr>
            </w:pPr>
            <w:r>
              <w:rPr>
                <w:rFonts w:hint="eastAsia" w:asciiTheme="minorEastAsia" w:hAnsiTheme="minorEastAsia" w:eastAsiaTheme="minorEastAsia" w:cstheme="minorEastAsia"/>
                <w:i w:val="0"/>
                <w:color w:val="auto"/>
                <w:sz w:val="21"/>
                <w:szCs w:val="21"/>
                <w:u w:val="none"/>
                <w:lang w:val="en-US" w:eastAsia="zh-CN"/>
              </w:rPr>
              <w:t>300</w:t>
            </w:r>
          </w:p>
        </w:tc>
        <w:tc>
          <w:tcPr>
            <w:tcW w:w="4556" w:type="dxa"/>
            <w:vMerge w:val="continue"/>
            <w:tcBorders>
              <w:tl2br w:val="nil"/>
              <w:tr2bl w:val="nil"/>
            </w:tcBorders>
            <w:shd w:val="clear" w:color="auto" w:fill="auto"/>
            <w:vAlign w:val="center"/>
          </w:tcPr>
          <w:p>
            <w:pPr>
              <w:rPr>
                <w:rFonts w:hint="eastAsia" w:asciiTheme="minorEastAsia" w:hAnsiTheme="minorEastAsia" w:eastAsiaTheme="minorEastAsia" w:cstheme="minorEastAsia"/>
                <w:i w:val="0"/>
                <w:color w:val="auto"/>
                <w:sz w:val="21"/>
                <w:szCs w:val="21"/>
                <w:u w:val="none"/>
              </w:rPr>
            </w:pPr>
          </w:p>
        </w:tc>
      </w:tr>
    </w:tbl>
    <w:p>
      <w:pPr>
        <w:pStyle w:val="244"/>
        <w:jc w:val="both"/>
        <w:rPr>
          <w:rFonts w:hint="eastAsia" w:eastAsiaTheme="minorEastAsia"/>
          <w:b w:val="0"/>
          <w:bCs w:val="0"/>
          <w:color w:val="auto"/>
          <w:sz w:val="21"/>
          <w:szCs w:val="21"/>
          <w:lang w:val="en-US" w:eastAsia="zh-CN"/>
        </w:rPr>
      </w:pPr>
      <w:r>
        <w:rPr>
          <w:rFonts w:hint="eastAsia" w:eastAsiaTheme="minorEastAsia"/>
          <w:b w:val="0"/>
          <w:bCs w:val="0"/>
          <w:color w:val="auto"/>
          <w:sz w:val="21"/>
          <w:szCs w:val="21"/>
          <w:lang w:val="en-US" w:eastAsia="zh-CN"/>
        </w:rPr>
        <w:t>注：各评价因子1h平均质量浓度限值取日平均质量浓度限值的3倍值。</w:t>
      </w:r>
    </w:p>
    <w:p>
      <w:pPr>
        <w:pStyle w:val="244"/>
        <w:rPr>
          <w:rFonts w:eastAsiaTheme="minorEastAsia"/>
          <w:color w:val="auto"/>
        </w:rPr>
      </w:pPr>
      <w:r>
        <w:rPr>
          <w:rFonts w:eastAsiaTheme="minorEastAsia"/>
          <w:color w:val="auto"/>
        </w:rPr>
        <w:t xml:space="preserve">表2-4-2 </w:t>
      </w:r>
      <w:r>
        <w:rPr>
          <w:rFonts w:eastAsiaTheme="minorEastAsia"/>
          <w:color w:val="auto"/>
          <w:szCs w:val="24"/>
        </w:rPr>
        <w:t xml:space="preserve"> </w:t>
      </w:r>
      <w:r>
        <w:rPr>
          <w:rFonts w:hint="eastAsia" w:ascii="宋体" w:hAnsi="宋体" w:eastAsia="宋体" w:cs="宋体"/>
          <w:i w:val="0"/>
          <w:color w:val="auto"/>
          <w:kern w:val="0"/>
          <w:sz w:val="24"/>
          <w:szCs w:val="24"/>
          <w:u w:val="none"/>
          <w:lang w:val="en-US" w:eastAsia="zh-CN" w:bidi="ar"/>
        </w:rPr>
        <w:t xml:space="preserve"> 估算模型参数表</w:t>
      </w:r>
    </w:p>
    <w:tbl>
      <w:tblPr>
        <w:tblStyle w:val="53"/>
        <w:tblW w:w="8350" w:type="dxa"/>
        <w:tblInd w:w="-7"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fixed"/>
        <w:tblCellMar>
          <w:top w:w="15" w:type="dxa"/>
          <w:left w:w="15" w:type="dxa"/>
          <w:bottom w:w="15" w:type="dxa"/>
          <w:right w:w="15" w:type="dxa"/>
        </w:tblCellMar>
      </w:tblPr>
      <w:tblGrid>
        <w:gridCol w:w="2322"/>
        <w:gridCol w:w="3103"/>
        <w:gridCol w:w="2925"/>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fixed"/>
          <w:tblCellMar>
            <w:top w:w="15" w:type="dxa"/>
            <w:left w:w="15" w:type="dxa"/>
            <w:bottom w:w="15" w:type="dxa"/>
            <w:right w:w="15" w:type="dxa"/>
          </w:tblCellMar>
        </w:tblPrEx>
        <w:trPr>
          <w:trHeight w:val="316" w:hRule="atLeast"/>
        </w:trPr>
        <w:tc>
          <w:tcPr>
            <w:tcW w:w="5425" w:type="dxa"/>
            <w:gridSpan w:val="2"/>
            <w:tcBorders>
              <w:tl2br w:val="nil"/>
              <w:tr2bl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参数</w:t>
            </w:r>
          </w:p>
        </w:tc>
        <w:tc>
          <w:tcPr>
            <w:tcW w:w="2925" w:type="dxa"/>
            <w:tcBorders>
              <w:tl2br w:val="nil"/>
              <w:tr2bl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取值</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301" w:hRule="atLeast"/>
        </w:trPr>
        <w:tc>
          <w:tcPr>
            <w:tcW w:w="2322" w:type="dxa"/>
            <w:vMerge w:val="restart"/>
            <w:tcBorders>
              <w:tl2br w:val="nil"/>
              <w:tr2bl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城市</w:t>
            </w:r>
            <w:r>
              <w:rPr>
                <w:rFonts w:hint="default" w:ascii="Times New Roman" w:hAnsi="Times New Roman" w:eastAsia="宋体" w:cs="Times New Roman"/>
                <w:i w:val="0"/>
                <w:color w:val="auto"/>
                <w:kern w:val="0"/>
                <w:sz w:val="21"/>
                <w:szCs w:val="21"/>
                <w:u w:val="none"/>
                <w:lang w:val="en-US" w:eastAsia="zh-CN" w:bidi="ar"/>
              </w:rPr>
              <w:t>/</w:t>
            </w:r>
            <w:r>
              <w:rPr>
                <w:rFonts w:hint="eastAsia" w:ascii="宋体" w:hAnsi="宋体" w:eastAsia="宋体" w:cs="宋体"/>
                <w:i w:val="0"/>
                <w:color w:val="auto"/>
                <w:kern w:val="0"/>
                <w:sz w:val="21"/>
                <w:szCs w:val="21"/>
                <w:u w:val="none"/>
                <w:lang w:val="en-US" w:eastAsia="zh-CN" w:bidi="ar"/>
              </w:rPr>
              <w:t>农村选项</w:t>
            </w:r>
          </w:p>
        </w:tc>
        <w:tc>
          <w:tcPr>
            <w:tcW w:w="3103" w:type="dxa"/>
            <w:tcBorders>
              <w:tl2br w:val="nil"/>
              <w:tr2bl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城市</w:t>
            </w:r>
            <w:r>
              <w:rPr>
                <w:rFonts w:hint="default" w:ascii="Times New Roman" w:hAnsi="Times New Roman" w:eastAsia="宋体" w:cs="Times New Roman"/>
                <w:i w:val="0"/>
                <w:color w:val="auto"/>
                <w:kern w:val="0"/>
                <w:sz w:val="21"/>
                <w:szCs w:val="21"/>
                <w:u w:val="none"/>
                <w:lang w:val="en-US" w:eastAsia="zh-CN" w:bidi="ar"/>
              </w:rPr>
              <w:t>/</w:t>
            </w:r>
            <w:r>
              <w:rPr>
                <w:rFonts w:hint="eastAsia" w:ascii="宋体" w:hAnsi="宋体" w:eastAsia="宋体" w:cs="宋体"/>
                <w:i w:val="0"/>
                <w:color w:val="auto"/>
                <w:kern w:val="0"/>
                <w:sz w:val="21"/>
                <w:szCs w:val="21"/>
                <w:u w:val="none"/>
                <w:lang w:val="en-US" w:eastAsia="zh-CN" w:bidi="ar"/>
              </w:rPr>
              <w:t>农村</w:t>
            </w:r>
          </w:p>
        </w:tc>
        <w:tc>
          <w:tcPr>
            <w:tcW w:w="2925" w:type="dxa"/>
            <w:tcBorders>
              <w:tl2br w:val="nil"/>
              <w:tr2bl w:val="nil"/>
            </w:tcBorders>
            <w:shd w:val="clear" w:color="auto" w:fill="FFFFFF"/>
            <w:vAlign w:val="center"/>
          </w:tcPr>
          <w:p>
            <w:pPr>
              <w:jc w:val="center"/>
              <w:rPr>
                <w:rFonts w:hint="eastAsia" w:ascii="Times New Roman" w:hAnsi="Times New Roman" w:eastAsia="宋体" w:cs="Times New Roman"/>
                <w:i w:val="0"/>
                <w:color w:val="auto"/>
                <w:sz w:val="21"/>
                <w:szCs w:val="21"/>
                <w:u w:val="none"/>
                <w:lang w:eastAsia="zh-CN"/>
              </w:rPr>
            </w:pPr>
            <w:r>
              <w:rPr>
                <w:rFonts w:hint="eastAsia" w:ascii="Times New Roman" w:hAnsi="Times New Roman" w:eastAsia="宋体" w:cs="Times New Roman"/>
                <w:i w:val="0"/>
                <w:color w:val="auto"/>
                <w:sz w:val="21"/>
                <w:szCs w:val="21"/>
                <w:u w:val="none"/>
                <w:lang w:eastAsia="zh-CN"/>
              </w:rPr>
              <w:t>农村</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301" w:hRule="atLeast"/>
        </w:trPr>
        <w:tc>
          <w:tcPr>
            <w:tcW w:w="2322" w:type="dxa"/>
            <w:vMerge w:val="continue"/>
            <w:tcBorders>
              <w:tl2br w:val="nil"/>
              <w:tr2bl w:val="nil"/>
            </w:tcBorders>
            <w:shd w:val="clear" w:color="auto" w:fill="FFFFFF"/>
            <w:vAlign w:val="center"/>
          </w:tcPr>
          <w:p>
            <w:pPr>
              <w:jc w:val="center"/>
              <w:rPr>
                <w:rFonts w:hint="eastAsia" w:ascii="宋体" w:hAnsi="宋体" w:eastAsia="宋体" w:cs="宋体"/>
                <w:i w:val="0"/>
                <w:color w:val="auto"/>
                <w:sz w:val="21"/>
                <w:szCs w:val="21"/>
                <w:u w:val="none"/>
              </w:rPr>
            </w:pPr>
          </w:p>
        </w:tc>
        <w:tc>
          <w:tcPr>
            <w:tcW w:w="3103" w:type="dxa"/>
            <w:tcBorders>
              <w:tl2br w:val="nil"/>
              <w:tr2bl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人口数（城市选项时）</w:t>
            </w:r>
          </w:p>
        </w:tc>
        <w:tc>
          <w:tcPr>
            <w:tcW w:w="2925" w:type="dxa"/>
            <w:tcBorders>
              <w:tl2br w:val="nil"/>
              <w:tr2bl w:val="nil"/>
            </w:tcBorders>
            <w:shd w:val="clear" w:color="auto" w:fill="FFFFFF"/>
            <w:vAlign w:val="center"/>
          </w:tcPr>
          <w:p>
            <w:pPr>
              <w:jc w:val="center"/>
              <w:rPr>
                <w:rFonts w:hint="eastAsia" w:ascii="Times New Roman" w:hAnsi="Times New Roman" w:eastAsia="宋体" w:cs="Times New Roman"/>
                <w:i w:val="0"/>
                <w:color w:val="auto"/>
                <w:sz w:val="21"/>
                <w:szCs w:val="21"/>
                <w:u w:val="none"/>
                <w:lang w:val="en-US" w:eastAsia="zh-CN"/>
              </w:rPr>
            </w:pPr>
            <w:r>
              <w:rPr>
                <w:rFonts w:hint="eastAsia" w:ascii="Times New Roman" w:hAnsi="Times New Roman" w:eastAsia="宋体" w:cs="Times New Roman"/>
                <w:i w:val="0"/>
                <w:color w:val="auto"/>
                <w:sz w:val="21"/>
                <w:szCs w:val="21"/>
                <w:u w:val="none"/>
                <w:lang w:val="en-US"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301" w:hRule="atLeast"/>
        </w:trPr>
        <w:tc>
          <w:tcPr>
            <w:tcW w:w="5425" w:type="dxa"/>
            <w:gridSpan w:val="2"/>
            <w:tcBorders>
              <w:tl2br w:val="nil"/>
              <w:tr2bl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最高环境温度</w:t>
            </w:r>
            <w:r>
              <w:rPr>
                <w:rFonts w:hint="default" w:ascii="Times New Roman" w:hAnsi="Times New Roman" w:eastAsia="宋体" w:cs="Times New Roman"/>
                <w:i w:val="0"/>
                <w:color w:val="auto"/>
                <w:kern w:val="0"/>
                <w:sz w:val="21"/>
                <w:szCs w:val="21"/>
                <w:u w:val="none"/>
                <w:lang w:val="en-US" w:eastAsia="zh-CN" w:bidi="ar"/>
              </w:rPr>
              <w:t>/</w:t>
            </w:r>
            <w:r>
              <w:rPr>
                <w:rFonts w:hint="eastAsia" w:ascii="宋体" w:hAnsi="宋体" w:eastAsia="宋体" w:cs="宋体"/>
                <w:i w:val="0"/>
                <w:color w:val="auto"/>
                <w:kern w:val="0"/>
                <w:sz w:val="21"/>
                <w:szCs w:val="21"/>
                <w:u w:val="none"/>
                <w:lang w:val="en-US" w:eastAsia="zh-CN" w:bidi="ar"/>
              </w:rPr>
              <w:t>℃</w:t>
            </w:r>
          </w:p>
        </w:tc>
        <w:tc>
          <w:tcPr>
            <w:tcW w:w="2925" w:type="dxa"/>
            <w:tcBorders>
              <w:tl2br w:val="nil"/>
              <w:tr2bl w:val="nil"/>
            </w:tcBorders>
            <w:shd w:val="clear" w:color="auto" w:fill="FFFFFF"/>
            <w:vAlign w:val="center"/>
          </w:tcPr>
          <w:p>
            <w:pPr>
              <w:jc w:val="center"/>
              <w:rPr>
                <w:rFonts w:hint="eastAsia" w:ascii="Times New Roman" w:hAnsi="Times New Roman" w:eastAsia="宋体" w:cs="Times New Roman"/>
                <w:i w:val="0"/>
                <w:color w:val="auto"/>
                <w:sz w:val="21"/>
                <w:szCs w:val="21"/>
                <w:u w:val="none"/>
                <w:lang w:val="en-US" w:eastAsia="zh-CN"/>
              </w:rPr>
            </w:pPr>
            <w:r>
              <w:rPr>
                <w:rFonts w:hint="eastAsia" w:ascii="Times New Roman" w:hAnsi="Times New Roman" w:eastAsia="宋体" w:cs="Times New Roman"/>
                <w:i w:val="0"/>
                <w:color w:val="auto"/>
                <w:sz w:val="21"/>
                <w:szCs w:val="21"/>
                <w:u w:val="none"/>
                <w:lang w:val="en-US" w:eastAsia="zh-CN"/>
              </w:rPr>
              <w:t>38.1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301" w:hRule="atLeast"/>
        </w:trPr>
        <w:tc>
          <w:tcPr>
            <w:tcW w:w="5425" w:type="dxa"/>
            <w:gridSpan w:val="2"/>
            <w:tcBorders>
              <w:tl2br w:val="nil"/>
              <w:tr2bl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最低环境温度</w:t>
            </w:r>
            <w:r>
              <w:rPr>
                <w:rFonts w:hint="default" w:ascii="Times New Roman" w:hAnsi="Times New Roman" w:eastAsia="宋体" w:cs="Times New Roman"/>
                <w:i w:val="0"/>
                <w:color w:val="auto"/>
                <w:kern w:val="0"/>
                <w:sz w:val="21"/>
                <w:szCs w:val="21"/>
                <w:u w:val="none"/>
                <w:lang w:val="en-US" w:eastAsia="zh-CN" w:bidi="ar"/>
              </w:rPr>
              <w:t>/</w:t>
            </w:r>
            <w:r>
              <w:rPr>
                <w:rFonts w:hint="eastAsia" w:ascii="宋体" w:hAnsi="宋体" w:eastAsia="宋体" w:cs="宋体"/>
                <w:i w:val="0"/>
                <w:color w:val="auto"/>
                <w:kern w:val="0"/>
                <w:sz w:val="21"/>
                <w:szCs w:val="21"/>
                <w:u w:val="none"/>
                <w:lang w:val="en-US" w:eastAsia="zh-CN" w:bidi="ar"/>
              </w:rPr>
              <w:t>℃</w:t>
            </w:r>
          </w:p>
        </w:tc>
        <w:tc>
          <w:tcPr>
            <w:tcW w:w="2925" w:type="dxa"/>
            <w:tcBorders>
              <w:tl2br w:val="nil"/>
              <w:tr2bl w:val="nil"/>
            </w:tcBorders>
            <w:shd w:val="clear" w:color="auto" w:fill="FFFFFF"/>
            <w:vAlign w:val="center"/>
          </w:tcPr>
          <w:p>
            <w:pPr>
              <w:jc w:val="center"/>
              <w:rPr>
                <w:rFonts w:hint="eastAsia" w:ascii="Times New Roman" w:hAnsi="Times New Roman" w:eastAsia="宋体" w:cs="Times New Roman"/>
                <w:i w:val="0"/>
                <w:color w:val="auto"/>
                <w:sz w:val="21"/>
                <w:szCs w:val="21"/>
                <w:u w:val="none"/>
                <w:lang w:val="en-US" w:eastAsia="zh-CN"/>
              </w:rPr>
            </w:pPr>
            <w:r>
              <w:rPr>
                <w:rFonts w:hint="eastAsia" w:ascii="Times New Roman" w:hAnsi="Times New Roman" w:eastAsia="宋体" w:cs="Times New Roman"/>
                <w:i w:val="0"/>
                <w:color w:val="auto"/>
                <w:sz w:val="21"/>
                <w:szCs w:val="21"/>
                <w:u w:val="none"/>
                <w:lang w:val="en-US" w:eastAsia="zh-CN"/>
              </w:rPr>
              <w:t>-39.5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301" w:hRule="atLeast"/>
        </w:trPr>
        <w:tc>
          <w:tcPr>
            <w:tcW w:w="5425" w:type="dxa"/>
            <w:gridSpan w:val="2"/>
            <w:tcBorders>
              <w:tl2br w:val="nil"/>
              <w:tr2bl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土地利用类型</w:t>
            </w:r>
          </w:p>
        </w:tc>
        <w:tc>
          <w:tcPr>
            <w:tcW w:w="2925" w:type="dxa"/>
            <w:tcBorders>
              <w:tl2br w:val="nil"/>
              <w:tr2bl w:val="nil"/>
            </w:tcBorders>
            <w:shd w:val="clear" w:color="auto" w:fill="FFFFFF"/>
            <w:vAlign w:val="center"/>
          </w:tcPr>
          <w:p>
            <w:pPr>
              <w:jc w:val="center"/>
              <w:rPr>
                <w:rFonts w:hint="eastAsia" w:ascii="Times New Roman" w:hAnsi="Times New Roman" w:eastAsia="宋体" w:cs="Times New Roman"/>
                <w:i w:val="0"/>
                <w:color w:val="auto"/>
                <w:sz w:val="21"/>
                <w:szCs w:val="21"/>
                <w:u w:val="none"/>
                <w:lang w:eastAsia="zh-CN"/>
              </w:rPr>
            </w:pPr>
            <w:r>
              <w:rPr>
                <w:rFonts w:hint="eastAsia" w:ascii="Times New Roman" w:hAnsi="Times New Roman" w:eastAsia="宋体" w:cs="Times New Roman"/>
                <w:i w:val="0"/>
                <w:color w:val="auto"/>
                <w:sz w:val="21"/>
                <w:szCs w:val="21"/>
                <w:u w:val="none"/>
                <w:lang w:eastAsia="zh-CN"/>
              </w:rPr>
              <w:t>农作地</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316" w:hRule="atLeast"/>
        </w:trPr>
        <w:tc>
          <w:tcPr>
            <w:tcW w:w="5425" w:type="dxa"/>
            <w:gridSpan w:val="2"/>
            <w:tcBorders>
              <w:tl2br w:val="nil"/>
              <w:tr2bl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区域湿度条件</w:t>
            </w:r>
          </w:p>
        </w:tc>
        <w:tc>
          <w:tcPr>
            <w:tcW w:w="2925" w:type="dxa"/>
            <w:tcBorders>
              <w:tl2br w:val="nil"/>
              <w:tr2bl w:val="nil"/>
            </w:tcBorders>
            <w:shd w:val="clear" w:color="auto" w:fill="FFFFFF"/>
            <w:vAlign w:val="center"/>
          </w:tcPr>
          <w:p>
            <w:pPr>
              <w:jc w:val="center"/>
              <w:rPr>
                <w:rFonts w:hint="eastAsia" w:ascii="Times New Roman" w:hAnsi="Times New Roman" w:eastAsia="宋体" w:cs="Times New Roman"/>
                <w:i w:val="0"/>
                <w:color w:val="auto"/>
                <w:sz w:val="21"/>
                <w:szCs w:val="21"/>
                <w:u w:val="none"/>
                <w:lang w:eastAsia="zh-CN"/>
              </w:rPr>
            </w:pPr>
            <w:r>
              <w:rPr>
                <w:rFonts w:hint="eastAsia" w:ascii="Times New Roman" w:hAnsi="Times New Roman" w:eastAsia="宋体" w:cs="Times New Roman"/>
                <w:i w:val="0"/>
                <w:color w:val="auto"/>
                <w:sz w:val="21"/>
                <w:szCs w:val="21"/>
                <w:u w:val="none"/>
                <w:lang w:eastAsia="zh-CN"/>
              </w:rPr>
              <w:t>中等湿度气候</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301" w:hRule="atLeast"/>
        </w:trPr>
        <w:tc>
          <w:tcPr>
            <w:tcW w:w="2322" w:type="dxa"/>
            <w:vMerge w:val="restart"/>
            <w:tcBorders>
              <w:tl2br w:val="nil"/>
              <w:tr2bl w:val="nil"/>
            </w:tcBorders>
            <w:shd w:val="clear" w:color="auto" w:fill="FFFFFF"/>
            <w:vAlign w:val="center"/>
          </w:tcPr>
          <w:p>
            <w:pPr>
              <w:jc w:val="center"/>
              <w:rPr>
                <w:rFonts w:hint="eastAsia" w:ascii="宋体" w:hAnsi="宋体" w:eastAsia="宋体" w:cs="宋体"/>
                <w:i w:val="0"/>
                <w:color w:val="auto"/>
                <w:sz w:val="21"/>
                <w:szCs w:val="21"/>
                <w:u w:val="none"/>
                <w:lang w:val="en-US" w:eastAsia="zh-CN"/>
              </w:rPr>
            </w:pPr>
            <w:r>
              <w:rPr>
                <w:rFonts w:hint="eastAsia" w:ascii="宋体" w:hAnsi="宋体" w:eastAsia="宋体" w:cs="宋体"/>
                <w:i w:val="0"/>
                <w:color w:val="auto"/>
                <w:sz w:val="21"/>
                <w:szCs w:val="21"/>
                <w:u w:val="none"/>
                <w:lang w:val="en-US" w:eastAsia="zh-CN"/>
              </w:rPr>
              <w:t>是否考虑地形</w:t>
            </w:r>
          </w:p>
        </w:tc>
        <w:tc>
          <w:tcPr>
            <w:tcW w:w="3103" w:type="dxa"/>
            <w:tcBorders>
              <w:tl2br w:val="nil"/>
              <w:tr2bl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lang w:val="en-US" w:eastAsia="zh-CN"/>
              </w:rPr>
            </w:pPr>
            <w:r>
              <w:rPr>
                <w:rFonts w:hint="eastAsia" w:ascii="宋体" w:hAnsi="宋体" w:eastAsia="宋体" w:cs="宋体"/>
                <w:i w:val="0"/>
                <w:color w:val="auto"/>
                <w:sz w:val="21"/>
                <w:szCs w:val="21"/>
                <w:u w:val="none"/>
                <w:lang w:val="en-US" w:eastAsia="zh-CN"/>
              </w:rPr>
              <w:t>考虑地形</w:t>
            </w:r>
          </w:p>
        </w:tc>
        <w:tc>
          <w:tcPr>
            <w:tcW w:w="2925" w:type="dxa"/>
            <w:tcBorders>
              <w:tl2br w:val="nil"/>
              <w:tr2bl w:val="nil"/>
            </w:tcBorders>
            <w:shd w:val="clear" w:color="auto" w:fill="FFFFFF"/>
            <w:vAlign w:val="center"/>
          </w:tcPr>
          <w:p>
            <w:pPr>
              <w:jc w:val="center"/>
              <w:rPr>
                <w:rFonts w:hint="eastAsia" w:ascii="Times New Roman" w:hAnsi="Times New Roman" w:eastAsia="宋体" w:cs="Times New Roman"/>
                <w:i w:val="0"/>
                <w:color w:val="auto"/>
                <w:sz w:val="21"/>
                <w:szCs w:val="21"/>
                <w:u w:val="none"/>
                <w:lang w:eastAsia="zh-CN"/>
              </w:rPr>
            </w:pPr>
            <w:r>
              <w:rPr>
                <w:rFonts w:hint="eastAsia" w:ascii="Times New Roman" w:hAnsi="Times New Roman" w:eastAsia="宋体" w:cs="Times New Roman"/>
                <w:i w:val="0"/>
                <w:color w:val="auto"/>
                <w:sz w:val="21"/>
                <w:szCs w:val="21"/>
                <w:u w:val="none"/>
                <w:lang w:val="en-US" w:eastAsia="zh-CN"/>
              </w:rPr>
              <w:sym w:font="Wingdings 2" w:char="0052"/>
            </w:r>
            <w:r>
              <w:rPr>
                <w:rFonts w:hint="eastAsia" w:ascii="Times New Roman" w:hAnsi="Times New Roman" w:eastAsia="宋体" w:cs="Times New Roman"/>
                <w:i w:val="0"/>
                <w:color w:val="auto"/>
                <w:sz w:val="21"/>
                <w:szCs w:val="21"/>
                <w:u w:val="none"/>
                <w:lang w:eastAsia="zh-CN"/>
              </w:rPr>
              <w:t>是</w:t>
            </w:r>
            <w:r>
              <w:rPr>
                <w:rFonts w:hint="eastAsia" w:ascii="Times New Roman" w:hAnsi="Times New Roman" w:eastAsia="宋体" w:cs="Times New Roman"/>
                <w:i w:val="0"/>
                <w:color w:val="auto"/>
                <w:sz w:val="21"/>
                <w:szCs w:val="21"/>
                <w:u w:val="none"/>
                <w:lang w:val="en-US" w:eastAsia="zh-CN"/>
              </w:rPr>
              <w:t xml:space="preserve"> </w:t>
            </w:r>
            <w:r>
              <w:rPr>
                <w:rFonts w:hint="eastAsia" w:ascii="Times New Roman" w:hAnsi="Times New Roman" w:eastAsia="宋体" w:cs="Times New Roman"/>
                <w:i w:val="0"/>
                <w:color w:val="auto"/>
                <w:sz w:val="21"/>
                <w:szCs w:val="21"/>
                <w:u w:val="none"/>
                <w:lang w:val="en-US" w:eastAsia="zh-CN"/>
              </w:rPr>
              <w:sym w:font="Wingdings 2" w:char="00A3"/>
            </w:r>
            <w:r>
              <w:rPr>
                <w:rFonts w:hint="eastAsia" w:ascii="Times New Roman" w:hAnsi="Times New Roman" w:eastAsia="宋体" w:cs="Times New Roman"/>
                <w:i w:val="0"/>
                <w:color w:val="auto"/>
                <w:sz w:val="21"/>
                <w:szCs w:val="21"/>
                <w:u w:val="none"/>
                <w:lang w:val="en-US" w:eastAsia="zh-CN"/>
              </w:rPr>
              <w:t>否</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301" w:hRule="atLeast"/>
        </w:trPr>
        <w:tc>
          <w:tcPr>
            <w:tcW w:w="2322" w:type="dxa"/>
            <w:vMerge w:val="continue"/>
            <w:tcBorders>
              <w:tl2br w:val="nil"/>
              <w:tr2bl w:val="nil"/>
            </w:tcBorders>
            <w:shd w:val="clear" w:color="auto" w:fill="FFFFFF"/>
            <w:vAlign w:val="center"/>
          </w:tcPr>
          <w:p>
            <w:pPr>
              <w:jc w:val="center"/>
              <w:rPr>
                <w:rFonts w:hint="eastAsia" w:ascii="宋体" w:hAnsi="宋体" w:eastAsia="宋体" w:cs="宋体"/>
                <w:i w:val="0"/>
                <w:color w:val="auto"/>
                <w:sz w:val="21"/>
                <w:szCs w:val="21"/>
                <w:u w:val="none"/>
              </w:rPr>
            </w:pPr>
          </w:p>
        </w:tc>
        <w:tc>
          <w:tcPr>
            <w:tcW w:w="3103" w:type="dxa"/>
            <w:tcBorders>
              <w:tl2br w:val="nil"/>
              <w:tr2bl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kern w:val="0"/>
                <w:sz w:val="21"/>
                <w:szCs w:val="21"/>
                <w:u w:val="none"/>
                <w:lang w:val="en-US" w:eastAsia="zh-CN" w:bidi="ar"/>
              </w:rPr>
            </w:pPr>
            <w:r>
              <w:rPr>
                <w:rFonts w:hint="eastAsia" w:ascii="宋体" w:hAnsi="宋体" w:eastAsia="宋体" w:cs="宋体"/>
                <w:i w:val="0"/>
                <w:color w:val="auto"/>
                <w:kern w:val="0"/>
                <w:sz w:val="21"/>
                <w:szCs w:val="21"/>
                <w:u w:val="none"/>
                <w:lang w:val="en-US" w:eastAsia="zh-CN" w:bidi="ar"/>
              </w:rPr>
              <w:t>地形数据分辨率</w:t>
            </w:r>
            <w:r>
              <w:rPr>
                <w:rFonts w:hint="eastAsia" w:ascii="宋体" w:hAnsi="宋体" w:cs="宋体"/>
                <w:i w:val="0"/>
                <w:color w:val="auto"/>
                <w:kern w:val="0"/>
                <w:sz w:val="21"/>
                <w:szCs w:val="21"/>
                <w:u w:val="none"/>
                <w:lang w:val="en-US" w:eastAsia="zh-CN" w:bidi="ar"/>
              </w:rPr>
              <w:t>/m</w:t>
            </w:r>
          </w:p>
        </w:tc>
        <w:tc>
          <w:tcPr>
            <w:tcW w:w="2925" w:type="dxa"/>
            <w:tcBorders>
              <w:tl2br w:val="nil"/>
              <w:tr2bl w:val="nil"/>
            </w:tcBorders>
            <w:shd w:val="clear" w:color="auto" w:fill="FFFFFF"/>
            <w:vAlign w:val="center"/>
          </w:tcPr>
          <w:p>
            <w:pPr>
              <w:jc w:val="center"/>
              <w:rPr>
                <w:rFonts w:hint="eastAsia" w:ascii="Times New Roman" w:hAnsi="Times New Roman" w:eastAsia="宋体" w:cs="Times New Roman"/>
                <w:i w:val="0"/>
                <w:color w:val="auto"/>
                <w:sz w:val="21"/>
                <w:szCs w:val="21"/>
                <w:u w:val="none"/>
                <w:lang w:val="en-US" w:eastAsia="zh-CN"/>
              </w:rPr>
            </w:pPr>
            <w:r>
              <w:rPr>
                <w:rFonts w:hint="eastAsia" w:ascii="Times New Roman" w:hAnsi="Times New Roman" w:eastAsia="宋体" w:cs="Times New Roman"/>
                <w:i w:val="0"/>
                <w:color w:val="auto"/>
                <w:sz w:val="21"/>
                <w:szCs w:val="21"/>
                <w:u w:val="none"/>
                <w:lang w:val="en-US" w:eastAsia="zh-CN"/>
              </w:rPr>
              <w:t>90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301" w:hRule="atLeast"/>
        </w:trPr>
        <w:tc>
          <w:tcPr>
            <w:tcW w:w="2322" w:type="dxa"/>
            <w:vMerge w:val="restart"/>
            <w:tcBorders>
              <w:tl2br w:val="nil"/>
              <w:tr2bl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是否考虑海岸线熏烟</w:t>
            </w:r>
          </w:p>
        </w:tc>
        <w:tc>
          <w:tcPr>
            <w:tcW w:w="3103" w:type="dxa"/>
            <w:tcBorders>
              <w:tl2br w:val="nil"/>
              <w:tr2bl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lang w:val="en-US" w:eastAsia="zh-CN"/>
              </w:rPr>
            </w:pPr>
            <w:r>
              <w:rPr>
                <w:rFonts w:hint="eastAsia" w:ascii="宋体" w:hAnsi="宋体" w:eastAsia="宋体" w:cs="宋体"/>
                <w:i w:val="0"/>
                <w:color w:val="auto"/>
                <w:sz w:val="21"/>
                <w:szCs w:val="21"/>
                <w:u w:val="none"/>
                <w:lang w:val="en-US" w:eastAsia="zh-CN"/>
              </w:rPr>
              <w:t>考虑岸线熏烟</w:t>
            </w:r>
          </w:p>
        </w:tc>
        <w:tc>
          <w:tcPr>
            <w:tcW w:w="2925" w:type="dxa"/>
            <w:tcBorders>
              <w:tl2br w:val="nil"/>
              <w:tr2bl w:val="nil"/>
            </w:tcBorders>
            <w:shd w:val="clear" w:color="auto" w:fill="FFFFFF"/>
            <w:vAlign w:val="center"/>
          </w:tcPr>
          <w:p>
            <w:pPr>
              <w:jc w:val="center"/>
              <w:rPr>
                <w:rFonts w:hint="eastAsia" w:ascii="Times New Roman" w:hAnsi="Times New Roman" w:eastAsia="宋体" w:cs="Times New Roman"/>
                <w:i w:val="0"/>
                <w:color w:val="auto"/>
                <w:sz w:val="21"/>
                <w:szCs w:val="21"/>
                <w:u w:val="none"/>
                <w:lang w:val="en-US" w:eastAsia="zh-CN"/>
              </w:rPr>
            </w:pPr>
            <w:r>
              <w:rPr>
                <w:rFonts w:hint="eastAsia" w:ascii="Times New Roman" w:hAnsi="Times New Roman" w:eastAsia="宋体" w:cs="Times New Roman"/>
                <w:i w:val="0"/>
                <w:color w:val="auto"/>
                <w:sz w:val="21"/>
                <w:szCs w:val="21"/>
                <w:u w:val="none"/>
                <w:lang w:val="en-US" w:eastAsia="zh-CN"/>
              </w:rPr>
              <w:sym w:font="Wingdings 2" w:char="00A3"/>
            </w:r>
            <w:r>
              <w:rPr>
                <w:rFonts w:hint="eastAsia" w:ascii="Times New Roman" w:hAnsi="Times New Roman" w:eastAsia="宋体" w:cs="Times New Roman"/>
                <w:i w:val="0"/>
                <w:color w:val="auto"/>
                <w:sz w:val="21"/>
                <w:szCs w:val="21"/>
                <w:u w:val="none"/>
                <w:lang w:eastAsia="zh-CN"/>
              </w:rPr>
              <w:t>是</w:t>
            </w:r>
            <w:r>
              <w:rPr>
                <w:rFonts w:hint="eastAsia" w:ascii="Times New Roman" w:hAnsi="Times New Roman" w:eastAsia="宋体" w:cs="Times New Roman"/>
                <w:i w:val="0"/>
                <w:color w:val="auto"/>
                <w:sz w:val="21"/>
                <w:szCs w:val="21"/>
                <w:u w:val="none"/>
                <w:lang w:val="en-US" w:eastAsia="zh-CN"/>
              </w:rPr>
              <w:t xml:space="preserve"> </w:t>
            </w:r>
            <w:r>
              <w:rPr>
                <w:rFonts w:hint="eastAsia" w:ascii="Times New Roman" w:hAnsi="Times New Roman" w:eastAsia="宋体" w:cs="Times New Roman"/>
                <w:i w:val="0"/>
                <w:color w:val="auto"/>
                <w:sz w:val="21"/>
                <w:szCs w:val="21"/>
                <w:u w:val="none"/>
                <w:lang w:val="en-US" w:eastAsia="zh-CN"/>
              </w:rPr>
              <w:sym w:font="Wingdings 2" w:char="0052"/>
            </w:r>
            <w:r>
              <w:rPr>
                <w:rFonts w:hint="eastAsia" w:ascii="Times New Roman" w:hAnsi="Times New Roman" w:eastAsia="宋体" w:cs="Times New Roman"/>
                <w:i w:val="0"/>
                <w:color w:val="auto"/>
                <w:sz w:val="21"/>
                <w:szCs w:val="21"/>
                <w:u w:val="none"/>
                <w:lang w:val="en-US" w:eastAsia="zh-CN"/>
              </w:rPr>
              <w:t>否</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301" w:hRule="atLeast"/>
        </w:trPr>
        <w:tc>
          <w:tcPr>
            <w:tcW w:w="2322" w:type="dxa"/>
            <w:vMerge w:val="continue"/>
            <w:tcBorders>
              <w:tl2br w:val="nil"/>
              <w:tr2bl w:val="nil"/>
            </w:tcBorders>
            <w:shd w:val="clear" w:color="auto" w:fill="FFFFFF"/>
            <w:vAlign w:val="center"/>
          </w:tcPr>
          <w:p>
            <w:pPr>
              <w:jc w:val="center"/>
              <w:rPr>
                <w:rFonts w:hint="eastAsia" w:ascii="宋体" w:hAnsi="宋体" w:eastAsia="宋体" w:cs="宋体"/>
                <w:i w:val="0"/>
                <w:color w:val="auto"/>
                <w:sz w:val="21"/>
                <w:szCs w:val="21"/>
                <w:u w:val="none"/>
              </w:rPr>
            </w:pPr>
          </w:p>
        </w:tc>
        <w:tc>
          <w:tcPr>
            <w:tcW w:w="3103" w:type="dxa"/>
            <w:tcBorders>
              <w:tl2br w:val="nil"/>
              <w:tr2bl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岸线距离</w:t>
            </w:r>
            <w:r>
              <w:rPr>
                <w:rFonts w:hint="default" w:ascii="Times New Roman" w:hAnsi="Times New Roman" w:eastAsia="宋体" w:cs="Times New Roman"/>
                <w:i w:val="0"/>
                <w:color w:val="auto"/>
                <w:kern w:val="0"/>
                <w:sz w:val="21"/>
                <w:szCs w:val="21"/>
                <w:u w:val="none"/>
                <w:lang w:val="en-US" w:eastAsia="zh-CN" w:bidi="ar"/>
              </w:rPr>
              <w:t>/</w:t>
            </w:r>
            <w:r>
              <w:rPr>
                <w:rFonts w:hint="eastAsia" w:ascii="Times New Roman" w:hAnsi="Times New Roman" w:eastAsia="宋体" w:cs="Times New Roman"/>
                <w:i w:val="0"/>
                <w:color w:val="auto"/>
                <w:kern w:val="0"/>
                <w:sz w:val="21"/>
                <w:szCs w:val="21"/>
                <w:u w:val="none"/>
                <w:lang w:val="en-US" w:eastAsia="zh-CN" w:bidi="ar"/>
              </w:rPr>
              <w:t>k</w:t>
            </w:r>
            <w:r>
              <w:rPr>
                <w:rFonts w:hint="default" w:ascii="Times New Roman" w:hAnsi="Times New Roman" w:eastAsia="宋体" w:cs="Times New Roman"/>
                <w:i w:val="0"/>
                <w:color w:val="auto"/>
                <w:kern w:val="0"/>
                <w:sz w:val="21"/>
                <w:szCs w:val="21"/>
                <w:u w:val="none"/>
                <w:lang w:val="en-US" w:eastAsia="zh-CN" w:bidi="ar"/>
              </w:rPr>
              <w:t>m</w:t>
            </w:r>
          </w:p>
        </w:tc>
        <w:tc>
          <w:tcPr>
            <w:tcW w:w="2925" w:type="dxa"/>
            <w:tcBorders>
              <w:tl2br w:val="nil"/>
              <w:tr2bl w:val="nil"/>
            </w:tcBorders>
            <w:shd w:val="clear" w:color="auto" w:fill="FFFFFF"/>
            <w:vAlign w:val="center"/>
          </w:tcPr>
          <w:p>
            <w:pPr>
              <w:jc w:val="center"/>
              <w:rPr>
                <w:rFonts w:hint="eastAsia" w:ascii="Times New Roman" w:hAnsi="Times New Roman" w:eastAsia="宋体" w:cs="Times New Roman"/>
                <w:i w:val="0"/>
                <w:color w:val="auto"/>
                <w:sz w:val="21"/>
                <w:szCs w:val="21"/>
                <w:u w:val="none"/>
                <w:lang w:val="en-US" w:eastAsia="zh-CN"/>
              </w:rPr>
            </w:pPr>
            <w:r>
              <w:rPr>
                <w:rFonts w:hint="eastAsia" w:ascii="Times New Roman" w:hAnsi="Times New Roman" w:eastAsia="宋体" w:cs="Times New Roman"/>
                <w:i w:val="0"/>
                <w:color w:val="auto"/>
                <w:sz w:val="21"/>
                <w:szCs w:val="21"/>
                <w:u w:val="none"/>
                <w:lang w:val="en-US"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301" w:hRule="atLeast"/>
        </w:trPr>
        <w:tc>
          <w:tcPr>
            <w:tcW w:w="2322" w:type="dxa"/>
            <w:vMerge w:val="continue"/>
            <w:tcBorders>
              <w:tl2br w:val="nil"/>
              <w:tr2bl w:val="nil"/>
            </w:tcBorders>
            <w:shd w:val="clear" w:color="auto" w:fill="FFFFFF"/>
            <w:vAlign w:val="center"/>
          </w:tcPr>
          <w:p>
            <w:pPr>
              <w:jc w:val="center"/>
              <w:rPr>
                <w:rFonts w:hint="eastAsia" w:ascii="宋体" w:hAnsi="宋体" w:eastAsia="宋体" w:cs="宋体"/>
                <w:i w:val="0"/>
                <w:color w:val="auto"/>
                <w:sz w:val="21"/>
                <w:szCs w:val="21"/>
                <w:u w:val="none"/>
              </w:rPr>
            </w:pPr>
          </w:p>
        </w:tc>
        <w:tc>
          <w:tcPr>
            <w:tcW w:w="3103" w:type="dxa"/>
            <w:tcBorders>
              <w:tl2br w:val="nil"/>
              <w:tr2bl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岸线方向</w:t>
            </w:r>
            <w:r>
              <w:rPr>
                <w:rFonts w:hint="default" w:ascii="Times New Roman" w:hAnsi="Times New Roman" w:eastAsia="宋体" w:cs="Times New Roman"/>
                <w:i w:val="0"/>
                <w:color w:val="auto"/>
                <w:kern w:val="0"/>
                <w:sz w:val="21"/>
                <w:szCs w:val="21"/>
                <w:u w:val="none"/>
                <w:lang w:val="en-US" w:eastAsia="zh-CN" w:bidi="ar"/>
              </w:rPr>
              <w:t>/°</w:t>
            </w:r>
          </w:p>
        </w:tc>
        <w:tc>
          <w:tcPr>
            <w:tcW w:w="2925" w:type="dxa"/>
            <w:tcBorders>
              <w:tl2br w:val="nil"/>
              <w:tr2bl w:val="nil"/>
            </w:tcBorders>
            <w:shd w:val="clear" w:color="auto" w:fill="FFFFFF"/>
            <w:vAlign w:val="center"/>
          </w:tcPr>
          <w:p>
            <w:pPr>
              <w:jc w:val="center"/>
              <w:rPr>
                <w:rFonts w:hint="eastAsia" w:ascii="Times New Roman" w:hAnsi="Times New Roman" w:eastAsia="宋体" w:cs="Times New Roman"/>
                <w:i w:val="0"/>
                <w:color w:val="auto"/>
                <w:sz w:val="21"/>
                <w:szCs w:val="21"/>
                <w:u w:val="none"/>
                <w:lang w:val="en-US" w:eastAsia="zh-CN"/>
              </w:rPr>
            </w:pPr>
            <w:r>
              <w:rPr>
                <w:rFonts w:hint="eastAsia" w:ascii="Times New Roman" w:hAnsi="Times New Roman" w:eastAsia="宋体" w:cs="Times New Roman"/>
                <w:i w:val="0"/>
                <w:color w:val="auto"/>
                <w:sz w:val="21"/>
                <w:szCs w:val="21"/>
                <w:u w:val="none"/>
                <w:lang w:val="en-US" w:eastAsia="zh-CN"/>
              </w:rPr>
              <w:t>/</w:t>
            </w:r>
          </w:p>
        </w:tc>
      </w:tr>
    </w:tbl>
    <w:p>
      <w:pPr>
        <w:pStyle w:val="244"/>
        <w:rPr>
          <w:rFonts w:eastAsiaTheme="minorEastAsia"/>
          <w:color w:val="auto"/>
        </w:rPr>
      </w:pPr>
      <w:r>
        <w:rPr>
          <w:rFonts w:eastAsiaTheme="minorEastAsia"/>
          <w:color w:val="auto"/>
        </w:rPr>
        <w:t>表2-4-3   估算模式计算结果表</w:t>
      </w:r>
    </w:p>
    <w:tbl>
      <w:tblPr>
        <w:tblStyle w:val="53"/>
        <w:tblW w:w="8336" w:type="dxa"/>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fixed"/>
        <w:tblCellMar>
          <w:top w:w="15" w:type="dxa"/>
          <w:left w:w="15" w:type="dxa"/>
          <w:bottom w:w="15" w:type="dxa"/>
          <w:right w:w="15" w:type="dxa"/>
        </w:tblCellMar>
      </w:tblPr>
      <w:tblGrid>
        <w:gridCol w:w="528"/>
        <w:gridCol w:w="958"/>
        <w:gridCol w:w="492"/>
        <w:gridCol w:w="958"/>
        <w:gridCol w:w="493"/>
        <w:gridCol w:w="958"/>
        <w:gridCol w:w="492"/>
        <w:gridCol w:w="528"/>
        <w:gridCol w:w="958"/>
        <w:gridCol w:w="492"/>
        <w:gridCol w:w="958"/>
        <w:gridCol w:w="521"/>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fixed"/>
          <w:tblCellMar>
            <w:top w:w="15" w:type="dxa"/>
            <w:left w:w="15" w:type="dxa"/>
            <w:bottom w:w="15" w:type="dxa"/>
            <w:right w:w="15" w:type="dxa"/>
          </w:tblCellMar>
        </w:tblPrEx>
        <w:trPr>
          <w:trHeight w:val="330" w:hRule="atLeast"/>
        </w:trPr>
        <w:tc>
          <w:tcPr>
            <w:tcW w:w="528" w:type="dxa"/>
            <w:vMerge w:val="restart"/>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下风向距离</w:t>
            </w:r>
            <w:r>
              <w:rPr>
                <w:rFonts w:hint="default" w:eastAsiaTheme="minorEastAsia"/>
                <w:color w:val="auto"/>
                <w:lang w:val="en-US" w:eastAsia="zh-CN"/>
              </w:rPr>
              <w:t>/m</w:t>
            </w:r>
          </w:p>
        </w:tc>
        <w:tc>
          <w:tcPr>
            <w:tcW w:w="1450" w:type="dxa"/>
            <w:gridSpan w:val="2"/>
            <w:tcBorders>
              <w:tl2br w:val="nil"/>
              <w:tr2bl w:val="nil"/>
            </w:tcBorders>
            <w:shd w:val="clear" w:color="auto" w:fill="FFFFFF"/>
            <w:vAlign w:val="center"/>
          </w:tcPr>
          <w:p>
            <w:pPr>
              <w:pStyle w:val="246"/>
              <w:rPr>
                <w:rFonts w:hint="eastAsia" w:eastAsiaTheme="minorEastAsia"/>
                <w:color w:val="auto"/>
              </w:rPr>
            </w:pPr>
            <w:r>
              <w:rPr>
                <w:rFonts w:hint="eastAsia" w:eastAsiaTheme="minorEastAsia"/>
                <w:color w:val="auto"/>
                <w:lang w:val="en-US" w:eastAsia="zh-CN"/>
              </w:rPr>
              <w:t>粗碎</w:t>
            </w:r>
            <w:r>
              <w:rPr>
                <w:rFonts w:hint="default" w:eastAsiaTheme="minorEastAsia"/>
                <w:color w:val="auto"/>
                <w:lang w:val="en-US" w:eastAsia="zh-CN"/>
              </w:rPr>
              <w:t>PM</w:t>
            </w:r>
            <w:r>
              <w:rPr>
                <w:rFonts w:eastAsiaTheme="minorEastAsia"/>
                <w:color w:val="auto"/>
                <w:vertAlign w:val="subscript"/>
                <w:lang w:val="en-US" w:eastAsia="zh-CN"/>
              </w:rPr>
              <w:t>10</w:t>
            </w:r>
          </w:p>
        </w:tc>
        <w:tc>
          <w:tcPr>
            <w:tcW w:w="1451" w:type="dxa"/>
            <w:gridSpan w:val="2"/>
            <w:tcBorders>
              <w:tl2br w:val="nil"/>
              <w:tr2bl w:val="nil"/>
            </w:tcBorders>
            <w:shd w:val="clear" w:color="auto" w:fill="FFFFFF"/>
            <w:vAlign w:val="center"/>
          </w:tcPr>
          <w:p>
            <w:pPr>
              <w:pStyle w:val="246"/>
              <w:rPr>
                <w:rFonts w:hint="eastAsia" w:eastAsiaTheme="minorEastAsia"/>
                <w:color w:val="auto"/>
              </w:rPr>
            </w:pPr>
            <w:r>
              <w:rPr>
                <w:rFonts w:hint="eastAsia" w:eastAsiaTheme="minorEastAsia"/>
                <w:color w:val="auto"/>
                <w:lang w:val="en-US" w:eastAsia="zh-CN"/>
              </w:rPr>
              <w:t>细碎</w:t>
            </w:r>
            <w:r>
              <w:rPr>
                <w:rFonts w:hint="default" w:eastAsiaTheme="minorEastAsia"/>
                <w:color w:val="auto"/>
                <w:lang w:val="en-US" w:eastAsia="zh-CN"/>
              </w:rPr>
              <w:t>PM</w:t>
            </w:r>
            <w:r>
              <w:rPr>
                <w:rFonts w:eastAsiaTheme="minorEastAsia"/>
                <w:color w:val="auto"/>
                <w:vertAlign w:val="subscript"/>
                <w:lang w:val="en-US" w:eastAsia="zh-CN"/>
              </w:rPr>
              <w:t>10</w:t>
            </w:r>
          </w:p>
        </w:tc>
        <w:tc>
          <w:tcPr>
            <w:tcW w:w="1450" w:type="dxa"/>
            <w:gridSpan w:val="2"/>
            <w:tcBorders>
              <w:tl2br w:val="nil"/>
              <w:tr2bl w:val="nil"/>
            </w:tcBorders>
            <w:shd w:val="clear" w:color="auto" w:fill="FFFFFF"/>
            <w:vAlign w:val="center"/>
          </w:tcPr>
          <w:p>
            <w:pPr>
              <w:pStyle w:val="246"/>
              <w:rPr>
                <w:rFonts w:hint="eastAsia" w:eastAsiaTheme="minorEastAsia"/>
                <w:color w:val="auto"/>
              </w:rPr>
            </w:pPr>
            <w:r>
              <w:rPr>
                <w:rFonts w:hint="eastAsia" w:eastAsiaTheme="minorEastAsia"/>
                <w:color w:val="auto"/>
                <w:lang w:val="en-US" w:eastAsia="zh-CN"/>
              </w:rPr>
              <w:t>筛分</w:t>
            </w:r>
            <w:r>
              <w:rPr>
                <w:rFonts w:hint="default" w:eastAsiaTheme="minorEastAsia"/>
                <w:color w:val="auto"/>
                <w:lang w:val="en-US" w:eastAsia="zh-CN"/>
              </w:rPr>
              <w:t>PM</w:t>
            </w:r>
            <w:r>
              <w:rPr>
                <w:rFonts w:eastAsiaTheme="minorEastAsia"/>
                <w:color w:val="auto"/>
                <w:vertAlign w:val="subscript"/>
                <w:lang w:val="en-US" w:eastAsia="zh-CN"/>
              </w:rPr>
              <w:t>10</w:t>
            </w:r>
          </w:p>
        </w:tc>
        <w:tc>
          <w:tcPr>
            <w:tcW w:w="528" w:type="dxa"/>
            <w:vMerge w:val="restart"/>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下风向距离</w:t>
            </w:r>
            <w:r>
              <w:rPr>
                <w:rFonts w:hint="default" w:eastAsiaTheme="minorEastAsia"/>
                <w:color w:val="auto"/>
                <w:lang w:val="en-US" w:eastAsia="zh-CN"/>
              </w:rPr>
              <w:t>/m</w:t>
            </w:r>
          </w:p>
        </w:tc>
        <w:tc>
          <w:tcPr>
            <w:tcW w:w="1450" w:type="dxa"/>
            <w:gridSpan w:val="2"/>
            <w:tcBorders>
              <w:tl2br w:val="nil"/>
              <w:tr2bl w:val="nil"/>
            </w:tcBorders>
            <w:shd w:val="clear" w:color="auto" w:fill="FFFFFF"/>
            <w:vAlign w:val="center"/>
          </w:tcPr>
          <w:p>
            <w:pPr>
              <w:pStyle w:val="246"/>
              <w:rPr>
                <w:rFonts w:hint="eastAsia" w:eastAsiaTheme="minorEastAsia"/>
                <w:color w:val="auto"/>
              </w:rPr>
            </w:pPr>
            <w:r>
              <w:rPr>
                <w:rFonts w:hint="eastAsia" w:eastAsiaTheme="minorEastAsia"/>
                <w:color w:val="auto"/>
                <w:lang w:val="en-US" w:eastAsia="zh-CN"/>
              </w:rPr>
              <w:t>工业场地</w:t>
            </w:r>
            <w:r>
              <w:rPr>
                <w:rFonts w:hint="default" w:eastAsiaTheme="minorEastAsia"/>
                <w:color w:val="auto"/>
                <w:lang w:val="en-US" w:eastAsia="zh-CN"/>
              </w:rPr>
              <w:t>TSP</w:t>
            </w:r>
          </w:p>
        </w:tc>
        <w:tc>
          <w:tcPr>
            <w:tcW w:w="1479" w:type="dxa"/>
            <w:gridSpan w:val="2"/>
            <w:tcBorders>
              <w:tl2br w:val="nil"/>
              <w:tr2bl w:val="nil"/>
            </w:tcBorders>
            <w:shd w:val="clear" w:color="auto" w:fill="FFFFFF"/>
            <w:vAlign w:val="center"/>
          </w:tcPr>
          <w:p>
            <w:pPr>
              <w:pStyle w:val="246"/>
              <w:rPr>
                <w:rFonts w:hint="eastAsia" w:eastAsiaTheme="minorEastAsia"/>
                <w:color w:val="auto"/>
              </w:rPr>
            </w:pPr>
            <w:r>
              <w:rPr>
                <w:rFonts w:hint="eastAsia" w:eastAsiaTheme="minorEastAsia"/>
                <w:color w:val="auto"/>
                <w:lang w:val="en-US" w:eastAsia="zh-CN"/>
              </w:rPr>
              <w:t>采场</w:t>
            </w:r>
            <w:r>
              <w:rPr>
                <w:rFonts w:hint="default" w:eastAsiaTheme="minorEastAsia"/>
                <w:color w:val="auto"/>
                <w:lang w:val="en-US" w:eastAsia="zh-CN"/>
              </w:rPr>
              <w:t>TSP</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825" w:hRule="atLeast"/>
        </w:trPr>
        <w:tc>
          <w:tcPr>
            <w:tcW w:w="528" w:type="dxa"/>
            <w:vMerge w:val="continue"/>
            <w:tcBorders>
              <w:tl2br w:val="nil"/>
              <w:tr2bl w:val="nil"/>
            </w:tcBorders>
            <w:shd w:val="clear" w:color="auto" w:fill="auto"/>
            <w:vAlign w:val="center"/>
          </w:tcPr>
          <w:p>
            <w:pPr>
              <w:pStyle w:val="246"/>
              <w:rPr>
                <w:rFonts w:hint="eastAsia" w:eastAsiaTheme="minorEastAsia"/>
                <w:color w:val="auto"/>
              </w:rPr>
            </w:pPr>
          </w:p>
        </w:tc>
        <w:tc>
          <w:tcPr>
            <w:tcW w:w="958" w:type="dxa"/>
            <w:tcBorders>
              <w:tl2br w:val="nil"/>
              <w:tr2bl w:val="nil"/>
            </w:tcBorders>
            <w:shd w:val="clear" w:color="auto" w:fill="FFFFFF"/>
            <w:vAlign w:val="center"/>
          </w:tcPr>
          <w:p>
            <w:pPr>
              <w:pStyle w:val="246"/>
              <w:rPr>
                <w:rFonts w:hint="eastAsia" w:eastAsiaTheme="minorEastAsia"/>
                <w:color w:val="auto"/>
              </w:rPr>
            </w:pPr>
            <w:r>
              <w:rPr>
                <w:rFonts w:hint="eastAsia" w:eastAsiaTheme="minorEastAsia"/>
                <w:color w:val="auto"/>
                <w:lang w:val="en-US" w:eastAsia="zh-CN"/>
              </w:rPr>
              <w:t>预测质量浓度</w:t>
            </w:r>
            <w:r>
              <w:rPr>
                <w:rFonts w:hint="default" w:eastAsiaTheme="minorEastAsia"/>
                <w:color w:val="auto"/>
                <w:lang w:val="en-US" w:eastAsia="zh-CN"/>
              </w:rPr>
              <w:t>/（μg/m</w:t>
            </w:r>
            <w:r>
              <w:rPr>
                <w:rFonts w:hint="default" w:eastAsiaTheme="minorEastAsia"/>
                <w:color w:val="auto"/>
                <w:vertAlign w:val="superscript"/>
                <w:lang w:val="en-US" w:eastAsia="zh-CN"/>
              </w:rPr>
              <w:t>3</w:t>
            </w:r>
            <w:r>
              <w:rPr>
                <w:rFonts w:hint="default" w:eastAsiaTheme="minorEastAsia"/>
                <w:color w:val="auto"/>
                <w:lang w:val="en-US" w:eastAsia="zh-CN"/>
              </w:rPr>
              <w:t>）</w:t>
            </w:r>
          </w:p>
        </w:tc>
        <w:tc>
          <w:tcPr>
            <w:tcW w:w="492" w:type="dxa"/>
            <w:tcBorders>
              <w:tl2br w:val="nil"/>
              <w:tr2bl w:val="nil"/>
            </w:tcBorders>
            <w:shd w:val="clear" w:color="auto" w:fill="FFFFFF"/>
            <w:vAlign w:val="center"/>
          </w:tcPr>
          <w:p>
            <w:pPr>
              <w:pStyle w:val="246"/>
              <w:rPr>
                <w:rFonts w:hint="eastAsia" w:eastAsiaTheme="minorEastAsia"/>
                <w:color w:val="auto"/>
              </w:rPr>
            </w:pPr>
            <w:r>
              <w:rPr>
                <w:rFonts w:hint="eastAsia" w:eastAsiaTheme="minorEastAsia"/>
                <w:color w:val="auto"/>
                <w:lang w:val="en-US" w:eastAsia="zh-CN"/>
              </w:rPr>
              <w:t>占标率</w:t>
            </w:r>
            <w:r>
              <w:rPr>
                <w:rFonts w:hint="default" w:eastAsiaTheme="minorEastAsia"/>
                <w:color w:val="auto"/>
                <w:lang w:val="en-US" w:eastAsia="zh-CN"/>
              </w:rPr>
              <w:t>/%</w:t>
            </w:r>
          </w:p>
        </w:tc>
        <w:tc>
          <w:tcPr>
            <w:tcW w:w="958" w:type="dxa"/>
            <w:tcBorders>
              <w:tl2br w:val="nil"/>
              <w:tr2bl w:val="nil"/>
            </w:tcBorders>
            <w:shd w:val="clear" w:color="auto" w:fill="FFFFFF"/>
            <w:vAlign w:val="center"/>
          </w:tcPr>
          <w:p>
            <w:pPr>
              <w:pStyle w:val="246"/>
              <w:rPr>
                <w:rFonts w:hint="eastAsia" w:eastAsiaTheme="minorEastAsia"/>
                <w:color w:val="auto"/>
              </w:rPr>
            </w:pPr>
            <w:r>
              <w:rPr>
                <w:rFonts w:hint="eastAsia" w:eastAsiaTheme="minorEastAsia"/>
                <w:color w:val="auto"/>
                <w:lang w:val="en-US" w:eastAsia="zh-CN"/>
              </w:rPr>
              <w:t>预测质量浓度</w:t>
            </w:r>
            <w:r>
              <w:rPr>
                <w:rFonts w:hint="default" w:eastAsiaTheme="minorEastAsia"/>
                <w:color w:val="auto"/>
                <w:lang w:val="en-US" w:eastAsia="zh-CN"/>
              </w:rPr>
              <w:t>/（μg/m</w:t>
            </w:r>
            <w:r>
              <w:rPr>
                <w:rFonts w:hint="default" w:eastAsiaTheme="minorEastAsia"/>
                <w:color w:val="auto"/>
                <w:vertAlign w:val="superscript"/>
                <w:lang w:val="en-US" w:eastAsia="zh-CN"/>
              </w:rPr>
              <w:t>3</w:t>
            </w:r>
            <w:r>
              <w:rPr>
                <w:rFonts w:hint="default" w:eastAsiaTheme="minorEastAsia"/>
                <w:color w:val="auto"/>
                <w:lang w:val="en-US" w:eastAsia="zh-CN"/>
              </w:rPr>
              <w:t>）</w:t>
            </w:r>
          </w:p>
        </w:tc>
        <w:tc>
          <w:tcPr>
            <w:tcW w:w="493" w:type="dxa"/>
            <w:tcBorders>
              <w:tl2br w:val="nil"/>
              <w:tr2bl w:val="nil"/>
            </w:tcBorders>
            <w:shd w:val="clear" w:color="auto" w:fill="FFFFFF"/>
            <w:vAlign w:val="center"/>
          </w:tcPr>
          <w:p>
            <w:pPr>
              <w:pStyle w:val="246"/>
              <w:rPr>
                <w:rFonts w:hint="eastAsia" w:eastAsiaTheme="minorEastAsia"/>
                <w:color w:val="auto"/>
              </w:rPr>
            </w:pPr>
            <w:r>
              <w:rPr>
                <w:rFonts w:hint="eastAsia" w:eastAsiaTheme="minorEastAsia"/>
                <w:color w:val="auto"/>
                <w:lang w:val="en-US" w:eastAsia="zh-CN"/>
              </w:rPr>
              <w:t>占标率</w:t>
            </w:r>
            <w:r>
              <w:rPr>
                <w:rFonts w:hint="default" w:eastAsiaTheme="minorEastAsia"/>
                <w:color w:val="auto"/>
                <w:lang w:val="en-US" w:eastAsia="zh-CN"/>
              </w:rPr>
              <w:t>/%</w:t>
            </w:r>
          </w:p>
        </w:tc>
        <w:tc>
          <w:tcPr>
            <w:tcW w:w="958" w:type="dxa"/>
            <w:tcBorders>
              <w:tl2br w:val="nil"/>
              <w:tr2bl w:val="nil"/>
            </w:tcBorders>
            <w:shd w:val="clear" w:color="auto" w:fill="FFFFFF"/>
            <w:vAlign w:val="center"/>
          </w:tcPr>
          <w:p>
            <w:pPr>
              <w:pStyle w:val="246"/>
              <w:rPr>
                <w:rFonts w:hint="eastAsia" w:eastAsiaTheme="minorEastAsia"/>
                <w:color w:val="auto"/>
              </w:rPr>
            </w:pPr>
            <w:r>
              <w:rPr>
                <w:rFonts w:hint="eastAsia" w:eastAsiaTheme="minorEastAsia"/>
                <w:color w:val="auto"/>
                <w:lang w:val="en-US" w:eastAsia="zh-CN"/>
              </w:rPr>
              <w:t>预测质量浓度</w:t>
            </w:r>
            <w:r>
              <w:rPr>
                <w:rFonts w:hint="default" w:eastAsiaTheme="minorEastAsia"/>
                <w:color w:val="auto"/>
                <w:lang w:val="en-US" w:eastAsia="zh-CN"/>
              </w:rPr>
              <w:t>/（μg/m</w:t>
            </w:r>
            <w:r>
              <w:rPr>
                <w:rFonts w:hint="default" w:eastAsiaTheme="minorEastAsia"/>
                <w:color w:val="auto"/>
                <w:vertAlign w:val="superscript"/>
                <w:lang w:val="en-US" w:eastAsia="zh-CN"/>
              </w:rPr>
              <w:t>3</w:t>
            </w:r>
            <w:r>
              <w:rPr>
                <w:rFonts w:hint="default" w:eastAsiaTheme="minorEastAsia"/>
                <w:color w:val="auto"/>
                <w:lang w:val="en-US" w:eastAsia="zh-CN"/>
              </w:rPr>
              <w:t>）</w:t>
            </w:r>
          </w:p>
        </w:tc>
        <w:tc>
          <w:tcPr>
            <w:tcW w:w="492" w:type="dxa"/>
            <w:tcBorders>
              <w:tl2br w:val="nil"/>
              <w:tr2bl w:val="nil"/>
            </w:tcBorders>
            <w:shd w:val="clear" w:color="auto" w:fill="FFFFFF"/>
            <w:vAlign w:val="center"/>
          </w:tcPr>
          <w:p>
            <w:pPr>
              <w:pStyle w:val="246"/>
              <w:rPr>
                <w:rFonts w:hint="eastAsia" w:eastAsiaTheme="minorEastAsia"/>
                <w:color w:val="auto"/>
              </w:rPr>
            </w:pPr>
            <w:r>
              <w:rPr>
                <w:rFonts w:hint="eastAsia" w:eastAsiaTheme="minorEastAsia"/>
                <w:color w:val="auto"/>
                <w:lang w:val="en-US" w:eastAsia="zh-CN"/>
              </w:rPr>
              <w:t>占标率</w:t>
            </w:r>
            <w:r>
              <w:rPr>
                <w:rFonts w:hint="default" w:eastAsiaTheme="minorEastAsia"/>
                <w:color w:val="auto"/>
                <w:lang w:val="en-US" w:eastAsia="zh-CN"/>
              </w:rPr>
              <w:t>/%</w:t>
            </w:r>
          </w:p>
        </w:tc>
        <w:tc>
          <w:tcPr>
            <w:tcW w:w="528" w:type="dxa"/>
            <w:vMerge w:val="continue"/>
            <w:tcBorders>
              <w:tl2br w:val="nil"/>
              <w:tr2bl w:val="nil"/>
            </w:tcBorders>
            <w:shd w:val="clear" w:color="auto" w:fill="auto"/>
            <w:vAlign w:val="center"/>
          </w:tcPr>
          <w:p>
            <w:pPr>
              <w:pStyle w:val="246"/>
              <w:rPr>
                <w:rFonts w:hint="eastAsia" w:eastAsiaTheme="minorEastAsia"/>
                <w:color w:val="auto"/>
              </w:rPr>
            </w:pPr>
          </w:p>
        </w:tc>
        <w:tc>
          <w:tcPr>
            <w:tcW w:w="958" w:type="dxa"/>
            <w:tcBorders>
              <w:tl2br w:val="nil"/>
              <w:tr2bl w:val="nil"/>
            </w:tcBorders>
            <w:shd w:val="clear" w:color="auto" w:fill="FFFFFF"/>
            <w:vAlign w:val="center"/>
          </w:tcPr>
          <w:p>
            <w:pPr>
              <w:pStyle w:val="246"/>
              <w:rPr>
                <w:rFonts w:hint="eastAsia" w:eastAsiaTheme="minorEastAsia"/>
                <w:color w:val="auto"/>
              </w:rPr>
            </w:pPr>
            <w:r>
              <w:rPr>
                <w:rFonts w:hint="eastAsia" w:eastAsiaTheme="minorEastAsia"/>
                <w:color w:val="auto"/>
                <w:lang w:val="en-US" w:eastAsia="zh-CN"/>
              </w:rPr>
              <w:t>预测质量浓度</w:t>
            </w:r>
            <w:r>
              <w:rPr>
                <w:rFonts w:hint="default" w:eastAsiaTheme="minorEastAsia"/>
                <w:color w:val="auto"/>
                <w:lang w:val="en-US" w:eastAsia="zh-CN"/>
              </w:rPr>
              <w:t>/（μg/m</w:t>
            </w:r>
            <w:r>
              <w:rPr>
                <w:rFonts w:hint="default" w:eastAsiaTheme="minorEastAsia"/>
                <w:color w:val="auto"/>
                <w:vertAlign w:val="superscript"/>
                <w:lang w:val="en-US" w:eastAsia="zh-CN"/>
              </w:rPr>
              <w:t>3</w:t>
            </w:r>
            <w:r>
              <w:rPr>
                <w:rFonts w:hint="default" w:eastAsiaTheme="minorEastAsia"/>
                <w:color w:val="auto"/>
                <w:lang w:val="en-US" w:eastAsia="zh-CN"/>
              </w:rPr>
              <w:t>）</w:t>
            </w:r>
          </w:p>
        </w:tc>
        <w:tc>
          <w:tcPr>
            <w:tcW w:w="492" w:type="dxa"/>
            <w:tcBorders>
              <w:tl2br w:val="nil"/>
              <w:tr2bl w:val="nil"/>
            </w:tcBorders>
            <w:shd w:val="clear" w:color="auto" w:fill="FFFFFF"/>
            <w:vAlign w:val="center"/>
          </w:tcPr>
          <w:p>
            <w:pPr>
              <w:pStyle w:val="246"/>
              <w:rPr>
                <w:rFonts w:hint="eastAsia" w:eastAsiaTheme="minorEastAsia"/>
                <w:color w:val="auto"/>
              </w:rPr>
            </w:pPr>
            <w:r>
              <w:rPr>
                <w:rFonts w:hint="eastAsia" w:eastAsiaTheme="minorEastAsia"/>
                <w:color w:val="auto"/>
                <w:lang w:val="en-US" w:eastAsia="zh-CN"/>
              </w:rPr>
              <w:t>占标率</w:t>
            </w:r>
            <w:r>
              <w:rPr>
                <w:rFonts w:hint="default" w:eastAsiaTheme="minorEastAsia"/>
                <w:color w:val="auto"/>
                <w:lang w:val="en-US" w:eastAsia="zh-CN"/>
              </w:rPr>
              <w:t>/%</w:t>
            </w:r>
          </w:p>
        </w:tc>
        <w:tc>
          <w:tcPr>
            <w:tcW w:w="958" w:type="dxa"/>
            <w:tcBorders>
              <w:tl2br w:val="nil"/>
              <w:tr2bl w:val="nil"/>
            </w:tcBorders>
            <w:shd w:val="clear" w:color="auto" w:fill="FFFFFF"/>
            <w:vAlign w:val="center"/>
          </w:tcPr>
          <w:p>
            <w:pPr>
              <w:pStyle w:val="246"/>
              <w:rPr>
                <w:rFonts w:hint="eastAsia" w:eastAsiaTheme="minorEastAsia"/>
                <w:color w:val="auto"/>
              </w:rPr>
            </w:pPr>
            <w:r>
              <w:rPr>
                <w:rFonts w:hint="eastAsia" w:eastAsiaTheme="minorEastAsia"/>
                <w:color w:val="auto"/>
                <w:lang w:val="en-US" w:eastAsia="zh-CN"/>
              </w:rPr>
              <w:t>预测质量浓度</w:t>
            </w:r>
            <w:r>
              <w:rPr>
                <w:rFonts w:hint="default" w:eastAsiaTheme="minorEastAsia"/>
                <w:color w:val="auto"/>
                <w:lang w:val="en-US" w:eastAsia="zh-CN"/>
              </w:rPr>
              <w:t>/（μg/m</w:t>
            </w:r>
            <w:r>
              <w:rPr>
                <w:rFonts w:hint="default" w:eastAsiaTheme="minorEastAsia"/>
                <w:color w:val="auto"/>
                <w:vertAlign w:val="superscript"/>
                <w:lang w:val="en-US" w:eastAsia="zh-CN"/>
              </w:rPr>
              <w:t>3</w:t>
            </w:r>
            <w:r>
              <w:rPr>
                <w:rFonts w:hint="default" w:eastAsiaTheme="minorEastAsia"/>
                <w:color w:val="auto"/>
                <w:lang w:val="en-US" w:eastAsia="zh-CN"/>
              </w:rPr>
              <w:t>）</w:t>
            </w:r>
          </w:p>
        </w:tc>
        <w:tc>
          <w:tcPr>
            <w:tcW w:w="521" w:type="dxa"/>
            <w:tcBorders>
              <w:tl2br w:val="nil"/>
              <w:tr2bl w:val="nil"/>
            </w:tcBorders>
            <w:shd w:val="clear" w:color="auto" w:fill="FFFFFF"/>
            <w:vAlign w:val="center"/>
          </w:tcPr>
          <w:p>
            <w:pPr>
              <w:pStyle w:val="246"/>
              <w:rPr>
                <w:rFonts w:hint="eastAsia" w:eastAsiaTheme="minorEastAsia"/>
                <w:color w:val="auto"/>
              </w:rPr>
            </w:pPr>
            <w:r>
              <w:rPr>
                <w:rFonts w:hint="eastAsia" w:eastAsiaTheme="minorEastAsia"/>
                <w:color w:val="auto"/>
                <w:lang w:val="en-US" w:eastAsia="zh-CN"/>
              </w:rPr>
              <w:t>占标率</w:t>
            </w:r>
            <w:r>
              <w:rPr>
                <w:rFonts w:hint="default" w:eastAsiaTheme="minorEastAsia"/>
                <w:color w:val="auto"/>
                <w:lang w:val="en-US"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0.02</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0.02</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0.02</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10.06</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1.12</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14.08</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1.56</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0.69</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0.71</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0.16</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0.73</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0.16</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12.2</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1.36</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17.08</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1.9</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1.11</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1.14</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1.16</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0.26</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15.34</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1.7</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21.48</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2.39</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1.55</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0.34</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1.59</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0.35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1.63</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0.36</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18.6</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2.07</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26.05</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2.89</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1.42</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0.32</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1.46</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0.32</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1.49</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0.33</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97</w:t>
            </w:r>
          </w:p>
        </w:tc>
        <w:tc>
          <w:tcPr>
            <w:tcW w:w="958" w:type="dxa"/>
            <w:tcBorders>
              <w:tl2br w:val="nil"/>
              <w:tr2bl w:val="nil"/>
            </w:tcBorders>
            <w:shd w:val="clear" w:color="auto" w:fill="auto"/>
            <w:vAlign w:val="center"/>
          </w:tcPr>
          <w:p>
            <w:pPr>
              <w:pStyle w:val="246"/>
              <w:rPr>
                <w:rFonts w:hint="eastAsia" w:eastAsiaTheme="minorEastAsia"/>
                <w:b/>
                <w:bCs/>
                <w:color w:val="auto"/>
              </w:rPr>
            </w:pPr>
            <w:r>
              <w:rPr>
                <w:rFonts w:hint="eastAsia" w:eastAsiaTheme="minorEastAsia"/>
                <w:b/>
                <w:bCs/>
                <w:color w:val="auto"/>
                <w:lang w:val="en-US" w:eastAsia="zh-CN"/>
              </w:rPr>
              <w:t>19.54</w:t>
            </w:r>
          </w:p>
        </w:tc>
        <w:tc>
          <w:tcPr>
            <w:tcW w:w="492" w:type="dxa"/>
            <w:tcBorders>
              <w:tl2br w:val="nil"/>
              <w:tr2bl w:val="nil"/>
            </w:tcBorders>
            <w:shd w:val="clear" w:color="auto" w:fill="auto"/>
            <w:vAlign w:val="center"/>
          </w:tcPr>
          <w:p>
            <w:pPr>
              <w:pStyle w:val="246"/>
              <w:rPr>
                <w:rFonts w:hint="eastAsia" w:eastAsiaTheme="minorEastAsia"/>
                <w:b/>
                <w:bCs/>
                <w:color w:val="auto"/>
              </w:rPr>
            </w:pPr>
            <w:r>
              <w:rPr>
                <w:rFonts w:hint="eastAsia" w:eastAsiaTheme="minorEastAsia"/>
                <w:b/>
                <w:bCs/>
                <w:color w:val="auto"/>
                <w:lang w:val="en-US" w:eastAsia="zh-CN"/>
              </w:rPr>
              <w:t>2.17</w:t>
            </w:r>
          </w:p>
        </w:tc>
        <w:tc>
          <w:tcPr>
            <w:tcW w:w="958" w:type="dxa"/>
            <w:tcBorders>
              <w:tl2br w:val="nil"/>
              <w:tr2bl w:val="nil"/>
            </w:tcBorders>
            <w:shd w:val="clear" w:color="auto" w:fill="auto"/>
            <w:vAlign w:val="center"/>
          </w:tcPr>
          <w:p>
            <w:pPr>
              <w:pStyle w:val="246"/>
              <w:rPr>
                <w:rFonts w:hint="eastAsia" w:eastAsiaTheme="minorEastAsia"/>
                <w:b/>
                <w:bCs/>
                <w:color w:val="auto"/>
              </w:rPr>
            </w:pPr>
            <w:r>
              <w:rPr>
                <w:rFonts w:hint="eastAsia" w:eastAsiaTheme="minorEastAsia"/>
                <w:b/>
                <w:bCs/>
                <w:color w:val="auto"/>
                <w:lang w:val="en-US" w:eastAsia="zh-CN"/>
              </w:rPr>
              <w:t>27.36</w:t>
            </w:r>
          </w:p>
        </w:tc>
        <w:tc>
          <w:tcPr>
            <w:tcW w:w="521" w:type="dxa"/>
            <w:tcBorders>
              <w:tl2br w:val="nil"/>
              <w:tr2bl w:val="nil"/>
            </w:tcBorders>
            <w:shd w:val="clear" w:color="auto" w:fill="auto"/>
            <w:vAlign w:val="center"/>
          </w:tcPr>
          <w:p>
            <w:pPr>
              <w:pStyle w:val="246"/>
              <w:rPr>
                <w:rFonts w:hint="eastAsia" w:eastAsiaTheme="minorEastAsia"/>
                <w:b/>
                <w:bCs/>
                <w:color w:val="auto"/>
              </w:rPr>
            </w:pPr>
            <w:r>
              <w:rPr>
                <w:rFonts w:hint="eastAsia" w:eastAsiaTheme="minorEastAsia"/>
                <w:b/>
                <w:bCs/>
                <w:color w:val="auto"/>
                <w:lang w:val="en-US" w:eastAsia="zh-CN"/>
              </w:rPr>
              <w:t>3.04</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1.5</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0.33</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1.54</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0.34</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1.57</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0.35</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19.53</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2.17</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27.34</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3.04</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1.97</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0.44</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2.02</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2.06</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0.46</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18.6</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2.07</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26.05</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2.89</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175</w:t>
            </w:r>
          </w:p>
        </w:tc>
        <w:tc>
          <w:tcPr>
            <w:tcW w:w="958" w:type="dxa"/>
            <w:tcBorders>
              <w:tl2br w:val="nil"/>
              <w:tr2bl w:val="nil"/>
            </w:tcBorders>
            <w:shd w:val="clear" w:color="auto" w:fill="auto"/>
            <w:vAlign w:val="center"/>
          </w:tcPr>
          <w:p>
            <w:pPr>
              <w:pStyle w:val="246"/>
              <w:rPr>
                <w:rFonts w:hint="eastAsia" w:eastAsiaTheme="minorEastAsia"/>
                <w:b/>
                <w:bCs/>
                <w:color w:val="auto"/>
              </w:rPr>
            </w:pPr>
            <w:r>
              <w:rPr>
                <w:rFonts w:hint="eastAsia" w:eastAsiaTheme="minorEastAsia"/>
                <w:b/>
                <w:bCs/>
                <w:color w:val="auto"/>
                <w:lang w:val="en-US" w:eastAsia="zh-CN"/>
              </w:rPr>
              <w:t>2.07</w:t>
            </w:r>
          </w:p>
        </w:tc>
        <w:tc>
          <w:tcPr>
            <w:tcW w:w="492" w:type="dxa"/>
            <w:tcBorders>
              <w:tl2br w:val="nil"/>
              <w:tr2bl w:val="nil"/>
            </w:tcBorders>
            <w:shd w:val="clear" w:color="auto" w:fill="auto"/>
            <w:vAlign w:val="center"/>
          </w:tcPr>
          <w:p>
            <w:pPr>
              <w:pStyle w:val="246"/>
              <w:rPr>
                <w:rFonts w:hint="eastAsia" w:eastAsiaTheme="minorEastAsia"/>
                <w:b/>
                <w:bCs/>
                <w:color w:val="auto"/>
              </w:rPr>
            </w:pPr>
            <w:r>
              <w:rPr>
                <w:rFonts w:hint="eastAsia" w:eastAsiaTheme="minorEastAsia"/>
                <w:b/>
                <w:bCs/>
                <w:color w:val="auto"/>
                <w:lang w:val="en-US" w:eastAsia="zh-CN"/>
              </w:rPr>
              <w:t>0.46</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2.13</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0.47</w:t>
            </w:r>
          </w:p>
        </w:tc>
        <w:tc>
          <w:tcPr>
            <w:tcW w:w="958" w:type="dxa"/>
            <w:tcBorders>
              <w:tl2br w:val="nil"/>
              <w:tr2bl w:val="nil"/>
            </w:tcBorders>
            <w:shd w:val="clear" w:color="auto" w:fill="auto"/>
            <w:vAlign w:val="center"/>
          </w:tcPr>
          <w:p>
            <w:pPr>
              <w:pStyle w:val="246"/>
              <w:rPr>
                <w:rFonts w:hint="eastAsia" w:eastAsiaTheme="minorEastAsia"/>
                <w:b/>
                <w:bCs/>
                <w:color w:val="auto"/>
              </w:rPr>
            </w:pPr>
            <w:r>
              <w:rPr>
                <w:rFonts w:hint="eastAsia" w:eastAsiaTheme="minorEastAsia"/>
                <w:b/>
                <w:bCs/>
                <w:color w:val="auto"/>
                <w:lang w:val="en-US" w:eastAsia="zh-CN"/>
              </w:rPr>
              <w:t>2.18</w:t>
            </w:r>
          </w:p>
        </w:tc>
        <w:tc>
          <w:tcPr>
            <w:tcW w:w="492" w:type="dxa"/>
            <w:tcBorders>
              <w:tl2br w:val="nil"/>
              <w:tr2bl w:val="nil"/>
            </w:tcBorders>
            <w:shd w:val="clear" w:color="auto" w:fill="auto"/>
            <w:vAlign w:val="center"/>
          </w:tcPr>
          <w:p>
            <w:pPr>
              <w:pStyle w:val="246"/>
              <w:rPr>
                <w:rFonts w:hint="eastAsia" w:eastAsiaTheme="minorEastAsia"/>
                <w:b/>
                <w:bCs/>
                <w:color w:val="auto"/>
              </w:rPr>
            </w:pPr>
            <w:r>
              <w:rPr>
                <w:rFonts w:hint="eastAsia" w:eastAsiaTheme="minorEastAsia"/>
                <w:b/>
                <w:bCs/>
                <w:color w:val="auto"/>
                <w:lang w:val="en-US" w:eastAsia="zh-CN"/>
              </w:rPr>
              <w:t>0.48</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17.15</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1.91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24.01</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2.67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180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2.07</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0.46</w:t>
            </w:r>
          </w:p>
        </w:tc>
        <w:tc>
          <w:tcPr>
            <w:tcW w:w="958" w:type="dxa"/>
            <w:tcBorders>
              <w:tl2br w:val="nil"/>
              <w:tr2bl w:val="nil"/>
            </w:tcBorders>
            <w:shd w:val="clear" w:color="auto" w:fill="auto"/>
            <w:vAlign w:val="center"/>
          </w:tcPr>
          <w:p>
            <w:pPr>
              <w:pStyle w:val="246"/>
              <w:rPr>
                <w:rFonts w:hint="eastAsia" w:eastAsiaTheme="minorEastAsia"/>
                <w:b/>
                <w:bCs/>
                <w:color w:val="auto"/>
              </w:rPr>
            </w:pPr>
            <w:r>
              <w:rPr>
                <w:rFonts w:hint="eastAsia" w:eastAsiaTheme="minorEastAsia"/>
                <w:b/>
                <w:bCs/>
                <w:color w:val="auto"/>
                <w:lang w:val="en-US" w:eastAsia="zh-CN"/>
              </w:rPr>
              <w:t>2.14</w:t>
            </w:r>
          </w:p>
        </w:tc>
        <w:tc>
          <w:tcPr>
            <w:tcW w:w="493" w:type="dxa"/>
            <w:tcBorders>
              <w:tl2br w:val="nil"/>
              <w:tr2bl w:val="nil"/>
            </w:tcBorders>
            <w:shd w:val="clear" w:color="auto" w:fill="auto"/>
            <w:vAlign w:val="center"/>
          </w:tcPr>
          <w:p>
            <w:pPr>
              <w:pStyle w:val="246"/>
              <w:rPr>
                <w:rFonts w:hint="eastAsia" w:eastAsiaTheme="minorEastAsia"/>
                <w:b/>
                <w:bCs/>
                <w:color w:val="auto"/>
              </w:rPr>
            </w:pPr>
            <w:r>
              <w:rPr>
                <w:rFonts w:hint="eastAsia" w:eastAsiaTheme="minorEastAsia"/>
                <w:b/>
                <w:bCs/>
                <w:color w:val="auto"/>
                <w:lang w:val="en-US" w:eastAsia="zh-CN"/>
              </w:rPr>
              <w:t>0.47</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2.18</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0.48</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15.76</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22.07</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2.45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2.04</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2.1</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0.47</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2.15</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0.48</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14.59</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1.62</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20.43</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2.27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0.44</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2.06</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0.46</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2.1</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0.47</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13.63</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1.51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19.08</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2.12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2.01</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2.07</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0.46</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2.11</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0.47</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12.83</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1.43</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17.96</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1.99</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0.44</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2.04</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2.08</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0.46</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12.14</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1.35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17</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1.89</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300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1.93</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0.43</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1.99</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0.44</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2.03</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0.45</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300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11.54</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1.28</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16.16</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1.8</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325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1.87</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1.92</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0.43</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1.96</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0.44</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325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11</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1.22</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15.41</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1.71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350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1.79</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1.84</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1.88</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0.42</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350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10.52</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1.17</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14.73</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1.64</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375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1.71</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0.38</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1.76</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0.39</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1.8</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375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10.08</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1.12</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14.11</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1.57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1.64</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0.36</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1.69</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0.37</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1.72</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0.38</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9.68</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1.08</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13.55</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1.51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1.56</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0.35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1.61</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0.36</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1.64</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0.36</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9.32</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1.04</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13.05</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1.45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1.49</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0.33</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1.54</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0.34</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1.57</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0.35</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8.99</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12.58</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1.4</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1.42</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0.32</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1.47</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0.33</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1.5</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0.33</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8.68</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0.96</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12.15</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1.35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1.36</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0.3</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1.4</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0.31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1.43</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0.32</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8.4</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0.93</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11.76</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1.31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1.32</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0.29</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1.36</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0.3</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1.39</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0.31</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8.14</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0.9</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11.39</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1.27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1.3</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0.29</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1.34</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0.3</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1.37</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0.3</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7.89</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0.88</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11.05</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1.23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1.28</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0.28</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1.31</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0.29</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1.34</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0.3</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7.67</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0.85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10.73</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1.19</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600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1.25</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0.28</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1.29</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0.29</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1.31</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0.29</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600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7.75</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0.86</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10.85</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1.21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625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1.23</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0.27</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1.26</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0.28</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1.29</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0.29</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625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7.53</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0.84</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10.54</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1.17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650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1.2</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0.27</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1.23</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0.27</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1.26</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0.28</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650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7.32</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0.81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10.25</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1.14</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675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1.17</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0.26</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1.21</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0.27</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1.23</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0.27</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675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7.13</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0.79</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9.98</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1.11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700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1.15</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1.18</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0.26</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1.2</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0.27</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700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6.94</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0.77</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9.72</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1.08</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725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1.12</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1.15</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0.26</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1.18</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0.26</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725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6.77</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9.48</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1.05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750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1.09</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0.24</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1.13</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1.15</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0.26</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750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6.61</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0.73</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9.26</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1.03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775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1.07</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0.24</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1.1</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0.24</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1.12</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0.25</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775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6.46</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0.72</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9.04</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800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1.04</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0.23</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1.07</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0.24</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1.1</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0.24</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800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6.32</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8.84</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0.98</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825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1.02</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0.23</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1.05</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0.23</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1.07</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0.24</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825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6.18</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0.69</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8.65</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0.96</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850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0.22</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1.02</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0.23</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1.04</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0.23</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850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6.05</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0.67</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8.47</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0.94</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875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0.97</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0.22</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0.22</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1.02</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0.23</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875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5.93</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0.66</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8.3</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0.92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900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0.95</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0.98</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0.22</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0.22</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900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5.81</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8.13</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0.9</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925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0.93</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0.96</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0.97</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0.22</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925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5.7</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0.63</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7.98</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0.89</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950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0.91</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0.93</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0.95</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0.21</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950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5.59</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0.62</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7.83</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0.87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975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0.89</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0.91</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0.93</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0.21</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975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5.55</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0.62</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7.77</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0.86</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1000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0.87</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0.19</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0.89</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0.91</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1000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5.51</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7.71</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0.86</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1025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0.85</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0.19</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0.87</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0.19</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0.89</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0.2</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1025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5.47</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7.66</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0.85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1050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0.83</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0.18</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0.85</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0.19</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0.87</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0.19</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1050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5.43</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7.6</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0.84</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1075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0.81</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0.18</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0.83</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0.19</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0.85</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0.19</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1075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5.39</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7.55</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0.84</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1100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0.79</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0.18</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0.82</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0.18</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0.83</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0.18</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1100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5.36</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7.5</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0.83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1125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0.78</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0.17</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0.8</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0.18</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0.81</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0.18</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1125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5.32</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0.59</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7.45</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0.83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1150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0.76</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0.17</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0.78</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0.17</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0.8</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0.18</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1150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5.29</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0.59</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7.4</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0.82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1175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0.74</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0.17</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0.77</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0.17</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0.78</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0.17</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1175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5.25</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0.58</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7.35</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0.82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1200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0.73</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0.16</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0.75</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0.17</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0.76</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0.17</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1200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5.22</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0.58</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7.31</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0.81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1225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0.71</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0.16</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0.73</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0.16</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0.75</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0.17</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1225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5.18</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0.58</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7.26</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0.81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1250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0.16</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0.72</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0.16</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0.73</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0.16</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1250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5.15</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0.57</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7.21</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0.8</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1275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0.69</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0.16</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0.72</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0.16</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1275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5.12</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0.57</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7.17</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0.8</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1300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0.67</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0.69</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0.16</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1300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5.09</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0.57</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7.12</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0.79</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1325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0.66</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0.68</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0.69</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0.15</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1325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5.06</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0.56</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7.08</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0.79</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1350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0.65</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0.14</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0.66</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0.68</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0.15</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1350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5.03</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0.56</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7.04</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0.78</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1375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0.63</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0.14</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0.65</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0.14</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0.66</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0.15</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1375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0.56</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7</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0.78</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1400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0.62</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0.14</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0.64</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0.14</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0.65</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0.14</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1400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4.97</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6.95</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1425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0.61</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0.14</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0.63</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0.14</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0.64</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0.14</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1425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4.94</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6.91</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1450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0.13</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0.62</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0.14</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0.63</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0.14</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1450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4.91</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6.87</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0.76</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1475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0.59</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0.13</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0.13</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0.62</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0.14</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1475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4.88</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0.54</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6.83</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0.76</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1500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0.58</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0.13</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0.59</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0.13</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0.61</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0.13</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1500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4.85</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0.54</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6.8</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0.76</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1525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0.57</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0.13</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0.58</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0.13</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0.59</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0.13</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1525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4.83</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0.54</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6.76</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1550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0.56</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0.12</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0.57</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0.13</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0.58</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0.13</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1550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4.8</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0.53</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6.72</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1575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0.55</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0.12</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0.56</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0.12</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0.57</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0.13</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1575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4.77</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0.53</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6.68</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0.74</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1600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0.54</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0.12</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0.55</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0.12</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0.56</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0.13</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1600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4.75</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0.53</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6.65</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0.74</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1625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0.53</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0.12</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0.54</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0.12</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0.55</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0.12</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1625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4.72</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0.52</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6.61</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1650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0.52</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0.12</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0.54</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0.12</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0.55</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0.12</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1650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4.69</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0.52</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6.57</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1675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0.52</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0.12</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0.54</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0.12</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0.55</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0.12</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1675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4.67</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0.52</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6.54</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1700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0.52</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0.12</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0.53</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0.12</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0.54</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0.12</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1700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4.64</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0.52</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6.5</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1725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0.52</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0.53</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0.12</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0.54</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0.12</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1725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4.62</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6.47</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1750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0.52</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0.53</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0.12</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0.54</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0.12</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1750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4.59</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6.43</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1775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0.51</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0.53</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0.12</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0.54</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0.12</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1775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4.57</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6.4</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1800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0.51</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0.53</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0.12</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0.54</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0.12</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1800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4.55</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6.36</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1825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0.51</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0.52</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0.12</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0.53</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0.12</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1825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4.52</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6.33</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1850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0.51</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0.52</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0.12</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0.53</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0.12</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1850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4.5</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6.3</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1875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0.52</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0.12</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0.53</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0.12</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1875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4.47</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6.27</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1900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0.52</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0.53</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0.12</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1900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4.45</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0.49</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6.23</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0.69</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1925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0.51</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0.52</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0.12</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1925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4.43</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0.49</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6.2</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0.69</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1950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0.51</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0.52</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0.12</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1950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4.41</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0.49</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6.17</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0.69</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1975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0.51</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0.52</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0.12</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1975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4.38</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0.49</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6.14</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0.68</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2000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0.49</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0.51</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0.52</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2000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4.36</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0.48</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6.11</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0.68</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2025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0.49</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0.51</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2025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4.34</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0.48</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6.08</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0.68</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2050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0.49</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0.51</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2050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4.32</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0.48</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6.05</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2075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0.48</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0.51</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2075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4.3</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0.48</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6.02</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2100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0.48</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0.51</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2100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4.28</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0.48</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5.99</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2125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0.48</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0.49</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2125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4.26</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0.47</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5.96</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0.66</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2150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0.48</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0.49</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2150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4.24</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0.47</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5.93</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0.66</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2175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0.47</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0.49</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0.5</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2175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4.22</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0.47</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5.9</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0.66</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2200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0.47</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0.48</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0.49</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2200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4.2</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0.47</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5.87</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2225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0.47</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0.48</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0.49</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2225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4.17</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0.46</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5.85</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2250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0.47</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0.48</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0.49</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2250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4.16</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0.46</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5.82</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2275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0.46</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0.48</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0.49</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2275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4.14</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0.46</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5.79</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0.64</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2300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0.46</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0.47</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0.48</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2300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4.12</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0.46</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5.76</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0.64</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2325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0.46</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0.47</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0.48</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2325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4.1</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0.46</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5.74</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0.64</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2350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0.45</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0.47</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0.48</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2350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4.08</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5.71</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2375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0.45</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0.46</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0.47</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0.11</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2375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4.06</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5.68</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2400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0.45</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0.46</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0.47</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2400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4.04</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5.66</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2425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0.45</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0.46</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0.47</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2425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4.02</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5.63</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2450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0.44</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0.46</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0.46</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2450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0.44</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5.6</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2475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0.44</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0.45</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0.46</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2475</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3.98</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0.44</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5.58</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2500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0.44</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0.45</w:t>
            </w:r>
          </w:p>
        </w:tc>
        <w:tc>
          <w:tcPr>
            <w:tcW w:w="493"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0.46</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0.1</w:t>
            </w:r>
          </w:p>
        </w:tc>
        <w:tc>
          <w:tcPr>
            <w:tcW w:w="52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2500</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3.96</w:t>
            </w:r>
          </w:p>
        </w:tc>
        <w:tc>
          <w:tcPr>
            <w:tcW w:w="492"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0.44</w:t>
            </w:r>
          </w:p>
        </w:tc>
        <w:tc>
          <w:tcPr>
            <w:tcW w:w="958"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5.55</w:t>
            </w:r>
          </w:p>
        </w:tc>
        <w:tc>
          <w:tcPr>
            <w:tcW w:w="52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0.62</w:t>
            </w:r>
          </w:p>
        </w:tc>
      </w:tr>
    </w:tbl>
    <w:p>
      <w:pPr>
        <w:pStyle w:val="276"/>
        <w:rPr>
          <w:rFonts w:eastAsiaTheme="minorEastAsia"/>
          <w:color w:val="auto"/>
        </w:rPr>
      </w:pPr>
      <w:r>
        <w:rPr>
          <w:rFonts w:eastAsiaTheme="minorEastAsia"/>
          <w:color w:val="auto"/>
        </w:rPr>
        <w:t>根据计算结果，</w:t>
      </w:r>
      <w:r>
        <w:rPr>
          <w:rFonts w:hint="eastAsia" w:eastAsiaTheme="minorEastAsia"/>
          <w:color w:val="auto"/>
          <w:lang w:eastAsia="zh-CN"/>
        </w:rPr>
        <w:t>粗碎、细碎、</w:t>
      </w:r>
      <w:r>
        <w:rPr>
          <w:rFonts w:eastAsiaTheme="minorEastAsia"/>
          <w:color w:val="auto"/>
        </w:rPr>
        <w:t>筛分</w:t>
      </w:r>
      <w:r>
        <w:rPr>
          <w:rFonts w:hint="eastAsia" w:eastAsiaTheme="minorEastAsia"/>
          <w:color w:val="auto"/>
          <w:lang w:eastAsia="zh-CN"/>
        </w:rPr>
        <w:t>有组织排放的</w:t>
      </w:r>
      <w:r>
        <w:rPr>
          <w:rFonts w:eastAsiaTheme="minorEastAsia"/>
          <w:color w:val="auto"/>
        </w:rPr>
        <w:t>PM</w:t>
      </w:r>
      <w:r>
        <w:rPr>
          <w:rFonts w:eastAsiaTheme="minorEastAsia"/>
          <w:color w:val="auto"/>
          <w:vertAlign w:val="subscript"/>
        </w:rPr>
        <w:t>10</w:t>
      </w:r>
      <w:r>
        <w:rPr>
          <w:rFonts w:hint="eastAsia" w:eastAsiaTheme="minorEastAsia"/>
          <w:color w:val="auto"/>
          <w:lang w:eastAsia="zh-CN"/>
        </w:rPr>
        <w:t>以及工业场地和采场无组织排放的</w:t>
      </w:r>
      <w:r>
        <w:rPr>
          <w:rFonts w:hint="eastAsia" w:eastAsiaTheme="minorEastAsia"/>
          <w:color w:val="auto"/>
          <w:lang w:val="en-US" w:eastAsia="zh-CN"/>
        </w:rPr>
        <w:t>TSP，</w:t>
      </w:r>
      <w:r>
        <w:rPr>
          <w:rFonts w:eastAsiaTheme="minorEastAsia"/>
          <w:color w:val="auto"/>
        </w:rPr>
        <w:t>其最大</w:t>
      </w:r>
      <w:r>
        <w:rPr>
          <w:rFonts w:hint="eastAsia" w:eastAsiaTheme="minorEastAsia"/>
          <w:color w:val="auto"/>
          <w:lang w:eastAsia="zh-CN"/>
        </w:rPr>
        <w:t>落地浓度分别为</w:t>
      </w:r>
      <w:r>
        <w:rPr>
          <w:rFonts w:hint="eastAsia" w:eastAsiaTheme="minorEastAsia"/>
          <w:color w:val="auto"/>
          <w:lang w:val="en-US" w:eastAsia="zh-CN"/>
        </w:rPr>
        <w:t>2.07u</w:t>
      </w:r>
      <w:r>
        <w:rPr>
          <w:rFonts w:eastAsiaTheme="minorEastAsia"/>
          <w:color w:val="auto"/>
        </w:rPr>
        <w:t>g/m</w:t>
      </w:r>
      <w:r>
        <w:rPr>
          <w:rFonts w:eastAsiaTheme="minorEastAsia"/>
          <w:color w:val="auto"/>
          <w:vertAlign w:val="superscript"/>
        </w:rPr>
        <w:t>3</w:t>
      </w:r>
      <w:r>
        <w:rPr>
          <w:rFonts w:hint="eastAsia" w:eastAsiaTheme="minorEastAsia"/>
          <w:color w:val="auto"/>
          <w:lang w:val="en-US" w:eastAsia="zh-CN"/>
        </w:rPr>
        <w:t>、2.14u</w:t>
      </w:r>
      <w:r>
        <w:rPr>
          <w:rFonts w:eastAsiaTheme="minorEastAsia"/>
          <w:color w:val="auto"/>
        </w:rPr>
        <w:t>g/m</w:t>
      </w:r>
      <w:r>
        <w:rPr>
          <w:rFonts w:eastAsiaTheme="minorEastAsia"/>
          <w:color w:val="auto"/>
          <w:vertAlign w:val="superscript"/>
        </w:rPr>
        <w:t>3</w:t>
      </w:r>
      <w:r>
        <w:rPr>
          <w:rFonts w:hint="eastAsia" w:eastAsiaTheme="minorEastAsia"/>
          <w:color w:val="auto"/>
          <w:lang w:val="en-US" w:eastAsia="zh-CN"/>
        </w:rPr>
        <w:t>、2.18u</w:t>
      </w:r>
      <w:r>
        <w:rPr>
          <w:rFonts w:eastAsiaTheme="minorEastAsia"/>
          <w:color w:val="auto"/>
        </w:rPr>
        <w:t>g/m</w:t>
      </w:r>
      <w:r>
        <w:rPr>
          <w:rFonts w:eastAsiaTheme="minorEastAsia"/>
          <w:color w:val="auto"/>
          <w:vertAlign w:val="superscript"/>
        </w:rPr>
        <w:t>3</w:t>
      </w:r>
      <w:r>
        <w:rPr>
          <w:rFonts w:hint="eastAsia" w:eastAsiaTheme="minorEastAsia"/>
          <w:color w:val="auto"/>
          <w:lang w:val="en-US" w:eastAsia="zh-CN"/>
        </w:rPr>
        <w:t>、19.54u</w:t>
      </w:r>
      <w:r>
        <w:rPr>
          <w:rFonts w:eastAsiaTheme="minorEastAsia"/>
          <w:color w:val="auto"/>
        </w:rPr>
        <w:t>g/m</w:t>
      </w:r>
      <w:r>
        <w:rPr>
          <w:rFonts w:eastAsiaTheme="minorEastAsia"/>
          <w:color w:val="auto"/>
          <w:vertAlign w:val="superscript"/>
        </w:rPr>
        <w:t>3</w:t>
      </w:r>
      <w:r>
        <w:rPr>
          <w:rFonts w:hint="eastAsia" w:eastAsiaTheme="minorEastAsia"/>
          <w:color w:val="auto"/>
          <w:lang w:val="en-US" w:eastAsia="zh-CN"/>
        </w:rPr>
        <w:t>、27.36u</w:t>
      </w:r>
      <w:r>
        <w:rPr>
          <w:rFonts w:eastAsiaTheme="minorEastAsia"/>
          <w:color w:val="auto"/>
        </w:rPr>
        <w:t>g/m</w:t>
      </w:r>
      <w:r>
        <w:rPr>
          <w:rFonts w:eastAsiaTheme="minorEastAsia"/>
          <w:color w:val="auto"/>
          <w:vertAlign w:val="superscript"/>
        </w:rPr>
        <w:t>3</w:t>
      </w:r>
      <w:r>
        <w:rPr>
          <w:rFonts w:hint="eastAsia" w:eastAsiaTheme="minorEastAsia"/>
          <w:color w:val="auto"/>
          <w:lang w:eastAsia="zh-CN"/>
        </w:rPr>
        <w:t>，最大</w:t>
      </w:r>
      <w:r>
        <w:rPr>
          <w:rFonts w:eastAsiaTheme="minorEastAsia"/>
          <w:color w:val="auto"/>
        </w:rPr>
        <w:t>占标率分别为</w:t>
      </w:r>
      <w:r>
        <w:rPr>
          <w:rFonts w:hint="eastAsia" w:eastAsiaTheme="minorEastAsia"/>
          <w:color w:val="auto"/>
          <w:lang w:val="en-US" w:eastAsia="zh-CN"/>
        </w:rPr>
        <w:t>0.46</w:t>
      </w:r>
      <w:r>
        <w:rPr>
          <w:rFonts w:eastAsiaTheme="minorEastAsia"/>
          <w:color w:val="auto"/>
        </w:rPr>
        <w:t>%、</w:t>
      </w:r>
      <w:r>
        <w:rPr>
          <w:rFonts w:hint="eastAsia" w:eastAsiaTheme="minorEastAsia"/>
          <w:color w:val="auto"/>
          <w:lang w:val="en-US" w:eastAsia="zh-CN"/>
        </w:rPr>
        <w:t>0.47</w:t>
      </w:r>
      <w:r>
        <w:rPr>
          <w:rFonts w:eastAsiaTheme="minorEastAsia"/>
          <w:color w:val="auto"/>
        </w:rPr>
        <w:t>%、</w:t>
      </w:r>
      <w:r>
        <w:rPr>
          <w:rFonts w:hint="eastAsia" w:eastAsiaTheme="minorEastAsia"/>
          <w:color w:val="auto"/>
          <w:lang w:val="en-US" w:eastAsia="zh-CN"/>
        </w:rPr>
        <w:t>0.48</w:t>
      </w:r>
      <w:r>
        <w:rPr>
          <w:rFonts w:eastAsiaTheme="minorEastAsia"/>
          <w:color w:val="auto"/>
        </w:rPr>
        <w:t>%</w:t>
      </w:r>
      <w:r>
        <w:rPr>
          <w:rFonts w:hint="eastAsia" w:eastAsiaTheme="minorEastAsia"/>
          <w:color w:val="auto"/>
          <w:lang w:eastAsia="zh-CN"/>
        </w:rPr>
        <w:t>、</w:t>
      </w:r>
      <w:r>
        <w:rPr>
          <w:rFonts w:hint="eastAsia" w:eastAsiaTheme="minorEastAsia"/>
          <w:color w:val="auto"/>
          <w:lang w:val="en-US" w:eastAsia="zh-CN"/>
        </w:rPr>
        <w:t>2.17</w:t>
      </w:r>
      <w:r>
        <w:rPr>
          <w:rFonts w:eastAsiaTheme="minorEastAsia"/>
          <w:color w:val="auto"/>
        </w:rPr>
        <w:t>%</w:t>
      </w:r>
      <w:r>
        <w:rPr>
          <w:rFonts w:hint="eastAsia" w:eastAsiaTheme="minorEastAsia"/>
          <w:color w:val="auto"/>
          <w:lang w:val="en-US" w:eastAsia="zh-CN"/>
        </w:rPr>
        <w:t>、3.04</w:t>
      </w:r>
      <w:r>
        <w:rPr>
          <w:rFonts w:eastAsiaTheme="minorEastAsia"/>
          <w:color w:val="auto"/>
        </w:rPr>
        <w:t>%，</w:t>
      </w:r>
      <w:r>
        <w:rPr>
          <w:rFonts w:hint="eastAsia" w:eastAsiaTheme="minorEastAsia"/>
          <w:color w:val="auto"/>
          <w:lang w:eastAsia="zh-CN"/>
        </w:rPr>
        <w:t>对应距离源分别为</w:t>
      </w:r>
      <w:r>
        <w:rPr>
          <w:rFonts w:hint="eastAsia" w:eastAsiaTheme="minorEastAsia"/>
          <w:color w:val="auto"/>
          <w:lang w:val="en-US" w:eastAsia="zh-CN"/>
        </w:rPr>
        <w:t>175m、180m、175m、97m、97m，综上，本项目各污染物</w:t>
      </w:r>
      <w:r>
        <w:rPr>
          <w:rFonts w:eastAsiaTheme="minorEastAsia"/>
          <w:color w:val="auto"/>
        </w:rPr>
        <w:t>最大地面浓度占标百分比P</w:t>
      </w:r>
      <w:r>
        <w:rPr>
          <w:rFonts w:eastAsiaTheme="minorEastAsia"/>
          <w:color w:val="auto"/>
          <w:vertAlign w:val="subscript"/>
        </w:rPr>
        <w:t>max</w:t>
      </w:r>
      <w:r>
        <w:rPr>
          <w:rFonts w:hint="eastAsia" w:eastAsiaTheme="minorEastAsia"/>
          <w:color w:val="auto"/>
          <w:vertAlign w:val="subscript"/>
          <w:lang w:val="en-US" w:eastAsia="zh-CN"/>
        </w:rPr>
        <w:t>=</w:t>
      </w:r>
      <w:r>
        <w:rPr>
          <w:rFonts w:hint="eastAsia" w:eastAsiaTheme="minorEastAsia"/>
          <w:color w:val="auto"/>
          <w:vertAlign w:val="baseline"/>
          <w:lang w:val="en-US" w:eastAsia="zh-CN"/>
        </w:rPr>
        <w:t>3.04%，</w:t>
      </w:r>
      <w:r>
        <w:rPr>
          <w:rFonts w:hint="eastAsia" w:eastAsiaTheme="minorEastAsia"/>
          <w:color w:val="auto"/>
          <w:lang w:val="en-US" w:eastAsia="zh-CN"/>
        </w:rPr>
        <w:t>1%</w:t>
      </w:r>
      <w:r>
        <w:rPr>
          <w:rFonts w:eastAsiaTheme="minorEastAsia"/>
          <w:color w:val="auto"/>
        </w:rPr>
        <w:t>＜P</w:t>
      </w:r>
      <w:r>
        <w:rPr>
          <w:rFonts w:eastAsiaTheme="minorEastAsia"/>
          <w:color w:val="auto"/>
          <w:vertAlign w:val="subscript"/>
        </w:rPr>
        <w:t>max</w:t>
      </w:r>
      <w:r>
        <w:rPr>
          <w:rFonts w:eastAsiaTheme="minorEastAsia"/>
          <w:color w:val="auto"/>
        </w:rPr>
        <w:t>＜10%，确定大气环境评价等级为</w:t>
      </w:r>
      <w:r>
        <w:rPr>
          <w:rFonts w:hint="eastAsia" w:eastAsiaTheme="minorEastAsia"/>
          <w:color w:val="auto"/>
          <w:lang w:eastAsia="zh-CN"/>
        </w:rPr>
        <w:t>二级</w:t>
      </w:r>
      <w:r>
        <w:rPr>
          <w:rFonts w:eastAsiaTheme="minorEastAsia"/>
          <w:color w:val="auto"/>
        </w:rPr>
        <w:t>。</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2.4.2地表水环境</w:t>
      </w:r>
    </w:p>
    <w:p>
      <w:pPr>
        <w:pStyle w:val="276"/>
        <w:rPr>
          <w:rFonts w:eastAsiaTheme="minorEastAsia"/>
          <w:color w:val="auto"/>
        </w:rPr>
      </w:pPr>
      <w:r>
        <w:rPr>
          <w:rFonts w:eastAsiaTheme="minorEastAsia"/>
          <w:color w:val="auto"/>
        </w:rPr>
        <w:t>根据《环境影响评价技术导则  地面水环境》（HJ/T2.3-1993）对地面水环境评价工作等级划分依据考虑该工程的污水排放量、污水水质复杂程度、受纳水体规模、受纳水体的功能等四项要求指标的特点，确定地面水评价工作等级。根据工程投产后的具体情况，本项目生产废水为降尘废水，绝大多数抑尘废水蒸发到空气中，所以生产废水没有外排；职工生活污水排入防渗旱厕，定期清掏外运堆肥。本项目不直接向水体排放废水，根据《环境影响评价技术导则 地面水环境》（HJ/T2.3-93），本项目地表水低于三级地面水环境影响评价条件，不必进行地面水环境影响评价，只需简要说明所排放的污染物类型和数量、给排水状况、排水去向等，并进行一些简单的环境影响分析。</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2.4.3地下水环境</w:t>
      </w:r>
    </w:p>
    <w:p>
      <w:pPr>
        <w:pStyle w:val="276"/>
        <w:rPr>
          <w:rFonts w:eastAsiaTheme="minorEastAsia"/>
          <w:color w:val="auto"/>
        </w:rPr>
      </w:pPr>
      <w:r>
        <w:rPr>
          <w:rFonts w:eastAsiaTheme="minorEastAsia"/>
          <w:color w:val="auto"/>
        </w:rPr>
        <w:t>本项目为土砂石矿开采，根据《环境影响评价技术导则 地下水环境》(HJ610-2016)中附录A的规定，本项目为IV类项目，不需要开展地下水环境影响评价。</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2.4.4</w:t>
      </w:r>
      <w:r>
        <w:rPr>
          <w:rFonts w:ascii="Times New Roman" w:hAnsi="Times New Roman" w:cs="Times New Roman" w:eastAsiaTheme="minorEastAsia"/>
          <w:color w:val="auto"/>
        </w:rPr>
        <w:t>声环境</w:t>
      </w:r>
    </w:p>
    <w:p>
      <w:pPr>
        <w:pStyle w:val="276"/>
        <w:rPr>
          <w:rFonts w:eastAsiaTheme="minorEastAsia"/>
          <w:color w:val="auto"/>
        </w:rPr>
      </w:pPr>
      <w:r>
        <w:rPr>
          <w:rFonts w:eastAsiaTheme="minorEastAsia"/>
          <w:color w:val="auto"/>
        </w:rPr>
        <w:t>根据《环境影响评价技术导则—声环境》（HJ2.4-2009）中的规定：“建设项目所处的声环境功能区为 GB3096规定的 2 类地区，或建设项目建设前后评价范围内敏感目标噪声级增高量在 3dB（A）～5dB（A）（含 5dB（A）），或受影响人口数量变化增加较多时，按二级级评价。”本项目区域为声环境功能区2类地区，建设项目噪声评价范围内无敏感目标，因此，确定本项目声环境影响评价等级为二级。</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2.4.5生态环境</w:t>
      </w:r>
    </w:p>
    <w:p>
      <w:pPr>
        <w:pStyle w:val="276"/>
        <w:jc w:val="both"/>
        <w:rPr>
          <w:rFonts w:eastAsiaTheme="minorEastAsia"/>
          <w:color w:val="auto"/>
        </w:rPr>
      </w:pPr>
      <w:r>
        <w:rPr>
          <w:rFonts w:eastAsiaTheme="minorEastAsia"/>
          <w:color w:val="auto"/>
        </w:rPr>
        <w:t>本项目为露天开采</w:t>
      </w:r>
      <w:r>
        <w:rPr>
          <w:rFonts w:hint="eastAsia" w:eastAsiaTheme="minorEastAsia"/>
          <w:color w:val="auto"/>
          <w:lang w:val="en-US" w:eastAsia="zh-CN"/>
        </w:rPr>
        <w:t>扩建项目</w:t>
      </w:r>
      <w:r>
        <w:rPr>
          <w:rFonts w:eastAsiaTheme="minorEastAsia"/>
          <w:color w:val="auto"/>
        </w:rPr>
        <w:t>，</w:t>
      </w:r>
      <w:r>
        <w:rPr>
          <w:rFonts w:hint="eastAsia" w:eastAsiaTheme="minorEastAsia"/>
          <w:color w:val="auto"/>
          <w:lang w:eastAsia="zh-CN"/>
        </w:rPr>
        <w:t>不新增占地，在原有矿山开采范围基础上继续向下深挖，工业场地和开采区均利旧，占地类型仍为采矿用地，不改变</w:t>
      </w:r>
      <w:r>
        <w:rPr>
          <w:rFonts w:eastAsiaTheme="minorEastAsia"/>
          <w:color w:val="auto"/>
        </w:rPr>
        <w:t>矿区土地利用类型</w:t>
      </w:r>
      <w:r>
        <w:rPr>
          <w:rFonts w:hint="eastAsia" w:eastAsiaTheme="minorEastAsia"/>
          <w:color w:val="auto"/>
          <w:lang w:eastAsia="zh-CN"/>
        </w:rPr>
        <w:t>。</w:t>
      </w:r>
      <w:r>
        <w:rPr>
          <w:rFonts w:eastAsiaTheme="minorEastAsia"/>
          <w:color w:val="auto"/>
        </w:rPr>
        <w:t>根据《环境影响评价技术导则 生态环境》(HJ19-2011)，</w:t>
      </w:r>
      <w:r>
        <w:rPr>
          <w:rFonts w:hint="eastAsia" w:eastAsiaTheme="minorEastAsia"/>
          <w:color w:val="auto"/>
          <w:lang w:eastAsia="zh-CN"/>
        </w:rPr>
        <w:t>改扩建工程的工程占地范围以新增占地面积或长度计算，因此，</w:t>
      </w:r>
      <w:r>
        <w:rPr>
          <w:rFonts w:eastAsiaTheme="minorEastAsia"/>
          <w:color w:val="auto"/>
        </w:rPr>
        <w:t>按表2-4-4生态影响评价工作等级为三级</w:t>
      </w:r>
      <w:r>
        <w:rPr>
          <w:rFonts w:hint="eastAsia" w:eastAsiaTheme="minorEastAsia"/>
          <w:color w:val="auto"/>
          <w:lang w:eastAsia="zh-CN"/>
        </w:rPr>
        <w:t>。</w:t>
      </w:r>
    </w:p>
    <w:p>
      <w:pPr>
        <w:pStyle w:val="276"/>
        <w:rPr>
          <w:rFonts w:eastAsiaTheme="minorEastAsia"/>
          <w:color w:val="auto"/>
        </w:rPr>
      </w:pPr>
      <w:r>
        <w:rPr>
          <w:rFonts w:eastAsiaTheme="minorEastAsia"/>
          <w:color w:val="auto"/>
        </w:rPr>
        <w:t>生态影响评价工作等级划分见表2-4-4。</w:t>
      </w:r>
    </w:p>
    <w:p>
      <w:pPr>
        <w:pStyle w:val="244"/>
        <w:rPr>
          <w:rFonts w:eastAsiaTheme="minorEastAsia"/>
          <w:color w:val="auto"/>
        </w:rPr>
      </w:pPr>
      <w:r>
        <w:rPr>
          <w:rFonts w:eastAsiaTheme="minorEastAsia"/>
          <w:color w:val="auto"/>
        </w:rPr>
        <w:t>表2-4-4  生态影响评价工作等级划分表</w:t>
      </w:r>
    </w:p>
    <w:tbl>
      <w:tblPr>
        <w:tblStyle w:val="53"/>
        <w:tblW w:w="8522" w:type="dxa"/>
        <w:jc w:val="center"/>
        <w:tblInd w:w="0" w:type="dxa"/>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2528"/>
        <w:gridCol w:w="1778"/>
        <w:gridCol w:w="2488"/>
        <w:gridCol w:w="1728"/>
      </w:tblGrid>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jc w:val="center"/>
        </w:trPr>
        <w:tc>
          <w:tcPr>
            <w:tcW w:w="2528" w:type="dxa"/>
            <w:vMerge w:val="restart"/>
            <w:vAlign w:val="center"/>
          </w:tcPr>
          <w:p>
            <w:pPr>
              <w:pStyle w:val="246"/>
              <w:rPr>
                <w:rFonts w:eastAsiaTheme="minorEastAsia"/>
                <w:color w:val="auto"/>
              </w:rPr>
            </w:pPr>
            <w:r>
              <w:rPr>
                <w:rFonts w:eastAsiaTheme="minorEastAsia"/>
                <w:color w:val="auto"/>
              </w:rPr>
              <w:t>影响区域生态敏感性</w:t>
            </w:r>
          </w:p>
        </w:tc>
        <w:tc>
          <w:tcPr>
            <w:tcW w:w="5994" w:type="dxa"/>
            <w:gridSpan w:val="3"/>
            <w:vAlign w:val="center"/>
          </w:tcPr>
          <w:p>
            <w:pPr>
              <w:pStyle w:val="246"/>
              <w:rPr>
                <w:rFonts w:eastAsiaTheme="minorEastAsia"/>
                <w:color w:val="auto"/>
              </w:rPr>
            </w:pPr>
            <w:r>
              <w:rPr>
                <w:rFonts w:eastAsiaTheme="minorEastAsia"/>
                <w:color w:val="auto"/>
              </w:rPr>
              <w:t>工程占地（水域）范围</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jc w:val="center"/>
        </w:trPr>
        <w:tc>
          <w:tcPr>
            <w:tcW w:w="2528" w:type="dxa"/>
            <w:vMerge w:val="continue"/>
            <w:vAlign w:val="center"/>
          </w:tcPr>
          <w:p>
            <w:pPr>
              <w:pStyle w:val="246"/>
              <w:rPr>
                <w:rFonts w:eastAsiaTheme="minorEastAsia"/>
                <w:color w:val="auto"/>
              </w:rPr>
            </w:pPr>
          </w:p>
        </w:tc>
        <w:tc>
          <w:tcPr>
            <w:tcW w:w="1778" w:type="dxa"/>
            <w:vAlign w:val="center"/>
          </w:tcPr>
          <w:p>
            <w:pPr>
              <w:pStyle w:val="246"/>
              <w:rPr>
                <w:rFonts w:eastAsiaTheme="minorEastAsia"/>
                <w:color w:val="auto"/>
                <w:vertAlign w:val="superscript"/>
              </w:rPr>
            </w:pPr>
            <w:r>
              <w:rPr>
                <w:rFonts w:eastAsiaTheme="minorEastAsia"/>
                <w:color w:val="auto"/>
              </w:rPr>
              <w:t>面积</w:t>
            </w:r>
            <w:r>
              <w:rPr>
                <w:rFonts w:eastAsiaTheme="minorEastAsia"/>
                <w:color w:val="auto"/>
                <w:spacing w:val="20"/>
              </w:rPr>
              <w:t>≥</w:t>
            </w:r>
            <w:r>
              <w:rPr>
                <w:rFonts w:eastAsiaTheme="minorEastAsia"/>
                <w:color w:val="auto"/>
              </w:rPr>
              <w:t>20km</w:t>
            </w:r>
            <w:r>
              <w:rPr>
                <w:rFonts w:eastAsiaTheme="minorEastAsia"/>
                <w:color w:val="auto"/>
                <w:vertAlign w:val="superscript"/>
              </w:rPr>
              <w:t>2</w:t>
            </w:r>
          </w:p>
          <w:p>
            <w:pPr>
              <w:pStyle w:val="246"/>
              <w:rPr>
                <w:rFonts w:eastAsiaTheme="minorEastAsia"/>
                <w:color w:val="auto"/>
              </w:rPr>
            </w:pPr>
            <w:r>
              <w:rPr>
                <w:rFonts w:eastAsiaTheme="minorEastAsia"/>
                <w:color w:val="auto"/>
              </w:rPr>
              <w:t>或长度≥100km</w:t>
            </w:r>
          </w:p>
        </w:tc>
        <w:tc>
          <w:tcPr>
            <w:tcW w:w="2488" w:type="dxa"/>
            <w:vAlign w:val="center"/>
          </w:tcPr>
          <w:p>
            <w:pPr>
              <w:pStyle w:val="246"/>
              <w:rPr>
                <w:rFonts w:eastAsiaTheme="minorEastAsia"/>
                <w:color w:val="auto"/>
                <w:vertAlign w:val="superscript"/>
              </w:rPr>
            </w:pPr>
            <w:r>
              <w:rPr>
                <w:rFonts w:eastAsiaTheme="minorEastAsia"/>
                <w:color w:val="auto"/>
              </w:rPr>
              <w:t>面积2km</w:t>
            </w:r>
            <w:r>
              <w:rPr>
                <w:rFonts w:eastAsiaTheme="minorEastAsia"/>
                <w:color w:val="auto"/>
                <w:vertAlign w:val="superscript"/>
              </w:rPr>
              <w:t>2</w:t>
            </w:r>
            <w:r>
              <w:rPr>
                <w:rFonts w:eastAsiaTheme="minorEastAsia"/>
                <w:color w:val="auto"/>
              </w:rPr>
              <w:t>~20km</w:t>
            </w:r>
            <w:r>
              <w:rPr>
                <w:rFonts w:eastAsiaTheme="minorEastAsia"/>
                <w:color w:val="auto"/>
                <w:vertAlign w:val="superscript"/>
              </w:rPr>
              <w:t>2</w:t>
            </w:r>
          </w:p>
          <w:p>
            <w:pPr>
              <w:pStyle w:val="246"/>
              <w:rPr>
                <w:rFonts w:eastAsiaTheme="minorEastAsia"/>
                <w:color w:val="auto"/>
              </w:rPr>
            </w:pPr>
            <w:r>
              <w:rPr>
                <w:rFonts w:eastAsiaTheme="minorEastAsia"/>
                <w:color w:val="auto"/>
              </w:rPr>
              <w:t>或长度50km~100km</w:t>
            </w:r>
          </w:p>
        </w:tc>
        <w:tc>
          <w:tcPr>
            <w:tcW w:w="1728" w:type="dxa"/>
            <w:vAlign w:val="center"/>
          </w:tcPr>
          <w:p>
            <w:pPr>
              <w:pStyle w:val="246"/>
              <w:rPr>
                <w:rFonts w:eastAsiaTheme="minorEastAsia"/>
                <w:color w:val="auto"/>
                <w:vertAlign w:val="superscript"/>
              </w:rPr>
            </w:pPr>
            <w:r>
              <w:rPr>
                <w:rFonts w:eastAsiaTheme="minorEastAsia"/>
                <w:color w:val="auto"/>
              </w:rPr>
              <w:t>面积≤2km</w:t>
            </w:r>
            <w:r>
              <w:rPr>
                <w:rFonts w:eastAsiaTheme="minorEastAsia"/>
                <w:color w:val="auto"/>
                <w:vertAlign w:val="superscript"/>
              </w:rPr>
              <w:t>2</w:t>
            </w:r>
          </w:p>
          <w:p>
            <w:pPr>
              <w:pStyle w:val="246"/>
              <w:rPr>
                <w:rFonts w:eastAsiaTheme="minorEastAsia"/>
                <w:color w:val="auto"/>
              </w:rPr>
            </w:pPr>
            <w:r>
              <w:rPr>
                <w:rFonts w:eastAsiaTheme="minorEastAsia"/>
                <w:color w:val="auto"/>
              </w:rPr>
              <w:t>或长度≤50km</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jc w:val="center"/>
        </w:trPr>
        <w:tc>
          <w:tcPr>
            <w:tcW w:w="2528" w:type="dxa"/>
            <w:vAlign w:val="center"/>
          </w:tcPr>
          <w:p>
            <w:pPr>
              <w:pStyle w:val="246"/>
              <w:rPr>
                <w:rFonts w:eastAsiaTheme="minorEastAsia"/>
                <w:color w:val="auto"/>
              </w:rPr>
            </w:pPr>
            <w:r>
              <w:rPr>
                <w:rFonts w:eastAsiaTheme="minorEastAsia"/>
                <w:color w:val="auto"/>
              </w:rPr>
              <w:t>特殊生态敏感区</w:t>
            </w:r>
          </w:p>
        </w:tc>
        <w:tc>
          <w:tcPr>
            <w:tcW w:w="1778" w:type="dxa"/>
            <w:vAlign w:val="center"/>
          </w:tcPr>
          <w:p>
            <w:pPr>
              <w:pStyle w:val="246"/>
              <w:rPr>
                <w:rFonts w:eastAsiaTheme="minorEastAsia"/>
                <w:color w:val="auto"/>
              </w:rPr>
            </w:pPr>
            <w:r>
              <w:rPr>
                <w:rFonts w:eastAsiaTheme="minorEastAsia"/>
                <w:color w:val="auto"/>
              </w:rPr>
              <w:t>一级</w:t>
            </w:r>
          </w:p>
        </w:tc>
        <w:tc>
          <w:tcPr>
            <w:tcW w:w="2488" w:type="dxa"/>
            <w:vAlign w:val="center"/>
          </w:tcPr>
          <w:p>
            <w:pPr>
              <w:pStyle w:val="246"/>
              <w:rPr>
                <w:rFonts w:eastAsiaTheme="minorEastAsia"/>
                <w:color w:val="auto"/>
              </w:rPr>
            </w:pPr>
            <w:r>
              <w:rPr>
                <w:rFonts w:eastAsiaTheme="minorEastAsia"/>
                <w:color w:val="auto"/>
              </w:rPr>
              <w:t>一级</w:t>
            </w:r>
          </w:p>
        </w:tc>
        <w:tc>
          <w:tcPr>
            <w:tcW w:w="1728" w:type="dxa"/>
            <w:vAlign w:val="center"/>
          </w:tcPr>
          <w:p>
            <w:pPr>
              <w:pStyle w:val="246"/>
              <w:rPr>
                <w:rFonts w:eastAsiaTheme="minorEastAsia"/>
                <w:color w:val="auto"/>
              </w:rPr>
            </w:pPr>
            <w:r>
              <w:rPr>
                <w:rFonts w:eastAsiaTheme="minorEastAsia"/>
                <w:color w:val="auto"/>
              </w:rPr>
              <w:t>一级</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jc w:val="center"/>
        </w:trPr>
        <w:tc>
          <w:tcPr>
            <w:tcW w:w="2528" w:type="dxa"/>
            <w:vAlign w:val="center"/>
          </w:tcPr>
          <w:p>
            <w:pPr>
              <w:pStyle w:val="246"/>
              <w:rPr>
                <w:rFonts w:eastAsiaTheme="minorEastAsia"/>
                <w:color w:val="auto"/>
              </w:rPr>
            </w:pPr>
            <w:r>
              <w:rPr>
                <w:rFonts w:eastAsiaTheme="minorEastAsia"/>
                <w:color w:val="auto"/>
              </w:rPr>
              <w:t>重要生态敏感区</w:t>
            </w:r>
          </w:p>
        </w:tc>
        <w:tc>
          <w:tcPr>
            <w:tcW w:w="1778" w:type="dxa"/>
            <w:vAlign w:val="center"/>
          </w:tcPr>
          <w:p>
            <w:pPr>
              <w:pStyle w:val="246"/>
              <w:rPr>
                <w:rFonts w:eastAsiaTheme="minorEastAsia"/>
                <w:color w:val="auto"/>
              </w:rPr>
            </w:pPr>
            <w:r>
              <w:rPr>
                <w:rFonts w:eastAsiaTheme="minorEastAsia"/>
                <w:color w:val="auto"/>
              </w:rPr>
              <w:t>一级</w:t>
            </w:r>
          </w:p>
        </w:tc>
        <w:tc>
          <w:tcPr>
            <w:tcW w:w="2488" w:type="dxa"/>
            <w:vAlign w:val="center"/>
          </w:tcPr>
          <w:p>
            <w:pPr>
              <w:pStyle w:val="246"/>
              <w:rPr>
                <w:rFonts w:eastAsiaTheme="minorEastAsia"/>
                <w:color w:val="auto"/>
              </w:rPr>
            </w:pPr>
            <w:r>
              <w:rPr>
                <w:rFonts w:eastAsiaTheme="minorEastAsia"/>
                <w:color w:val="auto"/>
              </w:rPr>
              <w:t>二级</w:t>
            </w:r>
          </w:p>
        </w:tc>
        <w:tc>
          <w:tcPr>
            <w:tcW w:w="1728" w:type="dxa"/>
            <w:vAlign w:val="center"/>
          </w:tcPr>
          <w:p>
            <w:pPr>
              <w:pStyle w:val="246"/>
              <w:rPr>
                <w:rFonts w:eastAsiaTheme="minorEastAsia"/>
                <w:color w:val="auto"/>
              </w:rPr>
            </w:pPr>
            <w:r>
              <w:rPr>
                <w:rFonts w:eastAsiaTheme="minorEastAsia"/>
                <w:color w:val="auto"/>
              </w:rPr>
              <w:t>三级</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jc w:val="center"/>
        </w:trPr>
        <w:tc>
          <w:tcPr>
            <w:tcW w:w="2528" w:type="dxa"/>
            <w:vAlign w:val="center"/>
          </w:tcPr>
          <w:p>
            <w:pPr>
              <w:pStyle w:val="246"/>
              <w:rPr>
                <w:rFonts w:eastAsiaTheme="minorEastAsia"/>
                <w:color w:val="auto"/>
              </w:rPr>
            </w:pPr>
            <w:r>
              <w:rPr>
                <w:rFonts w:eastAsiaTheme="minorEastAsia"/>
                <w:color w:val="auto"/>
              </w:rPr>
              <w:t>一般区域</w:t>
            </w:r>
          </w:p>
        </w:tc>
        <w:tc>
          <w:tcPr>
            <w:tcW w:w="1778" w:type="dxa"/>
            <w:vAlign w:val="center"/>
          </w:tcPr>
          <w:p>
            <w:pPr>
              <w:pStyle w:val="246"/>
              <w:rPr>
                <w:rFonts w:eastAsiaTheme="minorEastAsia"/>
                <w:color w:val="auto"/>
              </w:rPr>
            </w:pPr>
            <w:r>
              <w:rPr>
                <w:rFonts w:eastAsiaTheme="minorEastAsia"/>
                <w:color w:val="auto"/>
              </w:rPr>
              <w:t>二级</w:t>
            </w:r>
          </w:p>
        </w:tc>
        <w:tc>
          <w:tcPr>
            <w:tcW w:w="2488" w:type="dxa"/>
            <w:vAlign w:val="center"/>
          </w:tcPr>
          <w:p>
            <w:pPr>
              <w:pStyle w:val="246"/>
              <w:rPr>
                <w:rFonts w:eastAsiaTheme="minorEastAsia"/>
                <w:color w:val="auto"/>
              </w:rPr>
            </w:pPr>
            <w:r>
              <w:rPr>
                <w:rFonts w:eastAsiaTheme="minorEastAsia"/>
                <w:color w:val="auto"/>
              </w:rPr>
              <w:t>三级</w:t>
            </w:r>
          </w:p>
        </w:tc>
        <w:tc>
          <w:tcPr>
            <w:tcW w:w="1728" w:type="dxa"/>
            <w:vAlign w:val="center"/>
          </w:tcPr>
          <w:p>
            <w:pPr>
              <w:pStyle w:val="246"/>
              <w:rPr>
                <w:rFonts w:eastAsiaTheme="minorEastAsia"/>
                <w:color w:val="auto"/>
              </w:rPr>
            </w:pPr>
            <w:r>
              <w:rPr>
                <w:rFonts w:eastAsiaTheme="minorEastAsia"/>
                <w:color w:val="auto"/>
              </w:rPr>
              <w:t>三级</w:t>
            </w:r>
          </w:p>
        </w:tc>
      </w:tr>
    </w:tbl>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2.4.6环境风险</w:t>
      </w:r>
    </w:p>
    <w:p>
      <w:pPr>
        <w:pStyle w:val="276"/>
        <w:rPr>
          <w:rFonts w:eastAsiaTheme="minorEastAsia"/>
          <w:color w:val="auto"/>
        </w:rPr>
      </w:pPr>
      <w:r>
        <w:rPr>
          <w:rFonts w:eastAsiaTheme="minorEastAsia"/>
          <w:color w:val="auto"/>
        </w:rPr>
        <w:t>根据《建设项目环境影响风险评价技术导则》（HJ/T169-2004），环境风险评价工作等级划分原则见表2-4-5。</w:t>
      </w:r>
    </w:p>
    <w:p>
      <w:pPr>
        <w:pStyle w:val="244"/>
        <w:rPr>
          <w:rFonts w:eastAsiaTheme="minorEastAsia"/>
          <w:color w:val="auto"/>
        </w:rPr>
      </w:pPr>
      <w:r>
        <w:rPr>
          <w:rFonts w:eastAsiaTheme="minorEastAsia"/>
          <w:color w:val="auto"/>
        </w:rPr>
        <w:t>表2-4-5  环境风险评价工作等级确定表</w:t>
      </w:r>
    </w:p>
    <w:tbl>
      <w:tblPr>
        <w:tblStyle w:val="53"/>
        <w:tblW w:w="8522" w:type="dxa"/>
        <w:tblInd w:w="0" w:type="dxa"/>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2131"/>
        <w:gridCol w:w="1524"/>
        <w:gridCol w:w="1522"/>
        <w:gridCol w:w="1825"/>
        <w:gridCol w:w="1520"/>
      </w:tblGrid>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2131" w:type="dxa"/>
            <w:vAlign w:val="center"/>
          </w:tcPr>
          <w:p>
            <w:pPr>
              <w:pStyle w:val="246"/>
              <w:rPr>
                <w:rFonts w:eastAsiaTheme="minorEastAsia"/>
                <w:color w:val="auto"/>
              </w:rPr>
            </w:pPr>
            <w:r>
              <w:rPr>
                <w:rFonts w:eastAsiaTheme="minorEastAsia"/>
                <w:color w:val="auto"/>
              </w:rPr>
              <w:t>项目</w:t>
            </w:r>
          </w:p>
        </w:tc>
        <w:tc>
          <w:tcPr>
            <w:tcW w:w="1524" w:type="dxa"/>
            <w:vAlign w:val="center"/>
          </w:tcPr>
          <w:p>
            <w:pPr>
              <w:pStyle w:val="246"/>
              <w:rPr>
                <w:rFonts w:eastAsiaTheme="minorEastAsia"/>
                <w:color w:val="auto"/>
              </w:rPr>
            </w:pPr>
            <w:r>
              <w:rPr>
                <w:rFonts w:eastAsiaTheme="minorEastAsia"/>
                <w:color w:val="auto"/>
              </w:rPr>
              <w:t>剧毒危</w:t>
            </w:r>
          </w:p>
          <w:p>
            <w:pPr>
              <w:pStyle w:val="246"/>
              <w:rPr>
                <w:rFonts w:eastAsiaTheme="minorEastAsia"/>
                <w:color w:val="auto"/>
              </w:rPr>
            </w:pPr>
            <w:r>
              <w:rPr>
                <w:rFonts w:eastAsiaTheme="minorEastAsia"/>
                <w:color w:val="auto"/>
              </w:rPr>
              <w:t>险性物质</w:t>
            </w:r>
          </w:p>
        </w:tc>
        <w:tc>
          <w:tcPr>
            <w:tcW w:w="1522" w:type="dxa"/>
            <w:vAlign w:val="center"/>
          </w:tcPr>
          <w:p>
            <w:pPr>
              <w:pStyle w:val="246"/>
              <w:rPr>
                <w:rFonts w:eastAsiaTheme="minorEastAsia"/>
                <w:color w:val="auto"/>
              </w:rPr>
            </w:pPr>
            <w:r>
              <w:rPr>
                <w:rFonts w:eastAsiaTheme="minorEastAsia"/>
                <w:color w:val="auto"/>
              </w:rPr>
              <w:t>一般毒危</w:t>
            </w:r>
          </w:p>
          <w:p>
            <w:pPr>
              <w:pStyle w:val="246"/>
              <w:rPr>
                <w:rFonts w:eastAsiaTheme="minorEastAsia"/>
                <w:color w:val="auto"/>
              </w:rPr>
            </w:pPr>
            <w:r>
              <w:rPr>
                <w:rFonts w:eastAsiaTheme="minorEastAsia"/>
                <w:color w:val="auto"/>
              </w:rPr>
              <w:t>险性物质</w:t>
            </w:r>
          </w:p>
        </w:tc>
        <w:tc>
          <w:tcPr>
            <w:tcW w:w="1825" w:type="dxa"/>
            <w:vAlign w:val="center"/>
          </w:tcPr>
          <w:p>
            <w:pPr>
              <w:pStyle w:val="246"/>
              <w:rPr>
                <w:rFonts w:eastAsiaTheme="minorEastAsia"/>
                <w:color w:val="auto"/>
              </w:rPr>
            </w:pPr>
            <w:r>
              <w:rPr>
                <w:rFonts w:eastAsiaTheme="minorEastAsia"/>
                <w:color w:val="auto"/>
              </w:rPr>
              <w:t>可燃、易燃</w:t>
            </w:r>
          </w:p>
          <w:p>
            <w:pPr>
              <w:pStyle w:val="246"/>
              <w:rPr>
                <w:rFonts w:eastAsiaTheme="minorEastAsia"/>
                <w:color w:val="auto"/>
              </w:rPr>
            </w:pPr>
            <w:r>
              <w:rPr>
                <w:rFonts w:eastAsiaTheme="minorEastAsia"/>
                <w:color w:val="auto"/>
              </w:rPr>
              <w:t>危险性物质</w:t>
            </w:r>
          </w:p>
        </w:tc>
        <w:tc>
          <w:tcPr>
            <w:tcW w:w="1520" w:type="dxa"/>
            <w:vAlign w:val="center"/>
          </w:tcPr>
          <w:p>
            <w:pPr>
              <w:pStyle w:val="246"/>
              <w:rPr>
                <w:rFonts w:eastAsiaTheme="minorEastAsia"/>
                <w:color w:val="auto"/>
              </w:rPr>
            </w:pPr>
            <w:r>
              <w:rPr>
                <w:rFonts w:eastAsiaTheme="minorEastAsia"/>
                <w:color w:val="auto"/>
              </w:rPr>
              <w:t>爆炸危</w:t>
            </w:r>
          </w:p>
          <w:p>
            <w:pPr>
              <w:pStyle w:val="246"/>
              <w:rPr>
                <w:rFonts w:eastAsiaTheme="minorEastAsia"/>
                <w:color w:val="auto"/>
              </w:rPr>
            </w:pPr>
            <w:r>
              <w:rPr>
                <w:rFonts w:eastAsiaTheme="minorEastAsia"/>
                <w:color w:val="auto"/>
              </w:rPr>
              <w:t>险性物质</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2131" w:type="dxa"/>
            <w:vAlign w:val="center"/>
          </w:tcPr>
          <w:p>
            <w:pPr>
              <w:pStyle w:val="246"/>
              <w:rPr>
                <w:rFonts w:eastAsiaTheme="minorEastAsia"/>
                <w:color w:val="auto"/>
              </w:rPr>
            </w:pPr>
            <w:r>
              <w:rPr>
                <w:rFonts w:eastAsiaTheme="minorEastAsia"/>
                <w:color w:val="auto"/>
              </w:rPr>
              <w:t>重大危险源</w:t>
            </w:r>
          </w:p>
        </w:tc>
        <w:tc>
          <w:tcPr>
            <w:tcW w:w="1524" w:type="dxa"/>
            <w:vAlign w:val="center"/>
          </w:tcPr>
          <w:p>
            <w:pPr>
              <w:pStyle w:val="246"/>
              <w:rPr>
                <w:rFonts w:eastAsiaTheme="minorEastAsia"/>
                <w:color w:val="auto"/>
              </w:rPr>
            </w:pPr>
            <w:r>
              <w:rPr>
                <w:rFonts w:eastAsiaTheme="minorEastAsia"/>
                <w:color w:val="auto"/>
              </w:rPr>
              <w:t>一</w:t>
            </w:r>
          </w:p>
        </w:tc>
        <w:tc>
          <w:tcPr>
            <w:tcW w:w="1522" w:type="dxa"/>
            <w:vAlign w:val="center"/>
          </w:tcPr>
          <w:p>
            <w:pPr>
              <w:pStyle w:val="246"/>
              <w:rPr>
                <w:rFonts w:eastAsiaTheme="minorEastAsia"/>
                <w:color w:val="auto"/>
              </w:rPr>
            </w:pPr>
            <w:r>
              <w:rPr>
                <w:rFonts w:eastAsiaTheme="minorEastAsia"/>
                <w:color w:val="auto"/>
              </w:rPr>
              <w:t>二</w:t>
            </w:r>
          </w:p>
        </w:tc>
        <w:tc>
          <w:tcPr>
            <w:tcW w:w="1825" w:type="dxa"/>
            <w:vAlign w:val="center"/>
          </w:tcPr>
          <w:p>
            <w:pPr>
              <w:pStyle w:val="246"/>
              <w:rPr>
                <w:rFonts w:eastAsiaTheme="minorEastAsia"/>
                <w:color w:val="auto"/>
              </w:rPr>
            </w:pPr>
            <w:r>
              <w:rPr>
                <w:rFonts w:eastAsiaTheme="minorEastAsia"/>
                <w:color w:val="auto"/>
              </w:rPr>
              <w:t>一</w:t>
            </w:r>
          </w:p>
        </w:tc>
        <w:tc>
          <w:tcPr>
            <w:tcW w:w="1520" w:type="dxa"/>
            <w:vAlign w:val="center"/>
          </w:tcPr>
          <w:p>
            <w:pPr>
              <w:pStyle w:val="246"/>
              <w:rPr>
                <w:rFonts w:eastAsiaTheme="minorEastAsia"/>
                <w:color w:val="auto"/>
              </w:rPr>
            </w:pPr>
            <w:r>
              <w:rPr>
                <w:rFonts w:eastAsiaTheme="minorEastAsia"/>
                <w:color w:val="auto"/>
              </w:rPr>
              <w:t>一</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2131" w:type="dxa"/>
            <w:vAlign w:val="center"/>
          </w:tcPr>
          <w:p>
            <w:pPr>
              <w:pStyle w:val="246"/>
              <w:rPr>
                <w:rFonts w:eastAsiaTheme="minorEastAsia"/>
                <w:color w:val="auto"/>
              </w:rPr>
            </w:pPr>
            <w:r>
              <w:rPr>
                <w:rFonts w:eastAsiaTheme="minorEastAsia"/>
                <w:color w:val="auto"/>
              </w:rPr>
              <w:t>非重大危险源</w:t>
            </w:r>
          </w:p>
        </w:tc>
        <w:tc>
          <w:tcPr>
            <w:tcW w:w="1524" w:type="dxa"/>
            <w:vAlign w:val="center"/>
          </w:tcPr>
          <w:p>
            <w:pPr>
              <w:pStyle w:val="246"/>
              <w:rPr>
                <w:rFonts w:eastAsiaTheme="minorEastAsia"/>
                <w:color w:val="auto"/>
              </w:rPr>
            </w:pPr>
            <w:r>
              <w:rPr>
                <w:rFonts w:eastAsiaTheme="minorEastAsia"/>
                <w:color w:val="auto"/>
              </w:rPr>
              <w:t>二</w:t>
            </w:r>
          </w:p>
        </w:tc>
        <w:tc>
          <w:tcPr>
            <w:tcW w:w="1522" w:type="dxa"/>
            <w:vAlign w:val="center"/>
          </w:tcPr>
          <w:p>
            <w:pPr>
              <w:pStyle w:val="246"/>
              <w:rPr>
                <w:rFonts w:eastAsiaTheme="minorEastAsia"/>
                <w:color w:val="auto"/>
              </w:rPr>
            </w:pPr>
            <w:r>
              <w:rPr>
                <w:rFonts w:eastAsiaTheme="minorEastAsia"/>
                <w:color w:val="auto"/>
              </w:rPr>
              <w:t>二</w:t>
            </w:r>
          </w:p>
        </w:tc>
        <w:tc>
          <w:tcPr>
            <w:tcW w:w="1825" w:type="dxa"/>
            <w:vAlign w:val="center"/>
          </w:tcPr>
          <w:p>
            <w:pPr>
              <w:pStyle w:val="246"/>
              <w:rPr>
                <w:rFonts w:eastAsiaTheme="minorEastAsia"/>
                <w:color w:val="auto"/>
              </w:rPr>
            </w:pPr>
            <w:r>
              <w:rPr>
                <w:rFonts w:eastAsiaTheme="minorEastAsia"/>
                <w:color w:val="auto"/>
              </w:rPr>
              <w:t>二</w:t>
            </w:r>
          </w:p>
        </w:tc>
        <w:tc>
          <w:tcPr>
            <w:tcW w:w="1520" w:type="dxa"/>
            <w:vAlign w:val="center"/>
          </w:tcPr>
          <w:p>
            <w:pPr>
              <w:pStyle w:val="246"/>
              <w:rPr>
                <w:rFonts w:eastAsiaTheme="minorEastAsia"/>
                <w:color w:val="auto"/>
              </w:rPr>
            </w:pPr>
            <w:r>
              <w:rPr>
                <w:rFonts w:eastAsiaTheme="minorEastAsia"/>
                <w:color w:val="auto"/>
              </w:rPr>
              <w:t>二</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2131" w:type="dxa"/>
            <w:vAlign w:val="center"/>
          </w:tcPr>
          <w:p>
            <w:pPr>
              <w:pStyle w:val="246"/>
              <w:rPr>
                <w:rFonts w:eastAsiaTheme="minorEastAsia"/>
                <w:color w:val="auto"/>
              </w:rPr>
            </w:pPr>
            <w:r>
              <w:rPr>
                <w:rFonts w:eastAsiaTheme="minorEastAsia"/>
                <w:color w:val="auto"/>
              </w:rPr>
              <w:t>环境敏感地区</w:t>
            </w:r>
          </w:p>
        </w:tc>
        <w:tc>
          <w:tcPr>
            <w:tcW w:w="1524" w:type="dxa"/>
            <w:vAlign w:val="center"/>
          </w:tcPr>
          <w:p>
            <w:pPr>
              <w:pStyle w:val="246"/>
              <w:rPr>
                <w:rFonts w:eastAsiaTheme="minorEastAsia"/>
                <w:color w:val="auto"/>
              </w:rPr>
            </w:pPr>
            <w:r>
              <w:rPr>
                <w:rFonts w:eastAsiaTheme="minorEastAsia"/>
                <w:color w:val="auto"/>
              </w:rPr>
              <w:t>一</w:t>
            </w:r>
          </w:p>
        </w:tc>
        <w:tc>
          <w:tcPr>
            <w:tcW w:w="1522" w:type="dxa"/>
            <w:vAlign w:val="center"/>
          </w:tcPr>
          <w:p>
            <w:pPr>
              <w:pStyle w:val="246"/>
              <w:rPr>
                <w:rFonts w:eastAsiaTheme="minorEastAsia"/>
                <w:color w:val="auto"/>
              </w:rPr>
            </w:pPr>
            <w:r>
              <w:rPr>
                <w:rFonts w:eastAsiaTheme="minorEastAsia"/>
                <w:color w:val="auto"/>
              </w:rPr>
              <w:t>一</w:t>
            </w:r>
          </w:p>
        </w:tc>
        <w:tc>
          <w:tcPr>
            <w:tcW w:w="1825" w:type="dxa"/>
            <w:vAlign w:val="center"/>
          </w:tcPr>
          <w:p>
            <w:pPr>
              <w:pStyle w:val="246"/>
              <w:rPr>
                <w:rFonts w:eastAsiaTheme="minorEastAsia"/>
                <w:color w:val="auto"/>
              </w:rPr>
            </w:pPr>
            <w:r>
              <w:rPr>
                <w:rFonts w:eastAsiaTheme="minorEastAsia"/>
                <w:color w:val="auto"/>
              </w:rPr>
              <w:t>一</w:t>
            </w:r>
          </w:p>
        </w:tc>
        <w:tc>
          <w:tcPr>
            <w:tcW w:w="1520" w:type="dxa"/>
            <w:vAlign w:val="center"/>
          </w:tcPr>
          <w:p>
            <w:pPr>
              <w:pStyle w:val="246"/>
              <w:rPr>
                <w:rFonts w:eastAsiaTheme="minorEastAsia"/>
                <w:color w:val="auto"/>
              </w:rPr>
            </w:pPr>
            <w:r>
              <w:rPr>
                <w:rFonts w:eastAsiaTheme="minorEastAsia"/>
                <w:color w:val="auto"/>
              </w:rPr>
              <w:t>一</w:t>
            </w:r>
          </w:p>
        </w:tc>
      </w:tr>
    </w:tbl>
    <w:p>
      <w:pPr>
        <w:pStyle w:val="276"/>
        <w:rPr>
          <w:rFonts w:eastAsiaTheme="minorEastAsia"/>
          <w:color w:val="auto"/>
        </w:rPr>
      </w:pPr>
      <w:r>
        <w:rPr>
          <w:rFonts w:eastAsiaTheme="minorEastAsia"/>
          <w:color w:val="auto"/>
        </w:rPr>
        <w:t>依据《危险化学品重大危险源辨识》（GB18218-2009）的有关规定，本项目不设置柴油存储库，采用加油车为矿区内车辆加油；矿区内不储存炸药也不建炸药库，炸药向公安部门申请，爆破委托专业公司专业爆破人员进行操作，设置300m安全距离。本项目不存在重大危险源，因此，本项目风险评价定为二级。</w:t>
      </w:r>
    </w:p>
    <w:p>
      <w:pPr>
        <w:pStyle w:val="238"/>
        <w:rPr>
          <w:rFonts w:hAnsi="Times New Roman" w:eastAsiaTheme="minorEastAsia"/>
          <w:color w:val="auto"/>
        </w:rPr>
      </w:pPr>
      <w:bookmarkStart w:id="81" w:name="_Toc519693563"/>
      <w:bookmarkStart w:id="82" w:name="_Toc436406187"/>
      <w:bookmarkStart w:id="83" w:name="_Toc440973674"/>
      <w:bookmarkStart w:id="84" w:name="_Toc359179954"/>
      <w:bookmarkStart w:id="85" w:name="_Toc440973408"/>
      <w:bookmarkStart w:id="86" w:name="_Toc360142519"/>
      <w:r>
        <w:rPr>
          <w:rFonts w:hAnsi="Times New Roman" w:eastAsiaTheme="minorEastAsia"/>
          <w:color w:val="auto"/>
        </w:rPr>
        <w:t>2.5</w:t>
      </w:r>
      <w:r>
        <w:rPr>
          <w:rFonts w:hAnsi="Times New Roman" w:eastAsiaTheme="minorEastAsia"/>
          <w:color w:val="auto"/>
        </w:rPr>
        <w:t>评价范围和环境保护目标</w:t>
      </w:r>
      <w:bookmarkEnd w:id="81"/>
      <w:bookmarkEnd w:id="82"/>
      <w:bookmarkEnd w:id="83"/>
      <w:bookmarkEnd w:id="84"/>
      <w:bookmarkEnd w:id="85"/>
      <w:bookmarkEnd w:id="86"/>
    </w:p>
    <w:p>
      <w:pPr>
        <w:pStyle w:val="240"/>
        <w:rPr>
          <w:rFonts w:ascii="Times New Roman" w:hAnsi="Times New Roman" w:cs="Times New Roman" w:eastAsiaTheme="minorEastAsia"/>
          <w:color w:val="auto"/>
        </w:rPr>
      </w:pPr>
      <w:bookmarkStart w:id="87" w:name="_Toc440973409"/>
      <w:bookmarkStart w:id="88" w:name="_Toc440973039"/>
      <w:bookmarkStart w:id="89" w:name="_Toc440973675"/>
      <w:bookmarkStart w:id="90" w:name="_Toc359179955"/>
      <w:bookmarkStart w:id="91" w:name="_Toc360142520"/>
      <w:r>
        <w:rPr>
          <w:rFonts w:ascii="Times New Roman" w:hAnsi="Times New Roman" w:cs="Times New Roman" w:eastAsiaTheme="minorEastAsia"/>
          <w:color w:val="auto"/>
        </w:rPr>
        <w:t>2.5.1评价范围</w:t>
      </w:r>
      <w:bookmarkEnd w:id="87"/>
      <w:bookmarkEnd w:id="88"/>
      <w:bookmarkEnd w:id="89"/>
      <w:bookmarkEnd w:id="90"/>
      <w:bookmarkEnd w:id="91"/>
    </w:p>
    <w:p>
      <w:pPr>
        <w:pStyle w:val="276"/>
        <w:rPr>
          <w:rFonts w:eastAsiaTheme="minorEastAsia"/>
          <w:color w:val="auto"/>
        </w:rPr>
      </w:pPr>
      <w:r>
        <w:rPr>
          <w:rFonts w:eastAsiaTheme="minorEastAsia"/>
          <w:color w:val="auto"/>
        </w:rPr>
        <w:t>本项目评价范围见表2-5-1。</w:t>
      </w:r>
    </w:p>
    <w:p>
      <w:pPr>
        <w:pStyle w:val="244"/>
        <w:rPr>
          <w:rFonts w:eastAsiaTheme="minorEastAsia"/>
          <w:color w:val="auto"/>
        </w:rPr>
      </w:pPr>
      <w:r>
        <w:rPr>
          <w:rFonts w:eastAsiaTheme="minorEastAsia"/>
          <w:color w:val="auto"/>
        </w:rPr>
        <w:t>表2-5-1  工程评价范围一览表</w:t>
      </w:r>
    </w:p>
    <w:tbl>
      <w:tblPr>
        <w:tblStyle w:val="53"/>
        <w:tblW w:w="8522" w:type="dxa"/>
        <w:tblInd w:w="0" w:type="dxa"/>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384"/>
        <w:gridCol w:w="7138"/>
      </w:tblGrid>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1384" w:type="dxa"/>
            <w:vAlign w:val="center"/>
          </w:tcPr>
          <w:p>
            <w:pPr>
              <w:pStyle w:val="246"/>
              <w:rPr>
                <w:rFonts w:eastAsiaTheme="minorEastAsia"/>
                <w:color w:val="auto"/>
              </w:rPr>
            </w:pPr>
            <w:r>
              <w:rPr>
                <w:rFonts w:eastAsiaTheme="minorEastAsia"/>
                <w:color w:val="auto"/>
              </w:rPr>
              <w:t>评价因子</w:t>
            </w:r>
          </w:p>
        </w:tc>
        <w:tc>
          <w:tcPr>
            <w:tcW w:w="7138" w:type="dxa"/>
            <w:vAlign w:val="center"/>
          </w:tcPr>
          <w:p>
            <w:pPr>
              <w:pStyle w:val="246"/>
              <w:rPr>
                <w:rFonts w:eastAsiaTheme="minorEastAsia"/>
                <w:color w:val="auto"/>
              </w:rPr>
            </w:pPr>
            <w:r>
              <w:rPr>
                <w:rFonts w:eastAsiaTheme="minorEastAsia"/>
                <w:color w:val="auto"/>
              </w:rPr>
              <w:t>评价范围</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434" w:hRule="atLeast"/>
        </w:trPr>
        <w:tc>
          <w:tcPr>
            <w:tcW w:w="1384" w:type="dxa"/>
            <w:vAlign w:val="center"/>
          </w:tcPr>
          <w:p>
            <w:pPr>
              <w:pStyle w:val="246"/>
              <w:rPr>
                <w:rFonts w:eastAsiaTheme="minorEastAsia"/>
                <w:color w:val="auto"/>
              </w:rPr>
            </w:pPr>
            <w:r>
              <w:rPr>
                <w:rFonts w:eastAsiaTheme="minorEastAsia"/>
                <w:color w:val="auto"/>
              </w:rPr>
              <w:t>环境空气</w:t>
            </w:r>
          </w:p>
        </w:tc>
        <w:tc>
          <w:tcPr>
            <w:tcW w:w="7138" w:type="dxa"/>
            <w:vAlign w:val="center"/>
          </w:tcPr>
          <w:p>
            <w:pPr>
              <w:pStyle w:val="246"/>
              <w:rPr>
                <w:rFonts w:eastAsiaTheme="minorEastAsia"/>
                <w:color w:val="auto"/>
              </w:rPr>
            </w:pPr>
            <w:r>
              <w:rPr>
                <w:rFonts w:eastAsiaTheme="minorEastAsia"/>
                <w:color w:val="auto"/>
              </w:rPr>
              <w:t>以污染源为中心、半径2.5km范围内及运输路线两侧200m范围</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1384" w:type="dxa"/>
            <w:vAlign w:val="center"/>
          </w:tcPr>
          <w:p>
            <w:pPr>
              <w:pStyle w:val="246"/>
              <w:rPr>
                <w:rFonts w:eastAsiaTheme="minorEastAsia"/>
                <w:color w:val="auto"/>
              </w:rPr>
            </w:pPr>
            <w:r>
              <w:rPr>
                <w:rFonts w:eastAsiaTheme="minorEastAsia"/>
                <w:color w:val="auto"/>
              </w:rPr>
              <w:t>声环境</w:t>
            </w:r>
          </w:p>
        </w:tc>
        <w:tc>
          <w:tcPr>
            <w:tcW w:w="7138" w:type="dxa"/>
            <w:vAlign w:val="center"/>
          </w:tcPr>
          <w:p>
            <w:pPr>
              <w:pStyle w:val="246"/>
              <w:rPr>
                <w:rFonts w:eastAsiaTheme="minorEastAsia"/>
                <w:color w:val="auto"/>
              </w:rPr>
            </w:pPr>
            <w:r>
              <w:rPr>
                <w:rFonts w:eastAsiaTheme="minorEastAsia"/>
                <w:color w:val="auto"/>
              </w:rPr>
              <w:t>厂界外200m范围，运输道路两侧200m范围</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1384" w:type="dxa"/>
            <w:vAlign w:val="center"/>
          </w:tcPr>
          <w:p>
            <w:pPr>
              <w:pStyle w:val="246"/>
              <w:rPr>
                <w:rFonts w:eastAsiaTheme="minorEastAsia"/>
                <w:color w:val="auto"/>
              </w:rPr>
            </w:pPr>
            <w:r>
              <w:rPr>
                <w:rFonts w:eastAsiaTheme="minorEastAsia"/>
                <w:color w:val="auto"/>
              </w:rPr>
              <w:t>地表水环境</w:t>
            </w:r>
          </w:p>
        </w:tc>
        <w:tc>
          <w:tcPr>
            <w:tcW w:w="7138" w:type="dxa"/>
            <w:vAlign w:val="center"/>
          </w:tcPr>
          <w:p>
            <w:pPr>
              <w:pStyle w:val="246"/>
              <w:rPr>
                <w:rFonts w:eastAsiaTheme="minorEastAsia"/>
                <w:color w:val="auto"/>
              </w:rPr>
            </w:pPr>
            <w:r>
              <w:rPr>
                <w:rFonts w:hint="eastAsia" w:eastAsiaTheme="minorEastAsia"/>
                <w:color w:val="auto"/>
                <w:lang w:eastAsia="zh-CN"/>
              </w:rPr>
              <w:t>松花江</w:t>
            </w:r>
            <w:r>
              <w:rPr>
                <w:rFonts w:eastAsiaTheme="minorEastAsia"/>
                <w:color w:val="auto"/>
              </w:rPr>
              <w:t>断面</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1384" w:type="dxa"/>
            <w:vAlign w:val="center"/>
          </w:tcPr>
          <w:p>
            <w:pPr>
              <w:pStyle w:val="246"/>
              <w:rPr>
                <w:rFonts w:eastAsiaTheme="minorEastAsia"/>
                <w:color w:val="auto"/>
              </w:rPr>
            </w:pPr>
            <w:r>
              <w:rPr>
                <w:rFonts w:eastAsiaTheme="minorEastAsia"/>
                <w:color w:val="auto"/>
              </w:rPr>
              <w:t>生态环境</w:t>
            </w:r>
          </w:p>
        </w:tc>
        <w:tc>
          <w:tcPr>
            <w:tcW w:w="7138" w:type="dxa"/>
            <w:vAlign w:val="center"/>
          </w:tcPr>
          <w:p>
            <w:pPr>
              <w:pStyle w:val="246"/>
              <w:rPr>
                <w:rFonts w:eastAsiaTheme="minorEastAsia"/>
                <w:snapToGrid w:val="0"/>
                <w:color w:val="auto"/>
              </w:rPr>
            </w:pPr>
            <w:r>
              <w:rPr>
                <w:rFonts w:eastAsiaTheme="minorEastAsia"/>
                <w:color w:val="auto"/>
              </w:rPr>
              <w:t>项目占地区界外扩展0.5km</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1384" w:type="dxa"/>
            <w:vAlign w:val="center"/>
          </w:tcPr>
          <w:p>
            <w:pPr>
              <w:pStyle w:val="246"/>
              <w:rPr>
                <w:rFonts w:eastAsiaTheme="minorEastAsia"/>
                <w:color w:val="auto"/>
              </w:rPr>
            </w:pPr>
            <w:r>
              <w:rPr>
                <w:rFonts w:eastAsiaTheme="minorEastAsia"/>
                <w:color w:val="auto"/>
              </w:rPr>
              <w:t>环境风险</w:t>
            </w:r>
          </w:p>
        </w:tc>
        <w:tc>
          <w:tcPr>
            <w:tcW w:w="7138" w:type="dxa"/>
            <w:vAlign w:val="center"/>
          </w:tcPr>
          <w:p>
            <w:pPr>
              <w:pStyle w:val="246"/>
              <w:rPr>
                <w:rFonts w:eastAsiaTheme="minorEastAsia"/>
                <w:color w:val="auto"/>
              </w:rPr>
            </w:pPr>
            <w:r>
              <w:rPr>
                <w:rFonts w:eastAsiaTheme="minorEastAsia"/>
                <w:color w:val="auto"/>
              </w:rPr>
              <w:t>以矿区为中心、半径3km范围内的区域</w:t>
            </w:r>
          </w:p>
        </w:tc>
      </w:tr>
    </w:tbl>
    <w:p>
      <w:pPr>
        <w:pStyle w:val="240"/>
        <w:rPr>
          <w:rFonts w:ascii="Times New Roman" w:hAnsi="Times New Roman" w:cs="Times New Roman" w:eastAsiaTheme="minorEastAsia"/>
          <w:color w:val="auto"/>
        </w:rPr>
      </w:pPr>
      <w:bookmarkStart w:id="92" w:name="_Toc440973040"/>
      <w:bookmarkStart w:id="93" w:name="_Toc440973410"/>
      <w:bookmarkStart w:id="94" w:name="_Toc360142521"/>
      <w:bookmarkStart w:id="95" w:name="_Toc440973676"/>
      <w:bookmarkStart w:id="96" w:name="_Toc359179956"/>
      <w:r>
        <w:rPr>
          <w:rFonts w:ascii="Times New Roman" w:hAnsi="Times New Roman" w:cs="Times New Roman" w:eastAsiaTheme="minorEastAsia"/>
          <w:color w:val="auto"/>
        </w:rPr>
        <w:t>2.5.2</w:t>
      </w:r>
      <w:r>
        <w:rPr>
          <w:rFonts w:ascii="Times New Roman" w:hAnsi="Times New Roman" w:cs="Times New Roman" w:eastAsiaTheme="minorEastAsia"/>
          <w:color w:val="auto"/>
        </w:rPr>
        <w:t>环境保护目标</w:t>
      </w:r>
      <w:bookmarkEnd w:id="92"/>
      <w:bookmarkEnd w:id="93"/>
      <w:bookmarkEnd w:id="94"/>
      <w:bookmarkEnd w:id="95"/>
      <w:bookmarkEnd w:id="96"/>
    </w:p>
    <w:p>
      <w:pPr>
        <w:pStyle w:val="276"/>
        <w:rPr>
          <w:rFonts w:eastAsiaTheme="minorEastAsia"/>
          <w:color w:val="auto"/>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r>
        <w:rPr>
          <w:rFonts w:eastAsiaTheme="minorEastAsia"/>
          <w:color w:val="auto"/>
        </w:rPr>
        <w:t>评价区域内没有国家、省、市重点保护文物、自然保护区、濒危珍稀动植物和风景名胜区等重点保护目标，根据项目性质及周边环境特征，确定厂区矿山周围及运输路线两侧的村庄为环境保护对象。评价范围内主要环境保护目标见表2-5-2、图2-5-1。</w:t>
      </w:r>
    </w:p>
    <w:p>
      <w:pPr>
        <w:pStyle w:val="244"/>
        <w:rPr>
          <w:rFonts w:eastAsiaTheme="minorEastAsia"/>
          <w:color w:val="auto"/>
        </w:rPr>
      </w:pPr>
      <w:r>
        <w:rPr>
          <w:rFonts w:eastAsiaTheme="minorEastAsia"/>
          <w:color w:val="auto"/>
        </w:rPr>
        <w:t>表2-5-2  环境保护目标一览表</w:t>
      </w:r>
    </w:p>
    <w:tbl>
      <w:tblPr>
        <w:tblStyle w:val="53"/>
        <w:tblW w:w="13988" w:type="dxa"/>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fixed"/>
        <w:tblCellMar>
          <w:top w:w="15" w:type="dxa"/>
          <w:left w:w="15" w:type="dxa"/>
          <w:bottom w:w="15" w:type="dxa"/>
          <w:right w:w="15" w:type="dxa"/>
        </w:tblCellMar>
      </w:tblPr>
      <w:tblGrid>
        <w:gridCol w:w="1415"/>
        <w:gridCol w:w="1695"/>
        <w:gridCol w:w="1305"/>
        <w:gridCol w:w="1155"/>
        <w:gridCol w:w="2341"/>
        <w:gridCol w:w="2310"/>
        <w:gridCol w:w="1814"/>
        <w:gridCol w:w="1953"/>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fixed"/>
          <w:tblCellMar>
            <w:top w:w="15" w:type="dxa"/>
            <w:left w:w="15" w:type="dxa"/>
            <w:bottom w:w="15" w:type="dxa"/>
            <w:right w:w="15" w:type="dxa"/>
          </w:tblCellMar>
        </w:tblPrEx>
        <w:trPr>
          <w:trHeight w:val="316" w:hRule="atLeast"/>
        </w:trPr>
        <w:tc>
          <w:tcPr>
            <w:tcW w:w="1415" w:type="dxa"/>
            <w:vMerge w:val="restart"/>
            <w:tcBorders>
              <w:tl2br w:val="nil"/>
              <w:tr2bl w:val="nil"/>
            </w:tcBorders>
            <w:shd w:val="clear" w:color="auto" w:fill="FFFFFF"/>
            <w:vAlign w:val="center"/>
          </w:tcPr>
          <w:p>
            <w:pPr>
              <w:pStyle w:val="246"/>
              <w:rPr>
                <w:rFonts w:hint="eastAsia" w:eastAsiaTheme="minorEastAsia"/>
                <w:color w:val="auto"/>
                <w:lang w:eastAsia="zh-CN"/>
              </w:rPr>
            </w:pPr>
            <w:r>
              <w:rPr>
                <w:rFonts w:hint="eastAsia" w:eastAsiaTheme="minorEastAsia"/>
                <w:color w:val="auto"/>
                <w:lang w:eastAsia="zh-CN"/>
              </w:rPr>
              <w:t>环境要素</w:t>
            </w:r>
          </w:p>
        </w:tc>
        <w:tc>
          <w:tcPr>
            <w:tcW w:w="1695" w:type="dxa"/>
            <w:vMerge w:val="restart"/>
            <w:tcBorders>
              <w:tl2br w:val="nil"/>
              <w:tr2bl w:val="nil"/>
            </w:tcBorders>
            <w:shd w:val="clear" w:color="auto" w:fill="FFFFFF"/>
            <w:vAlign w:val="center"/>
          </w:tcPr>
          <w:p>
            <w:pPr>
              <w:pStyle w:val="246"/>
              <w:rPr>
                <w:rFonts w:hint="eastAsia" w:eastAsiaTheme="minorEastAsia"/>
                <w:color w:val="auto"/>
                <w:lang w:val="en-US" w:eastAsia="zh-CN"/>
              </w:rPr>
            </w:pPr>
            <w:r>
              <w:rPr>
                <w:rFonts w:hint="eastAsia" w:eastAsiaTheme="minorEastAsia"/>
                <w:color w:val="auto"/>
                <w:lang w:val="en-US" w:eastAsia="zh-CN"/>
              </w:rPr>
              <w:t>名称</w:t>
            </w:r>
          </w:p>
        </w:tc>
        <w:tc>
          <w:tcPr>
            <w:tcW w:w="2460" w:type="dxa"/>
            <w:gridSpan w:val="2"/>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相对厂址坐标</w:t>
            </w:r>
            <w:r>
              <w:rPr>
                <w:rFonts w:hint="default" w:eastAsiaTheme="minorEastAsia"/>
                <w:color w:val="auto"/>
                <w:lang w:val="en-US" w:eastAsia="zh-CN"/>
              </w:rPr>
              <w:t>/m</w:t>
            </w:r>
          </w:p>
        </w:tc>
        <w:tc>
          <w:tcPr>
            <w:tcW w:w="2341" w:type="dxa"/>
            <w:vMerge w:val="restart"/>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保护内容</w:t>
            </w:r>
          </w:p>
        </w:tc>
        <w:tc>
          <w:tcPr>
            <w:tcW w:w="2310" w:type="dxa"/>
            <w:vMerge w:val="restart"/>
            <w:tcBorders>
              <w:tl2br w:val="nil"/>
              <w:tr2bl w:val="nil"/>
            </w:tcBorders>
            <w:shd w:val="clear" w:color="auto" w:fill="FFFFFF"/>
            <w:vAlign w:val="center"/>
          </w:tcPr>
          <w:p>
            <w:pPr>
              <w:pStyle w:val="246"/>
              <w:rPr>
                <w:rFonts w:hint="eastAsia" w:eastAsiaTheme="minorEastAsia"/>
                <w:color w:val="auto"/>
              </w:rPr>
            </w:pPr>
            <w:r>
              <w:rPr>
                <w:rFonts w:hint="eastAsia" w:eastAsiaTheme="minorEastAsia"/>
                <w:color w:val="auto"/>
                <w:lang w:val="en-US" w:eastAsia="zh-CN"/>
              </w:rPr>
              <w:t>环境功能区</w:t>
            </w:r>
          </w:p>
        </w:tc>
        <w:tc>
          <w:tcPr>
            <w:tcW w:w="1814" w:type="dxa"/>
            <w:vMerge w:val="restart"/>
            <w:tcBorders>
              <w:tl2br w:val="nil"/>
              <w:tr2bl w:val="nil"/>
            </w:tcBorders>
            <w:shd w:val="clear" w:color="auto" w:fill="FFFFFF"/>
            <w:vAlign w:val="center"/>
          </w:tcPr>
          <w:p>
            <w:pPr>
              <w:pStyle w:val="246"/>
              <w:rPr>
                <w:rFonts w:hint="eastAsia" w:eastAsiaTheme="minorEastAsia"/>
                <w:color w:val="auto"/>
              </w:rPr>
            </w:pPr>
            <w:r>
              <w:rPr>
                <w:rFonts w:hint="eastAsia" w:eastAsiaTheme="minorEastAsia"/>
                <w:color w:val="auto"/>
                <w:lang w:val="en-US" w:eastAsia="zh-CN"/>
              </w:rPr>
              <w:t>相对厂址方位</w:t>
            </w:r>
          </w:p>
        </w:tc>
        <w:tc>
          <w:tcPr>
            <w:tcW w:w="1953" w:type="dxa"/>
            <w:vMerge w:val="restart"/>
            <w:tcBorders>
              <w:tl2br w:val="nil"/>
              <w:tr2bl w:val="nil"/>
            </w:tcBorders>
            <w:shd w:val="clear" w:color="auto" w:fill="FFFFFF"/>
            <w:vAlign w:val="center"/>
          </w:tcPr>
          <w:p>
            <w:pPr>
              <w:pStyle w:val="246"/>
              <w:rPr>
                <w:rFonts w:hint="eastAsia" w:eastAsiaTheme="minorEastAsia"/>
                <w:color w:val="auto"/>
              </w:rPr>
            </w:pPr>
            <w:r>
              <w:rPr>
                <w:rFonts w:hint="eastAsia" w:eastAsiaTheme="minorEastAsia"/>
                <w:color w:val="auto"/>
                <w:lang w:val="en-US" w:eastAsia="zh-CN"/>
              </w:rPr>
              <w:t>相对距离</w:t>
            </w:r>
            <w:r>
              <w:rPr>
                <w:rFonts w:hint="default" w:eastAsiaTheme="minorEastAsia"/>
                <w:color w:val="auto"/>
                <w:lang w:val="en-US" w:eastAsia="zh-CN"/>
              </w:rPr>
              <w:t>/m</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301" w:hRule="atLeast"/>
        </w:trPr>
        <w:tc>
          <w:tcPr>
            <w:tcW w:w="1415" w:type="dxa"/>
            <w:vMerge w:val="continue"/>
            <w:tcBorders>
              <w:tl2br w:val="nil"/>
              <w:tr2bl w:val="nil"/>
            </w:tcBorders>
            <w:shd w:val="clear" w:color="auto" w:fill="FFFFFF"/>
            <w:vAlign w:val="center"/>
          </w:tcPr>
          <w:p>
            <w:pPr>
              <w:pStyle w:val="246"/>
              <w:rPr>
                <w:rFonts w:hint="eastAsia" w:eastAsiaTheme="minorEastAsia"/>
                <w:color w:val="auto"/>
              </w:rPr>
            </w:pPr>
          </w:p>
        </w:tc>
        <w:tc>
          <w:tcPr>
            <w:tcW w:w="1695" w:type="dxa"/>
            <w:vMerge w:val="continue"/>
            <w:tcBorders>
              <w:tl2br w:val="nil"/>
              <w:tr2bl w:val="nil"/>
            </w:tcBorders>
            <w:shd w:val="clear" w:color="auto" w:fill="FFFFFF"/>
            <w:vAlign w:val="center"/>
          </w:tcPr>
          <w:p>
            <w:pPr>
              <w:pStyle w:val="246"/>
              <w:rPr>
                <w:rFonts w:hint="eastAsia" w:eastAsiaTheme="minorEastAsia"/>
                <w:color w:val="auto"/>
              </w:rPr>
            </w:pPr>
          </w:p>
        </w:tc>
        <w:tc>
          <w:tcPr>
            <w:tcW w:w="1305" w:type="dxa"/>
            <w:tcBorders>
              <w:tl2br w:val="nil"/>
              <w:tr2bl w:val="nil"/>
            </w:tcBorders>
            <w:shd w:val="clear" w:color="auto" w:fill="FFFFFF"/>
            <w:vAlign w:val="center"/>
          </w:tcPr>
          <w:p>
            <w:pPr>
              <w:pStyle w:val="246"/>
              <w:rPr>
                <w:rFonts w:hint="default" w:eastAsiaTheme="minorEastAsia"/>
                <w:color w:val="auto"/>
              </w:rPr>
            </w:pPr>
            <w:r>
              <w:rPr>
                <w:rFonts w:hint="default" w:eastAsiaTheme="minorEastAsia"/>
                <w:color w:val="auto"/>
                <w:lang w:val="en-US" w:eastAsia="zh-CN"/>
              </w:rPr>
              <w:t>X</w:t>
            </w:r>
          </w:p>
        </w:tc>
        <w:tc>
          <w:tcPr>
            <w:tcW w:w="1155" w:type="dxa"/>
            <w:tcBorders>
              <w:tl2br w:val="nil"/>
              <w:tr2bl w:val="nil"/>
            </w:tcBorders>
            <w:shd w:val="clear" w:color="auto" w:fill="auto"/>
            <w:vAlign w:val="center"/>
          </w:tcPr>
          <w:p>
            <w:pPr>
              <w:pStyle w:val="246"/>
              <w:rPr>
                <w:rFonts w:hint="default" w:eastAsiaTheme="minorEastAsia"/>
                <w:color w:val="auto"/>
                <w:lang w:val="en-US" w:eastAsia="zh-CN"/>
              </w:rPr>
            </w:pPr>
            <w:r>
              <w:rPr>
                <w:rFonts w:hint="default" w:eastAsiaTheme="minorEastAsia"/>
                <w:color w:val="auto"/>
                <w:lang w:val="en-US" w:eastAsia="zh-CN"/>
              </w:rPr>
              <w:t>Y</w:t>
            </w:r>
          </w:p>
        </w:tc>
        <w:tc>
          <w:tcPr>
            <w:tcW w:w="2341" w:type="dxa"/>
            <w:vMerge w:val="continue"/>
            <w:tcBorders>
              <w:tl2br w:val="nil"/>
              <w:tr2bl w:val="nil"/>
            </w:tcBorders>
            <w:shd w:val="clear" w:color="auto" w:fill="auto"/>
            <w:vAlign w:val="center"/>
          </w:tcPr>
          <w:p>
            <w:pPr>
              <w:pStyle w:val="246"/>
              <w:rPr>
                <w:rFonts w:hint="eastAsia" w:eastAsiaTheme="minorEastAsia"/>
                <w:color w:val="auto"/>
              </w:rPr>
            </w:pPr>
          </w:p>
        </w:tc>
        <w:tc>
          <w:tcPr>
            <w:tcW w:w="2310" w:type="dxa"/>
            <w:vMerge w:val="continue"/>
            <w:tcBorders>
              <w:tl2br w:val="nil"/>
              <w:tr2bl w:val="nil"/>
            </w:tcBorders>
            <w:shd w:val="clear" w:color="auto" w:fill="FFFFFF"/>
            <w:vAlign w:val="center"/>
          </w:tcPr>
          <w:p>
            <w:pPr>
              <w:pStyle w:val="246"/>
              <w:rPr>
                <w:rFonts w:hint="eastAsia" w:eastAsiaTheme="minorEastAsia"/>
                <w:color w:val="auto"/>
              </w:rPr>
            </w:pPr>
          </w:p>
        </w:tc>
        <w:tc>
          <w:tcPr>
            <w:tcW w:w="1814" w:type="dxa"/>
            <w:vMerge w:val="continue"/>
            <w:tcBorders>
              <w:tl2br w:val="nil"/>
              <w:tr2bl w:val="nil"/>
            </w:tcBorders>
            <w:shd w:val="clear" w:color="auto" w:fill="FFFFFF"/>
            <w:vAlign w:val="center"/>
          </w:tcPr>
          <w:p>
            <w:pPr>
              <w:pStyle w:val="246"/>
              <w:rPr>
                <w:rFonts w:hint="eastAsia" w:eastAsiaTheme="minorEastAsia"/>
                <w:color w:val="auto"/>
              </w:rPr>
            </w:pPr>
          </w:p>
        </w:tc>
        <w:tc>
          <w:tcPr>
            <w:tcW w:w="1953" w:type="dxa"/>
            <w:vMerge w:val="continue"/>
            <w:tcBorders>
              <w:tl2br w:val="nil"/>
              <w:tr2bl w:val="nil"/>
            </w:tcBorders>
            <w:shd w:val="clear" w:color="auto" w:fill="FFFFFF"/>
            <w:vAlign w:val="center"/>
          </w:tcPr>
          <w:p>
            <w:pPr>
              <w:pStyle w:val="246"/>
              <w:rPr>
                <w:rFonts w:hint="eastAsia" w:eastAsiaTheme="minorEastAsia"/>
                <w:color w:val="auto"/>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1415" w:type="dxa"/>
            <w:vMerge w:val="restart"/>
            <w:tcBorders>
              <w:tl2br w:val="nil"/>
              <w:tr2bl w:val="nil"/>
            </w:tcBorders>
            <w:shd w:val="clear" w:color="auto" w:fill="auto"/>
            <w:vAlign w:val="center"/>
          </w:tcPr>
          <w:p>
            <w:pPr>
              <w:pStyle w:val="246"/>
              <w:rPr>
                <w:rFonts w:hint="eastAsia" w:eastAsiaTheme="minorEastAsia"/>
                <w:color w:val="auto"/>
                <w:lang w:eastAsia="zh-CN"/>
              </w:rPr>
            </w:pPr>
            <w:r>
              <w:rPr>
                <w:rFonts w:hint="eastAsia" w:eastAsiaTheme="minorEastAsia"/>
                <w:color w:val="auto"/>
                <w:lang w:eastAsia="zh-CN"/>
              </w:rPr>
              <w:t>环境空气</w:t>
            </w:r>
          </w:p>
        </w:tc>
        <w:tc>
          <w:tcPr>
            <w:tcW w:w="1695" w:type="dxa"/>
            <w:tcBorders>
              <w:tl2br w:val="nil"/>
              <w:tr2bl w:val="nil"/>
            </w:tcBorders>
            <w:shd w:val="clear" w:color="auto" w:fill="auto"/>
            <w:vAlign w:val="center"/>
          </w:tcPr>
          <w:p>
            <w:pPr>
              <w:pStyle w:val="246"/>
              <w:rPr>
                <w:rFonts w:hint="eastAsia" w:eastAsiaTheme="minorEastAsia"/>
                <w:color w:val="auto"/>
                <w:lang w:eastAsia="zh-CN"/>
              </w:rPr>
            </w:pPr>
            <w:r>
              <w:rPr>
                <w:rFonts w:hint="eastAsia" w:eastAsiaTheme="minorEastAsia"/>
                <w:color w:val="auto"/>
                <w:lang w:eastAsia="zh-CN"/>
              </w:rPr>
              <w:t>新华村</w:t>
            </w:r>
          </w:p>
        </w:tc>
        <w:tc>
          <w:tcPr>
            <w:tcW w:w="1305"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95</w:t>
            </w:r>
          </w:p>
        </w:tc>
        <w:tc>
          <w:tcPr>
            <w:tcW w:w="1155"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440</w:t>
            </w:r>
          </w:p>
        </w:tc>
        <w:tc>
          <w:tcPr>
            <w:tcW w:w="2341"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eastAsia="zh-CN"/>
              </w:rPr>
              <w:t>居民，</w:t>
            </w:r>
            <w:r>
              <w:rPr>
                <w:rFonts w:hint="eastAsia" w:eastAsiaTheme="minorEastAsia"/>
                <w:color w:val="auto"/>
                <w:lang w:val="en-US" w:eastAsia="zh-CN"/>
              </w:rPr>
              <w:t>550人</w:t>
            </w:r>
          </w:p>
        </w:tc>
        <w:tc>
          <w:tcPr>
            <w:tcW w:w="2310" w:type="dxa"/>
            <w:vMerge w:val="restart"/>
            <w:tcBorders>
              <w:tl2br w:val="nil"/>
              <w:tr2bl w:val="nil"/>
            </w:tcBorders>
            <w:shd w:val="clear" w:color="auto" w:fill="auto"/>
            <w:vAlign w:val="center"/>
          </w:tcPr>
          <w:p>
            <w:pPr>
              <w:pStyle w:val="246"/>
              <w:rPr>
                <w:rFonts w:hint="eastAsia" w:eastAsiaTheme="minorEastAsia"/>
                <w:color w:val="auto"/>
                <w:lang w:eastAsia="zh-CN"/>
              </w:rPr>
            </w:pPr>
            <w:r>
              <w:rPr>
                <w:rFonts w:hint="eastAsia" w:eastAsiaTheme="minorEastAsia"/>
                <w:color w:val="auto"/>
                <w:lang w:eastAsia="zh-CN"/>
              </w:rPr>
              <w:t>环境空气二类区</w:t>
            </w:r>
          </w:p>
        </w:tc>
        <w:tc>
          <w:tcPr>
            <w:tcW w:w="1814" w:type="dxa"/>
            <w:tcBorders>
              <w:tl2br w:val="nil"/>
              <w:tr2bl w:val="nil"/>
            </w:tcBorders>
            <w:shd w:val="clear" w:color="auto" w:fill="auto"/>
            <w:vAlign w:val="center"/>
          </w:tcPr>
          <w:p>
            <w:pPr>
              <w:pStyle w:val="246"/>
              <w:rPr>
                <w:rFonts w:hint="eastAsia" w:eastAsiaTheme="minorEastAsia"/>
                <w:color w:val="auto"/>
                <w:lang w:eastAsia="zh-CN"/>
              </w:rPr>
            </w:pPr>
            <w:r>
              <w:rPr>
                <w:rFonts w:hint="eastAsia" w:eastAsiaTheme="minorEastAsia"/>
                <w:color w:val="auto"/>
                <w:lang w:eastAsia="zh-CN"/>
              </w:rPr>
              <w:t>北</w:t>
            </w:r>
          </w:p>
        </w:tc>
        <w:tc>
          <w:tcPr>
            <w:tcW w:w="1953"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 xml:space="preserve">450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1415" w:type="dxa"/>
            <w:vMerge w:val="continue"/>
            <w:tcBorders>
              <w:tl2br w:val="nil"/>
              <w:tr2bl w:val="nil"/>
            </w:tcBorders>
            <w:shd w:val="clear" w:color="auto" w:fill="auto"/>
            <w:vAlign w:val="center"/>
          </w:tcPr>
          <w:p>
            <w:pPr>
              <w:pStyle w:val="246"/>
              <w:rPr>
                <w:rFonts w:hint="eastAsia" w:eastAsiaTheme="minorEastAsia"/>
                <w:color w:val="auto"/>
              </w:rPr>
            </w:pPr>
          </w:p>
        </w:tc>
        <w:tc>
          <w:tcPr>
            <w:tcW w:w="1695" w:type="dxa"/>
            <w:tcBorders>
              <w:tl2br w:val="nil"/>
              <w:tr2bl w:val="nil"/>
            </w:tcBorders>
            <w:shd w:val="clear" w:color="auto" w:fill="auto"/>
            <w:vAlign w:val="center"/>
          </w:tcPr>
          <w:p>
            <w:pPr>
              <w:pStyle w:val="246"/>
              <w:rPr>
                <w:rFonts w:hint="eastAsia" w:eastAsiaTheme="minorEastAsia"/>
                <w:color w:val="auto"/>
                <w:lang w:eastAsia="zh-CN"/>
              </w:rPr>
            </w:pPr>
            <w:r>
              <w:rPr>
                <w:rFonts w:hint="eastAsia" w:eastAsiaTheme="minorEastAsia"/>
                <w:color w:val="auto"/>
                <w:lang w:eastAsia="zh-CN"/>
              </w:rPr>
              <w:t>丰收村</w:t>
            </w:r>
          </w:p>
        </w:tc>
        <w:tc>
          <w:tcPr>
            <w:tcW w:w="1305"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1460</w:t>
            </w:r>
          </w:p>
        </w:tc>
        <w:tc>
          <w:tcPr>
            <w:tcW w:w="1155"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560</w:t>
            </w:r>
          </w:p>
        </w:tc>
        <w:tc>
          <w:tcPr>
            <w:tcW w:w="234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eastAsia="zh-CN"/>
              </w:rPr>
              <w:t>居民，</w:t>
            </w:r>
            <w:r>
              <w:rPr>
                <w:rFonts w:hint="eastAsia" w:eastAsiaTheme="minorEastAsia"/>
                <w:color w:val="auto"/>
                <w:lang w:val="en-US" w:eastAsia="zh-CN"/>
              </w:rPr>
              <w:t>120人</w:t>
            </w:r>
          </w:p>
        </w:tc>
        <w:tc>
          <w:tcPr>
            <w:tcW w:w="2310" w:type="dxa"/>
            <w:vMerge w:val="continue"/>
            <w:tcBorders>
              <w:tl2br w:val="nil"/>
              <w:tr2bl w:val="nil"/>
            </w:tcBorders>
            <w:shd w:val="clear" w:color="auto" w:fill="auto"/>
            <w:vAlign w:val="center"/>
          </w:tcPr>
          <w:p>
            <w:pPr>
              <w:pStyle w:val="246"/>
              <w:rPr>
                <w:rFonts w:hint="eastAsia" w:eastAsiaTheme="minorEastAsia"/>
                <w:color w:val="auto"/>
              </w:rPr>
            </w:pPr>
          </w:p>
        </w:tc>
        <w:tc>
          <w:tcPr>
            <w:tcW w:w="1814" w:type="dxa"/>
            <w:tcBorders>
              <w:tl2br w:val="nil"/>
              <w:tr2bl w:val="nil"/>
            </w:tcBorders>
            <w:shd w:val="clear" w:color="auto" w:fill="auto"/>
            <w:vAlign w:val="center"/>
          </w:tcPr>
          <w:p>
            <w:pPr>
              <w:pStyle w:val="246"/>
              <w:rPr>
                <w:rFonts w:hint="eastAsia" w:eastAsiaTheme="minorEastAsia"/>
                <w:color w:val="auto"/>
                <w:lang w:eastAsia="zh-CN"/>
              </w:rPr>
            </w:pPr>
            <w:r>
              <w:rPr>
                <w:rFonts w:hint="eastAsia" w:eastAsiaTheme="minorEastAsia"/>
                <w:color w:val="auto"/>
                <w:lang w:eastAsia="zh-CN"/>
              </w:rPr>
              <w:t>东北</w:t>
            </w:r>
          </w:p>
        </w:tc>
        <w:tc>
          <w:tcPr>
            <w:tcW w:w="1953"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 xml:space="preserve">1564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1415" w:type="dxa"/>
            <w:vMerge w:val="continue"/>
            <w:tcBorders>
              <w:tl2br w:val="nil"/>
              <w:tr2bl w:val="nil"/>
            </w:tcBorders>
            <w:shd w:val="clear" w:color="auto" w:fill="auto"/>
            <w:vAlign w:val="center"/>
          </w:tcPr>
          <w:p>
            <w:pPr>
              <w:pStyle w:val="246"/>
              <w:rPr>
                <w:rFonts w:hint="eastAsia" w:eastAsiaTheme="minorEastAsia"/>
                <w:color w:val="auto"/>
              </w:rPr>
            </w:pPr>
          </w:p>
        </w:tc>
        <w:tc>
          <w:tcPr>
            <w:tcW w:w="1695" w:type="dxa"/>
            <w:tcBorders>
              <w:tl2br w:val="nil"/>
              <w:tr2bl w:val="nil"/>
            </w:tcBorders>
            <w:shd w:val="clear" w:color="auto" w:fill="auto"/>
            <w:vAlign w:val="center"/>
          </w:tcPr>
          <w:p>
            <w:pPr>
              <w:pStyle w:val="246"/>
              <w:rPr>
                <w:rFonts w:hint="eastAsia" w:eastAsiaTheme="minorEastAsia"/>
                <w:color w:val="auto"/>
                <w:lang w:eastAsia="zh-CN"/>
              </w:rPr>
            </w:pPr>
            <w:r>
              <w:rPr>
                <w:rFonts w:hint="eastAsia" w:eastAsiaTheme="minorEastAsia"/>
                <w:color w:val="auto"/>
                <w:lang w:eastAsia="zh-CN"/>
              </w:rPr>
              <w:t>丰胜村</w:t>
            </w:r>
          </w:p>
        </w:tc>
        <w:tc>
          <w:tcPr>
            <w:tcW w:w="1305"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1087</w:t>
            </w:r>
          </w:p>
        </w:tc>
        <w:tc>
          <w:tcPr>
            <w:tcW w:w="1155"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-153</w:t>
            </w:r>
          </w:p>
        </w:tc>
        <w:tc>
          <w:tcPr>
            <w:tcW w:w="234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eastAsia="zh-CN"/>
              </w:rPr>
              <w:t>居民，</w:t>
            </w:r>
            <w:r>
              <w:rPr>
                <w:rFonts w:hint="eastAsia" w:eastAsiaTheme="minorEastAsia"/>
                <w:color w:val="auto"/>
                <w:lang w:val="en-US" w:eastAsia="zh-CN"/>
              </w:rPr>
              <w:t>230人</w:t>
            </w:r>
          </w:p>
        </w:tc>
        <w:tc>
          <w:tcPr>
            <w:tcW w:w="2310" w:type="dxa"/>
            <w:vMerge w:val="continue"/>
            <w:tcBorders>
              <w:tl2br w:val="nil"/>
              <w:tr2bl w:val="nil"/>
            </w:tcBorders>
            <w:shd w:val="clear" w:color="auto" w:fill="auto"/>
            <w:vAlign w:val="center"/>
          </w:tcPr>
          <w:p>
            <w:pPr>
              <w:pStyle w:val="246"/>
              <w:rPr>
                <w:rFonts w:hint="eastAsia" w:eastAsiaTheme="minorEastAsia"/>
                <w:color w:val="auto"/>
              </w:rPr>
            </w:pPr>
          </w:p>
        </w:tc>
        <w:tc>
          <w:tcPr>
            <w:tcW w:w="1814" w:type="dxa"/>
            <w:tcBorders>
              <w:tl2br w:val="nil"/>
              <w:tr2bl w:val="nil"/>
            </w:tcBorders>
            <w:shd w:val="clear" w:color="auto" w:fill="auto"/>
            <w:vAlign w:val="center"/>
          </w:tcPr>
          <w:p>
            <w:pPr>
              <w:pStyle w:val="246"/>
              <w:rPr>
                <w:rFonts w:hint="eastAsia" w:eastAsiaTheme="minorEastAsia"/>
                <w:color w:val="auto"/>
                <w:lang w:eastAsia="zh-CN"/>
              </w:rPr>
            </w:pPr>
            <w:r>
              <w:rPr>
                <w:rFonts w:hint="eastAsia" w:eastAsiaTheme="minorEastAsia"/>
                <w:color w:val="auto"/>
                <w:lang w:eastAsia="zh-CN"/>
              </w:rPr>
              <w:t>东南</w:t>
            </w:r>
          </w:p>
        </w:tc>
        <w:tc>
          <w:tcPr>
            <w:tcW w:w="1953"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 xml:space="preserve">1098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1415" w:type="dxa"/>
            <w:vMerge w:val="restart"/>
            <w:tcBorders>
              <w:tl2br w:val="nil"/>
              <w:tr2bl w:val="nil"/>
            </w:tcBorders>
            <w:shd w:val="clear" w:color="auto" w:fill="auto"/>
            <w:vAlign w:val="center"/>
          </w:tcPr>
          <w:p>
            <w:pPr>
              <w:pStyle w:val="246"/>
              <w:rPr>
                <w:rFonts w:hint="eastAsia" w:eastAsiaTheme="minorEastAsia"/>
                <w:color w:val="auto"/>
              </w:rPr>
            </w:pPr>
            <w:r>
              <w:rPr>
                <w:rFonts w:eastAsiaTheme="minorEastAsia"/>
                <w:color w:val="auto"/>
              </w:rPr>
              <w:t>环境风险</w:t>
            </w:r>
          </w:p>
        </w:tc>
        <w:tc>
          <w:tcPr>
            <w:tcW w:w="1695" w:type="dxa"/>
            <w:tcBorders>
              <w:tl2br w:val="nil"/>
              <w:tr2bl w:val="nil"/>
            </w:tcBorders>
            <w:shd w:val="clear" w:color="auto" w:fill="auto"/>
            <w:vAlign w:val="center"/>
          </w:tcPr>
          <w:p>
            <w:pPr>
              <w:pStyle w:val="246"/>
              <w:rPr>
                <w:rFonts w:hint="eastAsia" w:eastAsiaTheme="minorEastAsia"/>
                <w:color w:val="auto"/>
                <w:lang w:eastAsia="zh-CN"/>
              </w:rPr>
            </w:pPr>
            <w:r>
              <w:rPr>
                <w:rFonts w:hint="eastAsia" w:eastAsiaTheme="minorEastAsia"/>
                <w:color w:val="auto"/>
                <w:lang w:eastAsia="zh-CN"/>
              </w:rPr>
              <w:t>新华村</w:t>
            </w:r>
          </w:p>
        </w:tc>
        <w:tc>
          <w:tcPr>
            <w:tcW w:w="1305"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95</w:t>
            </w:r>
          </w:p>
        </w:tc>
        <w:tc>
          <w:tcPr>
            <w:tcW w:w="1155"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440</w:t>
            </w:r>
          </w:p>
        </w:tc>
        <w:tc>
          <w:tcPr>
            <w:tcW w:w="234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eastAsia="zh-CN"/>
              </w:rPr>
              <w:t>居民，</w:t>
            </w:r>
            <w:r>
              <w:rPr>
                <w:rFonts w:hint="eastAsia" w:eastAsiaTheme="minorEastAsia"/>
                <w:color w:val="auto"/>
                <w:lang w:val="en-US" w:eastAsia="zh-CN"/>
              </w:rPr>
              <w:t>550人</w:t>
            </w:r>
          </w:p>
        </w:tc>
        <w:tc>
          <w:tcPr>
            <w:tcW w:w="2310" w:type="dxa"/>
            <w:vMerge w:val="restart"/>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w:t>
            </w:r>
          </w:p>
        </w:tc>
        <w:tc>
          <w:tcPr>
            <w:tcW w:w="1814"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eastAsia="zh-CN"/>
              </w:rPr>
              <w:t>北</w:t>
            </w:r>
          </w:p>
        </w:tc>
        <w:tc>
          <w:tcPr>
            <w:tcW w:w="1953"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 xml:space="preserve">450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1415" w:type="dxa"/>
            <w:vMerge w:val="continue"/>
            <w:tcBorders>
              <w:tl2br w:val="nil"/>
              <w:tr2bl w:val="nil"/>
            </w:tcBorders>
            <w:shd w:val="clear" w:color="auto" w:fill="auto"/>
            <w:vAlign w:val="center"/>
          </w:tcPr>
          <w:p>
            <w:pPr>
              <w:pStyle w:val="246"/>
              <w:rPr>
                <w:rFonts w:hint="eastAsia" w:eastAsiaTheme="minorEastAsia"/>
                <w:color w:val="auto"/>
              </w:rPr>
            </w:pPr>
          </w:p>
        </w:tc>
        <w:tc>
          <w:tcPr>
            <w:tcW w:w="1695" w:type="dxa"/>
            <w:tcBorders>
              <w:tl2br w:val="nil"/>
              <w:tr2bl w:val="nil"/>
            </w:tcBorders>
            <w:shd w:val="clear" w:color="auto" w:fill="auto"/>
            <w:vAlign w:val="center"/>
          </w:tcPr>
          <w:p>
            <w:pPr>
              <w:pStyle w:val="246"/>
              <w:rPr>
                <w:rFonts w:hint="eastAsia" w:eastAsiaTheme="minorEastAsia"/>
                <w:color w:val="auto"/>
                <w:lang w:eastAsia="zh-CN"/>
              </w:rPr>
            </w:pPr>
            <w:r>
              <w:rPr>
                <w:rFonts w:hint="eastAsia" w:eastAsiaTheme="minorEastAsia"/>
                <w:color w:val="auto"/>
                <w:lang w:eastAsia="zh-CN"/>
              </w:rPr>
              <w:t>丰收村</w:t>
            </w:r>
          </w:p>
        </w:tc>
        <w:tc>
          <w:tcPr>
            <w:tcW w:w="1305"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1460</w:t>
            </w:r>
          </w:p>
        </w:tc>
        <w:tc>
          <w:tcPr>
            <w:tcW w:w="1155"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560</w:t>
            </w:r>
          </w:p>
        </w:tc>
        <w:tc>
          <w:tcPr>
            <w:tcW w:w="234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eastAsia="zh-CN"/>
              </w:rPr>
              <w:t>居民，</w:t>
            </w:r>
            <w:r>
              <w:rPr>
                <w:rFonts w:hint="eastAsia" w:eastAsiaTheme="minorEastAsia"/>
                <w:color w:val="auto"/>
                <w:lang w:val="en-US" w:eastAsia="zh-CN"/>
              </w:rPr>
              <w:t>120人</w:t>
            </w:r>
          </w:p>
        </w:tc>
        <w:tc>
          <w:tcPr>
            <w:tcW w:w="2310" w:type="dxa"/>
            <w:vMerge w:val="continue"/>
            <w:tcBorders>
              <w:tl2br w:val="nil"/>
              <w:tr2bl w:val="nil"/>
            </w:tcBorders>
            <w:shd w:val="clear" w:color="auto" w:fill="auto"/>
            <w:vAlign w:val="center"/>
          </w:tcPr>
          <w:p>
            <w:pPr>
              <w:pStyle w:val="246"/>
              <w:rPr>
                <w:rFonts w:hint="eastAsia" w:eastAsiaTheme="minorEastAsia"/>
                <w:color w:val="auto"/>
              </w:rPr>
            </w:pPr>
          </w:p>
        </w:tc>
        <w:tc>
          <w:tcPr>
            <w:tcW w:w="1814"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eastAsia="zh-CN"/>
              </w:rPr>
              <w:t>东北</w:t>
            </w:r>
          </w:p>
        </w:tc>
        <w:tc>
          <w:tcPr>
            <w:tcW w:w="1953"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 xml:space="preserve">1564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1415" w:type="dxa"/>
            <w:vMerge w:val="continue"/>
            <w:tcBorders>
              <w:tl2br w:val="nil"/>
              <w:tr2bl w:val="nil"/>
            </w:tcBorders>
            <w:shd w:val="clear" w:color="auto" w:fill="auto"/>
            <w:vAlign w:val="center"/>
          </w:tcPr>
          <w:p>
            <w:pPr>
              <w:pStyle w:val="246"/>
              <w:rPr>
                <w:rFonts w:hint="eastAsia" w:eastAsiaTheme="minorEastAsia"/>
                <w:color w:val="auto"/>
              </w:rPr>
            </w:pPr>
          </w:p>
        </w:tc>
        <w:tc>
          <w:tcPr>
            <w:tcW w:w="1695" w:type="dxa"/>
            <w:tcBorders>
              <w:tl2br w:val="nil"/>
              <w:tr2bl w:val="nil"/>
            </w:tcBorders>
            <w:shd w:val="clear" w:color="auto" w:fill="auto"/>
            <w:vAlign w:val="center"/>
          </w:tcPr>
          <w:p>
            <w:pPr>
              <w:pStyle w:val="246"/>
              <w:rPr>
                <w:rFonts w:hint="eastAsia" w:eastAsiaTheme="minorEastAsia"/>
                <w:color w:val="auto"/>
                <w:lang w:eastAsia="zh-CN"/>
              </w:rPr>
            </w:pPr>
            <w:r>
              <w:rPr>
                <w:rFonts w:hint="eastAsia" w:eastAsiaTheme="minorEastAsia"/>
                <w:color w:val="auto"/>
                <w:lang w:eastAsia="zh-CN"/>
              </w:rPr>
              <w:t>丰胜村</w:t>
            </w:r>
          </w:p>
        </w:tc>
        <w:tc>
          <w:tcPr>
            <w:tcW w:w="1305"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1087</w:t>
            </w:r>
          </w:p>
        </w:tc>
        <w:tc>
          <w:tcPr>
            <w:tcW w:w="1155"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-153</w:t>
            </w:r>
          </w:p>
        </w:tc>
        <w:tc>
          <w:tcPr>
            <w:tcW w:w="234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eastAsia="zh-CN"/>
              </w:rPr>
              <w:t>居民，</w:t>
            </w:r>
            <w:r>
              <w:rPr>
                <w:rFonts w:hint="eastAsia" w:eastAsiaTheme="minorEastAsia"/>
                <w:color w:val="auto"/>
                <w:lang w:val="en-US" w:eastAsia="zh-CN"/>
              </w:rPr>
              <w:t>230人</w:t>
            </w:r>
          </w:p>
        </w:tc>
        <w:tc>
          <w:tcPr>
            <w:tcW w:w="2310" w:type="dxa"/>
            <w:vMerge w:val="continue"/>
            <w:tcBorders>
              <w:tl2br w:val="nil"/>
              <w:tr2bl w:val="nil"/>
            </w:tcBorders>
            <w:shd w:val="clear" w:color="auto" w:fill="auto"/>
            <w:vAlign w:val="center"/>
          </w:tcPr>
          <w:p>
            <w:pPr>
              <w:pStyle w:val="246"/>
              <w:rPr>
                <w:rFonts w:hint="eastAsia" w:eastAsiaTheme="minorEastAsia"/>
                <w:color w:val="auto"/>
              </w:rPr>
            </w:pPr>
          </w:p>
        </w:tc>
        <w:tc>
          <w:tcPr>
            <w:tcW w:w="1814"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eastAsia="zh-CN"/>
              </w:rPr>
              <w:t>东南</w:t>
            </w:r>
          </w:p>
        </w:tc>
        <w:tc>
          <w:tcPr>
            <w:tcW w:w="1953"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 xml:space="preserve">1098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1415" w:type="dxa"/>
            <w:vMerge w:val="continue"/>
            <w:tcBorders>
              <w:tl2br w:val="nil"/>
              <w:tr2bl w:val="nil"/>
            </w:tcBorders>
            <w:shd w:val="clear" w:color="auto" w:fill="auto"/>
            <w:vAlign w:val="center"/>
          </w:tcPr>
          <w:p>
            <w:pPr>
              <w:pStyle w:val="246"/>
              <w:rPr>
                <w:rFonts w:hint="eastAsia" w:eastAsiaTheme="minorEastAsia"/>
                <w:color w:val="auto"/>
              </w:rPr>
            </w:pPr>
          </w:p>
        </w:tc>
        <w:tc>
          <w:tcPr>
            <w:tcW w:w="1695" w:type="dxa"/>
            <w:tcBorders>
              <w:tl2br w:val="nil"/>
              <w:tr2bl w:val="nil"/>
            </w:tcBorders>
            <w:shd w:val="clear" w:color="auto" w:fill="auto"/>
            <w:vAlign w:val="center"/>
          </w:tcPr>
          <w:p>
            <w:pPr>
              <w:pStyle w:val="246"/>
              <w:rPr>
                <w:rFonts w:hint="eastAsia" w:eastAsiaTheme="minorEastAsia"/>
                <w:color w:val="auto"/>
                <w:lang w:eastAsia="zh-CN"/>
              </w:rPr>
            </w:pPr>
            <w:r>
              <w:rPr>
                <w:rFonts w:hint="eastAsia" w:eastAsiaTheme="minorEastAsia"/>
                <w:color w:val="auto"/>
                <w:lang w:eastAsia="zh-CN"/>
              </w:rPr>
              <w:t>三联村</w:t>
            </w:r>
          </w:p>
        </w:tc>
        <w:tc>
          <w:tcPr>
            <w:tcW w:w="1305"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2572</w:t>
            </w:r>
          </w:p>
        </w:tc>
        <w:tc>
          <w:tcPr>
            <w:tcW w:w="1155"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70</w:t>
            </w:r>
          </w:p>
        </w:tc>
        <w:tc>
          <w:tcPr>
            <w:tcW w:w="2341"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eastAsia="zh-CN"/>
              </w:rPr>
              <w:t>居民，</w:t>
            </w:r>
            <w:r>
              <w:rPr>
                <w:rFonts w:hint="eastAsia" w:eastAsiaTheme="minorEastAsia"/>
                <w:color w:val="auto"/>
                <w:lang w:val="en-US" w:eastAsia="zh-CN"/>
              </w:rPr>
              <w:t>80人</w:t>
            </w:r>
          </w:p>
        </w:tc>
        <w:tc>
          <w:tcPr>
            <w:tcW w:w="2310" w:type="dxa"/>
            <w:vMerge w:val="continue"/>
            <w:tcBorders>
              <w:tl2br w:val="nil"/>
              <w:tr2bl w:val="nil"/>
            </w:tcBorders>
            <w:shd w:val="clear" w:color="auto" w:fill="auto"/>
            <w:vAlign w:val="center"/>
          </w:tcPr>
          <w:p>
            <w:pPr>
              <w:pStyle w:val="246"/>
              <w:rPr>
                <w:rFonts w:hint="eastAsia" w:eastAsiaTheme="minorEastAsia"/>
                <w:color w:val="auto"/>
              </w:rPr>
            </w:pPr>
          </w:p>
        </w:tc>
        <w:tc>
          <w:tcPr>
            <w:tcW w:w="1814"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eastAsia="zh-CN"/>
              </w:rPr>
              <w:t>北</w:t>
            </w:r>
          </w:p>
        </w:tc>
        <w:tc>
          <w:tcPr>
            <w:tcW w:w="1953"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 xml:space="preserve">2573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1415" w:type="dxa"/>
            <w:tcBorders>
              <w:tl2br w:val="nil"/>
              <w:tr2bl w:val="nil"/>
            </w:tcBorders>
            <w:shd w:val="clear" w:color="auto" w:fill="auto"/>
            <w:vAlign w:val="center"/>
          </w:tcPr>
          <w:p>
            <w:pPr>
              <w:pStyle w:val="246"/>
              <w:rPr>
                <w:rFonts w:hint="eastAsia" w:eastAsiaTheme="minorEastAsia"/>
                <w:color w:val="auto"/>
                <w:lang w:eastAsia="zh-CN"/>
              </w:rPr>
            </w:pPr>
            <w:r>
              <w:rPr>
                <w:rFonts w:eastAsiaTheme="minorEastAsia"/>
                <w:color w:val="auto"/>
              </w:rPr>
              <w:t>地表水环境</w:t>
            </w:r>
          </w:p>
        </w:tc>
        <w:tc>
          <w:tcPr>
            <w:tcW w:w="1695" w:type="dxa"/>
            <w:tcBorders>
              <w:tl2br w:val="nil"/>
              <w:tr2bl w:val="nil"/>
            </w:tcBorders>
            <w:shd w:val="clear" w:color="auto" w:fill="auto"/>
            <w:vAlign w:val="center"/>
          </w:tcPr>
          <w:p>
            <w:pPr>
              <w:pStyle w:val="246"/>
              <w:rPr>
                <w:rFonts w:hint="eastAsia" w:eastAsiaTheme="minorEastAsia"/>
                <w:color w:val="auto"/>
                <w:lang w:eastAsia="zh-CN"/>
              </w:rPr>
            </w:pPr>
            <w:r>
              <w:rPr>
                <w:rFonts w:hint="eastAsia" w:eastAsiaTheme="minorEastAsia"/>
                <w:color w:val="auto"/>
                <w:lang w:eastAsia="zh-CN"/>
              </w:rPr>
              <w:t>松花江</w:t>
            </w:r>
          </w:p>
        </w:tc>
        <w:tc>
          <w:tcPr>
            <w:tcW w:w="1305"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-5140</w:t>
            </w:r>
          </w:p>
        </w:tc>
        <w:tc>
          <w:tcPr>
            <w:tcW w:w="1155"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995</w:t>
            </w:r>
          </w:p>
        </w:tc>
        <w:tc>
          <w:tcPr>
            <w:tcW w:w="2341" w:type="dxa"/>
            <w:tcBorders>
              <w:tl2br w:val="nil"/>
              <w:tr2bl w:val="nil"/>
            </w:tcBorders>
            <w:shd w:val="clear" w:color="auto" w:fill="auto"/>
            <w:vAlign w:val="center"/>
          </w:tcPr>
          <w:p>
            <w:pPr>
              <w:pStyle w:val="246"/>
              <w:rPr>
                <w:rFonts w:hint="eastAsia" w:eastAsiaTheme="minorEastAsia"/>
                <w:color w:val="auto"/>
                <w:lang w:eastAsia="zh-CN"/>
              </w:rPr>
            </w:pPr>
            <w:r>
              <w:rPr>
                <w:rFonts w:hint="eastAsia" w:eastAsiaTheme="minorEastAsia"/>
                <w:color w:val="auto"/>
                <w:lang w:eastAsia="zh-CN"/>
              </w:rPr>
              <w:t>地表水体</w:t>
            </w:r>
          </w:p>
        </w:tc>
        <w:tc>
          <w:tcPr>
            <w:tcW w:w="2310"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eastAsia="zh-CN"/>
              </w:rPr>
              <w:t>地表水</w:t>
            </w:r>
            <w:r>
              <w:rPr>
                <w:rFonts w:hint="eastAsia" w:eastAsiaTheme="minorEastAsia"/>
                <w:color w:val="auto"/>
                <w:lang w:val="en-US" w:eastAsia="zh-CN"/>
              </w:rPr>
              <w:t>IV类水体</w:t>
            </w:r>
          </w:p>
        </w:tc>
        <w:tc>
          <w:tcPr>
            <w:tcW w:w="1814" w:type="dxa"/>
            <w:tcBorders>
              <w:tl2br w:val="nil"/>
              <w:tr2bl w:val="nil"/>
            </w:tcBorders>
            <w:shd w:val="clear" w:color="auto" w:fill="auto"/>
            <w:vAlign w:val="center"/>
          </w:tcPr>
          <w:p>
            <w:pPr>
              <w:pStyle w:val="246"/>
              <w:rPr>
                <w:rFonts w:hint="eastAsia" w:eastAsiaTheme="minorEastAsia"/>
                <w:color w:val="auto"/>
                <w:lang w:eastAsia="zh-CN"/>
              </w:rPr>
            </w:pPr>
            <w:r>
              <w:rPr>
                <w:rFonts w:hint="eastAsia" w:eastAsiaTheme="minorEastAsia"/>
                <w:color w:val="auto"/>
                <w:lang w:eastAsia="zh-CN"/>
              </w:rPr>
              <w:t>西北</w:t>
            </w:r>
          </w:p>
        </w:tc>
        <w:tc>
          <w:tcPr>
            <w:tcW w:w="1953"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 xml:space="preserve">5235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1415" w:type="dxa"/>
            <w:vMerge w:val="restart"/>
            <w:tcBorders>
              <w:tl2br w:val="nil"/>
              <w:tr2bl w:val="nil"/>
            </w:tcBorders>
            <w:shd w:val="clear" w:color="auto" w:fill="auto"/>
            <w:vAlign w:val="center"/>
          </w:tcPr>
          <w:p>
            <w:pPr>
              <w:pStyle w:val="246"/>
              <w:rPr>
                <w:rFonts w:hint="eastAsia" w:eastAsiaTheme="minorEastAsia"/>
                <w:color w:val="auto"/>
              </w:rPr>
            </w:pPr>
            <w:r>
              <w:rPr>
                <w:rFonts w:eastAsiaTheme="minorEastAsia"/>
                <w:color w:val="auto"/>
              </w:rPr>
              <w:t>生态环境</w:t>
            </w:r>
          </w:p>
        </w:tc>
        <w:tc>
          <w:tcPr>
            <w:tcW w:w="1695" w:type="dxa"/>
            <w:tcBorders>
              <w:tl2br w:val="nil"/>
              <w:tr2bl w:val="nil"/>
            </w:tcBorders>
            <w:shd w:val="clear" w:color="auto" w:fill="auto"/>
            <w:vAlign w:val="center"/>
          </w:tcPr>
          <w:p>
            <w:pPr>
              <w:pStyle w:val="246"/>
              <w:rPr>
                <w:rFonts w:hint="eastAsia" w:eastAsiaTheme="minorEastAsia"/>
                <w:color w:val="auto"/>
              </w:rPr>
            </w:pPr>
            <w:r>
              <w:rPr>
                <w:rFonts w:eastAsiaTheme="minorEastAsia"/>
                <w:color w:val="auto"/>
              </w:rPr>
              <w:t>矿区外扩0.5km范围内的生态环境</w:t>
            </w:r>
          </w:p>
        </w:tc>
        <w:tc>
          <w:tcPr>
            <w:tcW w:w="1305"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w:t>
            </w:r>
          </w:p>
        </w:tc>
        <w:tc>
          <w:tcPr>
            <w:tcW w:w="1155"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w:t>
            </w:r>
          </w:p>
        </w:tc>
        <w:tc>
          <w:tcPr>
            <w:tcW w:w="2341" w:type="dxa"/>
            <w:tcBorders>
              <w:tl2br w:val="nil"/>
              <w:tr2bl w:val="nil"/>
            </w:tcBorders>
            <w:shd w:val="clear" w:color="auto" w:fill="auto"/>
            <w:vAlign w:val="center"/>
          </w:tcPr>
          <w:p>
            <w:pPr>
              <w:pStyle w:val="246"/>
              <w:rPr>
                <w:rFonts w:hint="eastAsia" w:eastAsiaTheme="minorEastAsia"/>
                <w:color w:val="auto"/>
              </w:rPr>
            </w:pPr>
            <w:r>
              <w:rPr>
                <w:rFonts w:eastAsiaTheme="minorEastAsia"/>
                <w:color w:val="auto"/>
              </w:rPr>
              <w:t>生态完整性</w:t>
            </w:r>
          </w:p>
        </w:tc>
        <w:tc>
          <w:tcPr>
            <w:tcW w:w="2310" w:type="dxa"/>
            <w:vMerge w:val="restart"/>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w:t>
            </w:r>
          </w:p>
        </w:tc>
        <w:tc>
          <w:tcPr>
            <w:tcW w:w="1814"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四周</w:t>
            </w:r>
          </w:p>
        </w:tc>
        <w:tc>
          <w:tcPr>
            <w:tcW w:w="1953"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1415" w:type="dxa"/>
            <w:vMerge w:val="continue"/>
            <w:tcBorders>
              <w:tl2br w:val="nil"/>
              <w:tr2bl w:val="nil"/>
            </w:tcBorders>
            <w:shd w:val="clear" w:color="auto" w:fill="auto"/>
            <w:vAlign w:val="center"/>
          </w:tcPr>
          <w:p>
            <w:pPr>
              <w:pStyle w:val="246"/>
              <w:rPr>
                <w:rFonts w:hint="eastAsia" w:eastAsiaTheme="minorEastAsia"/>
                <w:color w:val="auto"/>
              </w:rPr>
            </w:pPr>
          </w:p>
        </w:tc>
        <w:tc>
          <w:tcPr>
            <w:tcW w:w="1695" w:type="dxa"/>
            <w:tcBorders>
              <w:tl2br w:val="nil"/>
              <w:tr2bl w:val="nil"/>
            </w:tcBorders>
            <w:shd w:val="clear" w:color="auto" w:fill="auto"/>
            <w:vAlign w:val="center"/>
          </w:tcPr>
          <w:p>
            <w:pPr>
              <w:pStyle w:val="246"/>
              <w:rPr>
                <w:rFonts w:hint="eastAsia" w:eastAsiaTheme="minorEastAsia"/>
                <w:color w:val="auto"/>
              </w:rPr>
            </w:pPr>
            <w:r>
              <w:rPr>
                <w:rFonts w:eastAsiaTheme="minorEastAsia"/>
                <w:color w:val="auto"/>
              </w:rPr>
              <w:t>农田</w:t>
            </w:r>
          </w:p>
        </w:tc>
        <w:tc>
          <w:tcPr>
            <w:tcW w:w="1305"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w:t>
            </w:r>
          </w:p>
        </w:tc>
        <w:tc>
          <w:tcPr>
            <w:tcW w:w="1155"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w:t>
            </w:r>
          </w:p>
        </w:tc>
        <w:tc>
          <w:tcPr>
            <w:tcW w:w="2341" w:type="dxa"/>
            <w:tcBorders>
              <w:tl2br w:val="nil"/>
              <w:tr2bl w:val="nil"/>
            </w:tcBorders>
            <w:shd w:val="clear" w:color="auto" w:fill="auto"/>
            <w:vAlign w:val="center"/>
          </w:tcPr>
          <w:p>
            <w:pPr>
              <w:pStyle w:val="246"/>
              <w:rPr>
                <w:rFonts w:hint="eastAsia" w:eastAsiaTheme="minorEastAsia"/>
                <w:color w:val="auto"/>
              </w:rPr>
            </w:pPr>
            <w:r>
              <w:rPr>
                <w:rFonts w:eastAsiaTheme="minorEastAsia"/>
                <w:color w:val="auto"/>
              </w:rPr>
              <w:t>农作物</w:t>
            </w:r>
          </w:p>
        </w:tc>
        <w:tc>
          <w:tcPr>
            <w:tcW w:w="2310" w:type="dxa"/>
            <w:vMerge w:val="continue"/>
            <w:tcBorders>
              <w:tl2br w:val="nil"/>
              <w:tr2bl w:val="nil"/>
            </w:tcBorders>
            <w:shd w:val="clear" w:color="auto" w:fill="auto"/>
            <w:vAlign w:val="center"/>
          </w:tcPr>
          <w:p>
            <w:pPr>
              <w:pStyle w:val="246"/>
              <w:rPr>
                <w:rFonts w:hint="eastAsia" w:eastAsiaTheme="minorEastAsia"/>
                <w:color w:val="auto"/>
              </w:rPr>
            </w:pPr>
          </w:p>
        </w:tc>
        <w:tc>
          <w:tcPr>
            <w:tcW w:w="1814" w:type="dxa"/>
            <w:tcBorders>
              <w:tl2br w:val="nil"/>
              <w:tr2bl w:val="nil"/>
            </w:tcBorders>
            <w:shd w:val="clear" w:color="auto" w:fill="auto"/>
            <w:vAlign w:val="center"/>
          </w:tcPr>
          <w:p>
            <w:pPr>
              <w:pStyle w:val="246"/>
              <w:rPr>
                <w:rFonts w:hint="eastAsia" w:eastAsiaTheme="minorEastAsia"/>
                <w:color w:val="auto"/>
                <w:lang w:eastAsia="zh-CN"/>
              </w:rPr>
            </w:pPr>
            <w:r>
              <w:rPr>
                <w:rFonts w:hint="eastAsia" w:eastAsiaTheme="minorEastAsia"/>
                <w:color w:val="auto"/>
                <w:lang w:eastAsia="zh-CN"/>
              </w:rPr>
              <w:t>东、北、西</w:t>
            </w:r>
          </w:p>
        </w:tc>
        <w:tc>
          <w:tcPr>
            <w:tcW w:w="1953"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1415" w:type="dxa"/>
            <w:vMerge w:val="continue"/>
            <w:tcBorders>
              <w:tl2br w:val="nil"/>
              <w:tr2bl w:val="nil"/>
            </w:tcBorders>
            <w:shd w:val="clear" w:color="auto" w:fill="auto"/>
            <w:vAlign w:val="center"/>
          </w:tcPr>
          <w:p>
            <w:pPr>
              <w:pStyle w:val="246"/>
              <w:rPr>
                <w:rFonts w:hint="eastAsia" w:eastAsiaTheme="minorEastAsia"/>
                <w:color w:val="auto"/>
              </w:rPr>
            </w:pPr>
          </w:p>
        </w:tc>
        <w:tc>
          <w:tcPr>
            <w:tcW w:w="1695" w:type="dxa"/>
            <w:tcBorders>
              <w:tl2br w:val="nil"/>
              <w:tr2bl w:val="nil"/>
            </w:tcBorders>
            <w:shd w:val="clear" w:color="auto" w:fill="auto"/>
            <w:vAlign w:val="center"/>
          </w:tcPr>
          <w:p>
            <w:pPr>
              <w:pStyle w:val="246"/>
              <w:rPr>
                <w:rFonts w:hint="eastAsia" w:eastAsiaTheme="minorEastAsia"/>
                <w:color w:val="auto"/>
              </w:rPr>
            </w:pPr>
            <w:r>
              <w:rPr>
                <w:rFonts w:eastAsiaTheme="minorEastAsia"/>
                <w:color w:val="auto"/>
              </w:rPr>
              <w:t>林地</w:t>
            </w:r>
          </w:p>
        </w:tc>
        <w:tc>
          <w:tcPr>
            <w:tcW w:w="1305"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w:t>
            </w:r>
          </w:p>
        </w:tc>
        <w:tc>
          <w:tcPr>
            <w:tcW w:w="1155"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w:t>
            </w:r>
          </w:p>
        </w:tc>
        <w:tc>
          <w:tcPr>
            <w:tcW w:w="2341" w:type="dxa"/>
            <w:tcBorders>
              <w:tl2br w:val="nil"/>
              <w:tr2bl w:val="nil"/>
            </w:tcBorders>
            <w:shd w:val="clear" w:color="auto" w:fill="auto"/>
            <w:vAlign w:val="center"/>
          </w:tcPr>
          <w:p>
            <w:pPr>
              <w:pStyle w:val="246"/>
              <w:rPr>
                <w:rFonts w:hint="eastAsia" w:eastAsiaTheme="minorEastAsia"/>
                <w:color w:val="auto"/>
              </w:rPr>
            </w:pPr>
            <w:r>
              <w:rPr>
                <w:rFonts w:eastAsiaTheme="minorEastAsia"/>
                <w:color w:val="auto"/>
              </w:rPr>
              <w:t>森林、植被</w:t>
            </w:r>
          </w:p>
        </w:tc>
        <w:tc>
          <w:tcPr>
            <w:tcW w:w="2310" w:type="dxa"/>
            <w:vMerge w:val="continue"/>
            <w:tcBorders>
              <w:tl2br w:val="nil"/>
              <w:tr2bl w:val="nil"/>
            </w:tcBorders>
            <w:shd w:val="clear" w:color="auto" w:fill="auto"/>
            <w:vAlign w:val="center"/>
          </w:tcPr>
          <w:p>
            <w:pPr>
              <w:pStyle w:val="246"/>
              <w:rPr>
                <w:rFonts w:hint="eastAsia" w:eastAsiaTheme="minorEastAsia"/>
                <w:color w:val="auto"/>
              </w:rPr>
            </w:pPr>
          </w:p>
        </w:tc>
        <w:tc>
          <w:tcPr>
            <w:tcW w:w="1814"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eastAsia="zh-CN"/>
              </w:rPr>
              <w:t>南</w:t>
            </w:r>
          </w:p>
        </w:tc>
        <w:tc>
          <w:tcPr>
            <w:tcW w:w="1953"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31" w:hRule="atLeast"/>
        </w:trPr>
        <w:tc>
          <w:tcPr>
            <w:tcW w:w="1415" w:type="dxa"/>
            <w:vMerge w:val="restart"/>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eastAsia="zh-CN"/>
              </w:rPr>
              <w:t>环境要素</w:t>
            </w:r>
          </w:p>
        </w:tc>
        <w:tc>
          <w:tcPr>
            <w:tcW w:w="1695" w:type="dxa"/>
            <w:vMerge w:val="restart"/>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名称</w:t>
            </w:r>
          </w:p>
        </w:tc>
        <w:tc>
          <w:tcPr>
            <w:tcW w:w="2460" w:type="dxa"/>
            <w:gridSpan w:val="2"/>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相对运输道路坐标</w:t>
            </w:r>
            <w:r>
              <w:rPr>
                <w:rFonts w:hint="default" w:eastAsiaTheme="minorEastAsia"/>
                <w:color w:val="auto"/>
                <w:lang w:val="en-US" w:eastAsia="zh-CN"/>
              </w:rPr>
              <w:t>/m</w:t>
            </w:r>
          </w:p>
        </w:tc>
        <w:tc>
          <w:tcPr>
            <w:tcW w:w="2341" w:type="dxa"/>
            <w:vMerge w:val="restart"/>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保护内容</w:t>
            </w:r>
          </w:p>
        </w:tc>
        <w:tc>
          <w:tcPr>
            <w:tcW w:w="2310" w:type="dxa"/>
            <w:vMerge w:val="restart"/>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环境功能区</w:t>
            </w:r>
          </w:p>
        </w:tc>
        <w:tc>
          <w:tcPr>
            <w:tcW w:w="1814" w:type="dxa"/>
            <w:vMerge w:val="restart"/>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相对运输道路方位</w:t>
            </w:r>
          </w:p>
        </w:tc>
        <w:tc>
          <w:tcPr>
            <w:tcW w:w="1953" w:type="dxa"/>
            <w:vMerge w:val="restart"/>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val="en-US" w:eastAsia="zh-CN"/>
              </w:rPr>
              <w:t>相对距离</w:t>
            </w:r>
            <w:r>
              <w:rPr>
                <w:rFonts w:hint="default" w:eastAsiaTheme="minorEastAsia"/>
                <w:color w:val="auto"/>
                <w:lang w:val="en-US" w:eastAsia="zh-CN"/>
              </w:rPr>
              <w:t>/m</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109" w:hRule="atLeast"/>
        </w:trPr>
        <w:tc>
          <w:tcPr>
            <w:tcW w:w="1415" w:type="dxa"/>
            <w:vMerge w:val="continue"/>
            <w:tcBorders>
              <w:tl2br w:val="nil"/>
              <w:tr2bl w:val="nil"/>
            </w:tcBorders>
            <w:shd w:val="clear" w:color="auto" w:fill="auto"/>
            <w:vAlign w:val="center"/>
          </w:tcPr>
          <w:p>
            <w:pPr>
              <w:pStyle w:val="246"/>
              <w:rPr>
                <w:rFonts w:hint="eastAsia" w:eastAsiaTheme="minorEastAsia"/>
                <w:color w:val="auto"/>
              </w:rPr>
            </w:pPr>
          </w:p>
        </w:tc>
        <w:tc>
          <w:tcPr>
            <w:tcW w:w="1695" w:type="dxa"/>
            <w:vMerge w:val="continue"/>
            <w:tcBorders>
              <w:tl2br w:val="nil"/>
              <w:tr2bl w:val="nil"/>
            </w:tcBorders>
            <w:shd w:val="clear" w:color="auto" w:fill="auto"/>
            <w:vAlign w:val="center"/>
          </w:tcPr>
          <w:p>
            <w:pPr>
              <w:pStyle w:val="246"/>
              <w:rPr>
                <w:rFonts w:hint="eastAsia" w:eastAsiaTheme="minorEastAsia"/>
                <w:color w:val="auto"/>
              </w:rPr>
            </w:pPr>
          </w:p>
        </w:tc>
        <w:tc>
          <w:tcPr>
            <w:tcW w:w="1305" w:type="dxa"/>
            <w:tcBorders>
              <w:tl2br w:val="nil"/>
              <w:tr2bl w:val="nil"/>
            </w:tcBorders>
            <w:shd w:val="clear" w:color="auto" w:fill="auto"/>
            <w:vAlign w:val="center"/>
          </w:tcPr>
          <w:p>
            <w:pPr>
              <w:pStyle w:val="246"/>
              <w:rPr>
                <w:color w:val="auto"/>
              </w:rPr>
            </w:pPr>
            <w:r>
              <w:rPr>
                <w:rFonts w:hint="default" w:eastAsiaTheme="minorEastAsia"/>
                <w:color w:val="auto"/>
                <w:lang w:val="en-US" w:eastAsia="zh-CN"/>
              </w:rPr>
              <w:t>X</w:t>
            </w:r>
          </w:p>
        </w:tc>
        <w:tc>
          <w:tcPr>
            <w:tcW w:w="1155" w:type="dxa"/>
            <w:tcBorders>
              <w:tl2br w:val="nil"/>
              <w:tr2bl w:val="nil"/>
            </w:tcBorders>
            <w:shd w:val="clear" w:color="auto" w:fill="auto"/>
            <w:vAlign w:val="center"/>
          </w:tcPr>
          <w:p>
            <w:pPr>
              <w:pStyle w:val="246"/>
              <w:rPr>
                <w:color w:val="auto"/>
              </w:rPr>
            </w:pPr>
            <w:r>
              <w:rPr>
                <w:rFonts w:hint="default" w:eastAsiaTheme="minorEastAsia"/>
                <w:color w:val="auto"/>
                <w:lang w:val="en-US" w:eastAsia="zh-CN"/>
              </w:rPr>
              <w:t>Y</w:t>
            </w:r>
          </w:p>
        </w:tc>
        <w:tc>
          <w:tcPr>
            <w:tcW w:w="2341" w:type="dxa"/>
            <w:vMerge w:val="continue"/>
            <w:tcBorders>
              <w:tl2br w:val="nil"/>
              <w:tr2bl w:val="nil"/>
            </w:tcBorders>
            <w:shd w:val="clear" w:color="auto" w:fill="auto"/>
            <w:vAlign w:val="center"/>
          </w:tcPr>
          <w:p>
            <w:pPr>
              <w:pStyle w:val="246"/>
              <w:rPr>
                <w:rFonts w:hint="eastAsia" w:eastAsiaTheme="minorEastAsia"/>
                <w:color w:val="auto"/>
                <w:lang w:val="en-US" w:eastAsia="zh-CN"/>
              </w:rPr>
            </w:pPr>
          </w:p>
        </w:tc>
        <w:tc>
          <w:tcPr>
            <w:tcW w:w="2310" w:type="dxa"/>
            <w:vMerge w:val="continue"/>
            <w:tcBorders>
              <w:tl2br w:val="nil"/>
              <w:tr2bl w:val="nil"/>
            </w:tcBorders>
            <w:shd w:val="clear" w:color="auto" w:fill="auto"/>
            <w:vAlign w:val="center"/>
          </w:tcPr>
          <w:p>
            <w:pPr>
              <w:pStyle w:val="246"/>
              <w:rPr>
                <w:rFonts w:hint="eastAsia" w:eastAsiaTheme="minorEastAsia"/>
                <w:color w:val="auto"/>
                <w:lang w:val="en-US" w:eastAsia="zh-CN"/>
              </w:rPr>
            </w:pPr>
          </w:p>
        </w:tc>
        <w:tc>
          <w:tcPr>
            <w:tcW w:w="1814" w:type="dxa"/>
            <w:vMerge w:val="continue"/>
            <w:tcBorders>
              <w:tl2br w:val="nil"/>
              <w:tr2bl w:val="nil"/>
            </w:tcBorders>
            <w:shd w:val="clear" w:color="auto" w:fill="auto"/>
            <w:vAlign w:val="center"/>
          </w:tcPr>
          <w:p>
            <w:pPr>
              <w:pStyle w:val="246"/>
              <w:rPr>
                <w:rFonts w:hint="eastAsia" w:eastAsiaTheme="minorEastAsia"/>
                <w:color w:val="auto"/>
                <w:lang w:val="en-US" w:eastAsia="zh-CN"/>
              </w:rPr>
            </w:pPr>
          </w:p>
        </w:tc>
        <w:tc>
          <w:tcPr>
            <w:tcW w:w="1953" w:type="dxa"/>
            <w:vMerge w:val="continue"/>
            <w:tcBorders>
              <w:tl2br w:val="nil"/>
              <w:tr2bl w:val="nil"/>
            </w:tcBorders>
            <w:shd w:val="clear" w:color="auto" w:fill="auto"/>
            <w:vAlign w:val="center"/>
          </w:tcPr>
          <w:p>
            <w:pPr>
              <w:pStyle w:val="246"/>
              <w:rPr>
                <w:rFonts w:hint="eastAsia" w:eastAsiaTheme="minorEastAsia"/>
                <w:color w:val="auto"/>
                <w:lang w:val="en-US" w:eastAsia="zh-CN"/>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1415" w:type="dxa"/>
            <w:vMerge w:val="restart"/>
            <w:tcBorders>
              <w:tl2br w:val="nil"/>
              <w:tr2bl w:val="nil"/>
            </w:tcBorders>
            <w:shd w:val="clear" w:color="auto" w:fill="auto"/>
            <w:vAlign w:val="center"/>
          </w:tcPr>
          <w:p>
            <w:pPr>
              <w:pStyle w:val="246"/>
              <w:rPr>
                <w:rFonts w:hint="eastAsia" w:eastAsiaTheme="minorEastAsia"/>
                <w:color w:val="auto"/>
              </w:rPr>
            </w:pPr>
            <w:r>
              <w:rPr>
                <w:rFonts w:eastAsiaTheme="minorEastAsia"/>
                <w:color w:val="auto"/>
              </w:rPr>
              <w:t>运输道路沿线声环境</w:t>
            </w:r>
          </w:p>
        </w:tc>
        <w:tc>
          <w:tcPr>
            <w:tcW w:w="1695"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eastAsia="zh-CN"/>
              </w:rPr>
              <w:t>新华村</w:t>
            </w:r>
          </w:p>
        </w:tc>
        <w:tc>
          <w:tcPr>
            <w:tcW w:w="1305"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0</w:t>
            </w:r>
          </w:p>
        </w:tc>
        <w:tc>
          <w:tcPr>
            <w:tcW w:w="1155"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20</w:t>
            </w:r>
          </w:p>
        </w:tc>
        <w:tc>
          <w:tcPr>
            <w:tcW w:w="2341"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居民，550人</w:t>
            </w:r>
          </w:p>
        </w:tc>
        <w:tc>
          <w:tcPr>
            <w:tcW w:w="2310" w:type="dxa"/>
            <w:vMerge w:val="restart"/>
            <w:tcBorders>
              <w:tl2br w:val="nil"/>
              <w:tr2bl w:val="nil"/>
            </w:tcBorders>
            <w:shd w:val="clear" w:color="auto" w:fill="auto"/>
            <w:vAlign w:val="center"/>
          </w:tcPr>
          <w:p>
            <w:pPr>
              <w:pStyle w:val="246"/>
              <w:rPr>
                <w:rFonts w:hint="eastAsia" w:eastAsiaTheme="minorEastAsia"/>
                <w:color w:val="auto"/>
                <w:lang w:eastAsia="zh-CN"/>
              </w:rPr>
            </w:pPr>
            <w:r>
              <w:rPr>
                <w:rFonts w:hint="eastAsia" w:eastAsiaTheme="minorEastAsia"/>
                <w:color w:val="auto"/>
                <w:lang w:eastAsia="zh-CN"/>
              </w:rPr>
              <w:t>声环境</w:t>
            </w:r>
            <w:r>
              <w:rPr>
                <w:rFonts w:hint="eastAsia" w:eastAsiaTheme="minorEastAsia"/>
                <w:color w:val="auto"/>
                <w:lang w:val="en-US" w:eastAsia="zh-CN"/>
              </w:rPr>
              <w:t>2</w:t>
            </w:r>
            <w:r>
              <w:rPr>
                <w:rFonts w:hint="eastAsia" w:eastAsiaTheme="minorEastAsia"/>
                <w:color w:val="auto"/>
                <w:lang w:eastAsia="zh-CN"/>
              </w:rPr>
              <w:t>类区</w:t>
            </w:r>
          </w:p>
        </w:tc>
        <w:tc>
          <w:tcPr>
            <w:tcW w:w="1814"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eastAsia="zh-CN"/>
              </w:rPr>
              <w:t>北</w:t>
            </w:r>
          </w:p>
        </w:tc>
        <w:tc>
          <w:tcPr>
            <w:tcW w:w="1953" w:type="dxa"/>
            <w:tcBorders>
              <w:tl2br w:val="nil"/>
              <w:tr2bl w:val="nil"/>
            </w:tcBorders>
            <w:shd w:val="clear" w:color="auto" w:fill="auto"/>
            <w:vAlign w:val="center"/>
          </w:tcPr>
          <w:p>
            <w:pPr>
              <w:pStyle w:val="246"/>
              <w:rPr>
                <w:rFonts w:hint="eastAsia" w:eastAsiaTheme="minorEastAsia"/>
                <w:color w:val="auto"/>
                <w:lang w:eastAsia="zh-CN"/>
              </w:rPr>
            </w:pPr>
            <w:r>
              <w:rPr>
                <w:rFonts w:hint="eastAsia" w:eastAsiaTheme="minorEastAsia"/>
                <w:color w:val="auto"/>
                <w:lang w:val="en-US" w:eastAsia="zh-CN"/>
              </w:rPr>
              <w:t xml:space="preserve">20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1415" w:type="dxa"/>
            <w:vMerge w:val="continue"/>
            <w:tcBorders>
              <w:tl2br w:val="nil"/>
              <w:tr2bl w:val="nil"/>
            </w:tcBorders>
            <w:shd w:val="clear" w:color="auto" w:fill="auto"/>
            <w:vAlign w:val="center"/>
          </w:tcPr>
          <w:p>
            <w:pPr>
              <w:pStyle w:val="246"/>
              <w:rPr>
                <w:rFonts w:hint="eastAsia" w:eastAsiaTheme="minorEastAsia"/>
                <w:color w:val="auto"/>
              </w:rPr>
            </w:pPr>
          </w:p>
        </w:tc>
        <w:tc>
          <w:tcPr>
            <w:tcW w:w="1695"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rPr>
              <w:t>三联村</w:t>
            </w:r>
          </w:p>
        </w:tc>
        <w:tc>
          <w:tcPr>
            <w:tcW w:w="1305"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5</w:t>
            </w:r>
          </w:p>
        </w:tc>
        <w:tc>
          <w:tcPr>
            <w:tcW w:w="1155"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0</w:t>
            </w:r>
          </w:p>
        </w:tc>
        <w:tc>
          <w:tcPr>
            <w:tcW w:w="2341"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居民，80人</w:t>
            </w:r>
          </w:p>
        </w:tc>
        <w:tc>
          <w:tcPr>
            <w:tcW w:w="2310" w:type="dxa"/>
            <w:vMerge w:val="continue"/>
            <w:tcBorders>
              <w:tl2br w:val="nil"/>
              <w:tr2bl w:val="nil"/>
            </w:tcBorders>
            <w:shd w:val="clear" w:color="auto" w:fill="auto"/>
            <w:vAlign w:val="center"/>
          </w:tcPr>
          <w:p>
            <w:pPr>
              <w:pStyle w:val="246"/>
              <w:rPr>
                <w:rFonts w:hint="eastAsia" w:eastAsiaTheme="minorEastAsia"/>
                <w:color w:val="auto"/>
              </w:rPr>
            </w:pPr>
          </w:p>
        </w:tc>
        <w:tc>
          <w:tcPr>
            <w:tcW w:w="1814"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eastAsia="zh-CN"/>
              </w:rPr>
              <w:t>北</w:t>
            </w:r>
          </w:p>
        </w:tc>
        <w:tc>
          <w:tcPr>
            <w:tcW w:w="1953" w:type="dxa"/>
            <w:tcBorders>
              <w:tl2br w:val="nil"/>
              <w:tr2bl w:val="nil"/>
            </w:tcBorders>
            <w:shd w:val="clear" w:color="auto" w:fill="auto"/>
            <w:vAlign w:val="center"/>
          </w:tcPr>
          <w:p>
            <w:pPr>
              <w:pStyle w:val="246"/>
              <w:rPr>
                <w:rFonts w:hint="eastAsia" w:eastAsiaTheme="minorEastAsia"/>
                <w:color w:val="auto"/>
                <w:lang w:eastAsia="zh-CN"/>
              </w:rPr>
            </w:pPr>
            <w:r>
              <w:rPr>
                <w:rFonts w:hint="eastAsia" w:eastAsiaTheme="minorEastAsia"/>
                <w:color w:val="auto"/>
                <w:lang w:val="en-US" w:eastAsia="zh-CN"/>
              </w:rPr>
              <w:t xml:space="preserve">5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1415" w:type="dxa"/>
            <w:vMerge w:val="continue"/>
            <w:tcBorders>
              <w:tl2br w:val="nil"/>
              <w:tr2bl w:val="nil"/>
            </w:tcBorders>
            <w:shd w:val="clear" w:color="auto" w:fill="auto"/>
            <w:vAlign w:val="center"/>
          </w:tcPr>
          <w:p>
            <w:pPr>
              <w:pStyle w:val="246"/>
              <w:rPr>
                <w:rFonts w:hint="eastAsia" w:eastAsiaTheme="minorEastAsia"/>
                <w:color w:val="auto"/>
              </w:rPr>
            </w:pPr>
          </w:p>
        </w:tc>
        <w:tc>
          <w:tcPr>
            <w:tcW w:w="1695"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rPr>
              <w:t>红旗中学</w:t>
            </w:r>
          </w:p>
        </w:tc>
        <w:tc>
          <w:tcPr>
            <w:tcW w:w="1305"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0</w:t>
            </w:r>
          </w:p>
        </w:tc>
        <w:tc>
          <w:tcPr>
            <w:tcW w:w="1155"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-30</w:t>
            </w:r>
          </w:p>
        </w:tc>
        <w:tc>
          <w:tcPr>
            <w:tcW w:w="2341"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居民，200人</w:t>
            </w:r>
          </w:p>
        </w:tc>
        <w:tc>
          <w:tcPr>
            <w:tcW w:w="2310" w:type="dxa"/>
            <w:vMerge w:val="continue"/>
            <w:tcBorders>
              <w:tl2br w:val="nil"/>
              <w:tr2bl w:val="nil"/>
            </w:tcBorders>
            <w:shd w:val="clear" w:color="auto" w:fill="auto"/>
            <w:vAlign w:val="center"/>
          </w:tcPr>
          <w:p>
            <w:pPr>
              <w:pStyle w:val="246"/>
              <w:rPr>
                <w:rFonts w:hint="eastAsia" w:eastAsiaTheme="minorEastAsia"/>
                <w:color w:val="auto"/>
              </w:rPr>
            </w:pPr>
          </w:p>
        </w:tc>
        <w:tc>
          <w:tcPr>
            <w:tcW w:w="1814" w:type="dxa"/>
            <w:tcBorders>
              <w:tl2br w:val="nil"/>
              <w:tr2bl w:val="nil"/>
            </w:tcBorders>
            <w:shd w:val="clear" w:color="auto" w:fill="auto"/>
            <w:vAlign w:val="center"/>
          </w:tcPr>
          <w:p>
            <w:pPr>
              <w:pStyle w:val="246"/>
              <w:rPr>
                <w:rFonts w:hint="eastAsia" w:eastAsiaTheme="minorEastAsia"/>
                <w:color w:val="auto"/>
                <w:lang w:eastAsia="zh-CN"/>
              </w:rPr>
            </w:pPr>
            <w:r>
              <w:rPr>
                <w:rFonts w:hint="eastAsia" w:eastAsiaTheme="minorEastAsia"/>
                <w:color w:val="auto"/>
                <w:lang w:eastAsia="zh-CN"/>
              </w:rPr>
              <w:t>东南</w:t>
            </w:r>
          </w:p>
        </w:tc>
        <w:tc>
          <w:tcPr>
            <w:tcW w:w="1953" w:type="dxa"/>
            <w:tcBorders>
              <w:tl2br w:val="nil"/>
              <w:tr2bl w:val="nil"/>
            </w:tcBorders>
            <w:shd w:val="clear" w:color="auto" w:fill="auto"/>
            <w:vAlign w:val="center"/>
          </w:tcPr>
          <w:p>
            <w:pPr>
              <w:pStyle w:val="246"/>
              <w:rPr>
                <w:rFonts w:hint="eastAsia" w:eastAsiaTheme="minorEastAsia"/>
                <w:color w:val="auto"/>
                <w:lang w:eastAsia="zh-CN"/>
              </w:rPr>
            </w:pPr>
            <w:r>
              <w:rPr>
                <w:rFonts w:hint="eastAsia" w:eastAsiaTheme="minorEastAsia"/>
                <w:color w:val="auto"/>
                <w:lang w:val="en-US" w:eastAsia="zh-CN"/>
              </w:rPr>
              <w:t xml:space="preserve">30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1415" w:type="dxa"/>
            <w:vMerge w:val="continue"/>
            <w:tcBorders>
              <w:tl2br w:val="nil"/>
              <w:tr2bl w:val="nil"/>
            </w:tcBorders>
            <w:shd w:val="clear" w:color="auto" w:fill="auto"/>
            <w:vAlign w:val="center"/>
          </w:tcPr>
          <w:p>
            <w:pPr>
              <w:pStyle w:val="246"/>
              <w:rPr>
                <w:rFonts w:hint="eastAsia" w:eastAsiaTheme="minorEastAsia"/>
                <w:color w:val="auto"/>
              </w:rPr>
            </w:pPr>
          </w:p>
        </w:tc>
        <w:tc>
          <w:tcPr>
            <w:tcW w:w="1695"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rPr>
              <w:t>沿江村</w:t>
            </w:r>
          </w:p>
        </w:tc>
        <w:tc>
          <w:tcPr>
            <w:tcW w:w="1305"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0</w:t>
            </w:r>
          </w:p>
        </w:tc>
        <w:tc>
          <w:tcPr>
            <w:tcW w:w="1155"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30（-30）</w:t>
            </w:r>
          </w:p>
        </w:tc>
        <w:tc>
          <w:tcPr>
            <w:tcW w:w="2341"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居民，320人</w:t>
            </w:r>
          </w:p>
        </w:tc>
        <w:tc>
          <w:tcPr>
            <w:tcW w:w="2310" w:type="dxa"/>
            <w:vMerge w:val="continue"/>
            <w:tcBorders>
              <w:tl2br w:val="nil"/>
              <w:tr2bl w:val="nil"/>
            </w:tcBorders>
            <w:shd w:val="clear" w:color="auto" w:fill="auto"/>
            <w:vAlign w:val="center"/>
          </w:tcPr>
          <w:p>
            <w:pPr>
              <w:pStyle w:val="246"/>
              <w:rPr>
                <w:rFonts w:hint="eastAsia" w:eastAsiaTheme="minorEastAsia"/>
                <w:color w:val="auto"/>
              </w:rPr>
            </w:pPr>
          </w:p>
        </w:tc>
        <w:tc>
          <w:tcPr>
            <w:tcW w:w="1814" w:type="dxa"/>
            <w:tcBorders>
              <w:tl2br w:val="nil"/>
              <w:tr2bl w:val="nil"/>
            </w:tcBorders>
            <w:shd w:val="clear" w:color="auto" w:fill="auto"/>
            <w:vAlign w:val="center"/>
          </w:tcPr>
          <w:p>
            <w:pPr>
              <w:pStyle w:val="246"/>
              <w:rPr>
                <w:rFonts w:hint="eastAsia" w:eastAsiaTheme="minorEastAsia"/>
                <w:color w:val="auto"/>
                <w:lang w:eastAsia="zh-CN"/>
              </w:rPr>
            </w:pPr>
            <w:r>
              <w:rPr>
                <w:rFonts w:hint="eastAsia" w:eastAsiaTheme="minorEastAsia"/>
                <w:color w:val="auto"/>
                <w:lang w:eastAsia="zh-CN"/>
              </w:rPr>
              <w:t>南、北</w:t>
            </w:r>
          </w:p>
        </w:tc>
        <w:tc>
          <w:tcPr>
            <w:tcW w:w="1953"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30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1415" w:type="dxa"/>
            <w:vMerge w:val="continue"/>
            <w:tcBorders>
              <w:tl2br w:val="nil"/>
              <w:tr2bl w:val="nil"/>
            </w:tcBorders>
            <w:shd w:val="clear" w:color="auto" w:fill="auto"/>
            <w:vAlign w:val="center"/>
          </w:tcPr>
          <w:p>
            <w:pPr>
              <w:pStyle w:val="246"/>
              <w:rPr>
                <w:rFonts w:hint="eastAsia" w:eastAsiaTheme="minorEastAsia"/>
                <w:color w:val="auto"/>
              </w:rPr>
            </w:pPr>
          </w:p>
        </w:tc>
        <w:tc>
          <w:tcPr>
            <w:tcW w:w="1695"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rPr>
              <w:t>四合村</w:t>
            </w:r>
          </w:p>
        </w:tc>
        <w:tc>
          <w:tcPr>
            <w:tcW w:w="1305"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0</w:t>
            </w:r>
          </w:p>
        </w:tc>
        <w:tc>
          <w:tcPr>
            <w:tcW w:w="1155"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30</w:t>
            </w:r>
          </w:p>
        </w:tc>
        <w:tc>
          <w:tcPr>
            <w:tcW w:w="2341"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居民，240人</w:t>
            </w:r>
          </w:p>
        </w:tc>
        <w:tc>
          <w:tcPr>
            <w:tcW w:w="2310" w:type="dxa"/>
            <w:vMerge w:val="continue"/>
            <w:tcBorders>
              <w:tl2br w:val="nil"/>
              <w:tr2bl w:val="nil"/>
            </w:tcBorders>
            <w:shd w:val="clear" w:color="auto" w:fill="auto"/>
            <w:vAlign w:val="center"/>
          </w:tcPr>
          <w:p>
            <w:pPr>
              <w:pStyle w:val="246"/>
              <w:rPr>
                <w:rFonts w:hint="eastAsia" w:eastAsiaTheme="minorEastAsia"/>
                <w:color w:val="auto"/>
              </w:rPr>
            </w:pPr>
          </w:p>
        </w:tc>
        <w:tc>
          <w:tcPr>
            <w:tcW w:w="1814"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eastAsia="zh-CN"/>
              </w:rPr>
              <w:t>南、北</w:t>
            </w:r>
          </w:p>
        </w:tc>
        <w:tc>
          <w:tcPr>
            <w:tcW w:w="1953" w:type="dxa"/>
            <w:tcBorders>
              <w:tl2br w:val="nil"/>
              <w:tr2bl w:val="nil"/>
            </w:tcBorders>
            <w:shd w:val="clear" w:color="auto" w:fill="auto"/>
            <w:vAlign w:val="center"/>
          </w:tcPr>
          <w:p>
            <w:pPr>
              <w:pStyle w:val="246"/>
              <w:rPr>
                <w:rFonts w:hint="eastAsia" w:eastAsiaTheme="minorEastAsia"/>
                <w:color w:val="auto"/>
                <w:lang w:eastAsia="zh-CN"/>
              </w:rPr>
            </w:pPr>
            <w:r>
              <w:rPr>
                <w:rFonts w:hint="eastAsia" w:eastAsiaTheme="minorEastAsia"/>
                <w:color w:val="auto"/>
                <w:lang w:val="en-US" w:eastAsia="zh-CN"/>
              </w:rPr>
              <w:t xml:space="preserve">30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1415" w:type="dxa"/>
            <w:vMerge w:val="continue"/>
            <w:tcBorders>
              <w:tl2br w:val="nil"/>
              <w:tr2bl w:val="nil"/>
            </w:tcBorders>
            <w:shd w:val="clear" w:color="auto" w:fill="auto"/>
            <w:vAlign w:val="center"/>
          </w:tcPr>
          <w:p>
            <w:pPr>
              <w:pStyle w:val="246"/>
              <w:rPr>
                <w:rFonts w:hint="eastAsia" w:eastAsiaTheme="minorEastAsia"/>
                <w:color w:val="auto"/>
              </w:rPr>
            </w:pPr>
          </w:p>
        </w:tc>
        <w:tc>
          <w:tcPr>
            <w:tcW w:w="1695"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rPr>
              <w:t>起点家园</w:t>
            </w:r>
          </w:p>
        </w:tc>
        <w:tc>
          <w:tcPr>
            <w:tcW w:w="1305"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0</w:t>
            </w:r>
          </w:p>
        </w:tc>
        <w:tc>
          <w:tcPr>
            <w:tcW w:w="1155"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30</w:t>
            </w:r>
          </w:p>
        </w:tc>
        <w:tc>
          <w:tcPr>
            <w:tcW w:w="2341"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居民，280人</w:t>
            </w:r>
          </w:p>
        </w:tc>
        <w:tc>
          <w:tcPr>
            <w:tcW w:w="2310" w:type="dxa"/>
            <w:vMerge w:val="continue"/>
            <w:tcBorders>
              <w:tl2br w:val="nil"/>
              <w:tr2bl w:val="nil"/>
            </w:tcBorders>
            <w:shd w:val="clear" w:color="auto" w:fill="auto"/>
            <w:vAlign w:val="center"/>
          </w:tcPr>
          <w:p>
            <w:pPr>
              <w:pStyle w:val="246"/>
              <w:rPr>
                <w:rFonts w:hint="eastAsia" w:eastAsiaTheme="minorEastAsia"/>
                <w:color w:val="auto"/>
              </w:rPr>
            </w:pPr>
          </w:p>
        </w:tc>
        <w:tc>
          <w:tcPr>
            <w:tcW w:w="1814"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eastAsia="zh-CN"/>
              </w:rPr>
              <w:t>北</w:t>
            </w:r>
          </w:p>
        </w:tc>
        <w:tc>
          <w:tcPr>
            <w:tcW w:w="1953" w:type="dxa"/>
            <w:tcBorders>
              <w:tl2br w:val="nil"/>
              <w:tr2bl w:val="nil"/>
            </w:tcBorders>
            <w:shd w:val="clear" w:color="auto" w:fill="auto"/>
            <w:vAlign w:val="center"/>
          </w:tcPr>
          <w:p>
            <w:pPr>
              <w:pStyle w:val="246"/>
              <w:rPr>
                <w:rFonts w:hint="eastAsia" w:eastAsiaTheme="minorEastAsia"/>
                <w:color w:val="auto"/>
                <w:lang w:eastAsia="zh-CN"/>
              </w:rPr>
            </w:pPr>
            <w:r>
              <w:rPr>
                <w:rFonts w:hint="eastAsia" w:eastAsiaTheme="minorEastAsia"/>
                <w:color w:val="auto"/>
                <w:lang w:val="en-US" w:eastAsia="zh-CN"/>
              </w:rPr>
              <w:t xml:space="preserve">30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1415" w:type="dxa"/>
            <w:vMerge w:val="continue"/>
            <w:tcBorders>
              <w:tl2br w:val="nil"/>
              <w:tr2bl w:val="nil"/>
            </w:tcBorders>
            <w:shd w:val="clear" w:color="auto" w:fill="auto"/>
            <w:vAlign w:val="center"/>
          </w:tcPr>
          <w:p>
            <w:pPr>
              <w:pStyle w:val="246"/>
              <w:rPr>
                <w:rFonts w:hint="eastAsia" w:eastAsiaTheme="minorEastAsia"/>
                <w:color w:val="auto"/>
              </w:rPr>
            </w:pPr>
          </w:p>
        </w:tc>
        <w:tc>
          <w:tcPr>
            <w:tcW w:w="1695"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rPr>
              <w:t>荣耀家园</w:t>
            </w:r>
          </w:p>
        </w:tc>
        <w:tc>
          <w:tcPr>
            <w:tcW w:w="1305"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0</w:t>
            </w:r>
          </w:p>
        </w:tc>
        <w:tc>
          <w:tcPr>
            <w:tcW w:w="1155"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30</w:t>
            </w:r>
          </w:p>
        </w:tc>
        <w:tc>
          <w:tcPr>
            <w:tcW w:w="2341"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居民，560人</w:t>
            </w:r>
          </w:p>
        </w:tc>
        <w:tc>
          <w:tcPr>
            <w:tcW w:w="2310" w:type="dxa"/>
            <w:vMerge w:val="continue"/>
            <w:tcBorders>
              <w:tl2br w:val="nil"/>
              <w:tr2bl w:val="nil"/>
            </w:tcBorders>
            <w:shd w:val="clear" w:color="auto" w:fill="auto"/>
            <w:vAlign w:val="center"/>
          </w:tcPr>
          <w:p>
            <w:pPr>
              <w:pStyle w:val="246"/>
              <w:rPr>
                <w:rFonts w:hint="eastAsia" w:eastAsiaTheme="minorEastAsia"/>
                <w:color w:val="auto"/>
              </w:rPr>
            </w:pPr>
          </w:p>
        </w:tc>
        <w:tc>
          <w:tcPr>
            <w:tcW w:w="1814"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eastAsia="zh-CN"/>
              </w:rPr>
              <w:t>北</w:t>
            </w:r>
          </w:p>
        </w:tc>
        <w:tc>
          <w:tcPr>
            <w:tcW w:w="1953" w:type="dxa"/>
            <w:tcBorders>
              <w:tl2br w:val="nil"/>
              <w:tr2bl w:val="nil"/>
            </w:tcBorders>
            <w:shd w:val="clear" w:color="auto" w:fill="auto"/>
            <w:vAlign w:val="center"/>
          </w:tcPr>
          <w:p>
            <w:pPr>
              <w:pStyle w:val="246"/>
              <w:rPr>
                <w:rFonts w:hint="eastAsia" w:eastAsiaTheme="minorEastAsia"/>
                <w:color w:val="auto"/>
                <w:lang w:eastAsia="zh-CN"/>
              </w:rPr>
            </w:pPr>
            <w:r>
              <w:rPr>
                <w:rFonts w:hint="eastAsia" w:eastAsiaTheme="minorEastAsia"/>
                <w:color w:val="auto"/>
                <w:lang w:val="en-US" w:eastAsia="zh-CN"/>
              </w:rPr>
              <w:t xml:space="preserve">30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1415" w:type="dxa"/>
            <w:vMerge w:val="continue"/>
            <w:tcBorders>
              <w:tl2br w:val="nil"/>
              <w:tr2bl w:val="nil"/>
            </w:tcBorders>
            <w:shd w:val="clear" w:color="auto" w:fill="auto"/>
            <w:vAlign w:val="center"/>
          </w:tcPr>
          <w:p>
            <w:pPr>
              <w:pStyle w:val="246"/>
              <w:rPr>
                <w:rFonts w:hint="eastAsia" w:eastAsiaTheme="minorEastAsia"/>
                <w:color w:val="auto"/>
              </w:rPr>
            </w:pPr>
          </w:p>
        </w:tc>
        <w:tc>
          <w:tcPr>
            <w:tcW w:w="1695"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rPr>
              <w:t>西郊华城</w:t>
            </w:r>
          </w:p>
        </w:tc>
        <w:tc>
          <w:tcPr>
            <w:tcW w:w="1305"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-30</w:t>
            </w:r>
          </w:p>
        </w:tc>
        <w:tc>
          <w:tcPr>
            <w:tcW w:w="1155"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0</w:t>
            </w:r>
          </w:p>
        </w:tc>
        <w:tc>
          <w:tcPr>
            <w:tcW w:w="2341"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居民，850人</w:t>
            </w:r>
          </w:p>
        </w:tc>
        <w:tc>
          <w:tcPr>
            <w:tcW w:w="2310" w:type="dxa"/>
            <w:vMerge w:val="continue"/>
            <w:tcBorders>
              <w:tl2br w:val="nil"/>
              <w:tr2bl w:val="nil"/>
            </w:tcBorders>
            <w:shd w:val="clear" w:color="auto" w:fill="auto"/>
            <w:vAlign w:val="center"/>
          </w:tcPr>
          <w:p>
            <w:pPr>
              <w:pStyle w:val="246"/>
              <w:rPr>
                <w:rFonts w:hint="eastAsia" w:eastAsiaTheme="minorEastAsia"/>
                <w:color w:val="auto"/>
              </w:rPr>
            </w:pPr>
          </w:p>
        </w:tc>
        <w:tc>
          <w:tcPr>
            <w:tcW w:w="1814"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lang w:eastAsia="zh-CN"/>
              </w:rPr>
              <w:t>南</w:t>
            </w:r>
          </w:p>
        </w:tc>
        <w:tc>
          <w:tcPr>
            <w:tcW w:w="1953" w:type="dxa"/>
            <w:tcBorders>
              <w:tl2br w:val="nil"/>
              <w:tr2bl w:val="nil"/>
            </w:tcBorders>
            <w:shd w:val="clear" w:color="auto" w:fill="auto"/>
            <w:vAlign w:val="center"/>
          </w:tcPr>
          <w:p>
            <w:pPr>
              <w:pStyle w:val="246"/>
              <w:rPr>
                <w:rFonts w:hint="eastAsia" w:eastAsiaTheme="minorEastAsia"/>
                <w:color w:val="auto"/>
                <w:lang w:eastAsia="zh-CN"/>
              </w:rPr>
            </w:pPr>
            <w:r>
              <w:rPr>
                <w:rFonts w:hint="eastAsia" w:eastAsiaTheme="minorEastAsia"/>
                <w:color w:val="auto"/>
                <w:lang w:val="en-US" w:eastAsia="zh-CN"/>
              </w:rPr>
              <w:t xml:space="preserve">30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1415" w:type="dxa"/>
            <w:vMerge w:val="continue"/>
            <w:tcBorders>
              <w:tl2br w:val="nil"/>
              <w:tr2bl w:val="nil"/>
            </w:tcBorders>
            <w:shd w:val="clear" w:color="auto" w:fill="auto"/>
            <w:vAlign w:val="center"/>
          </w:tcPr>
          <w:p>
            <w:pPr>
              <w:pStyle w:val="246"/>
              <w:rPr>
                <w:rFonts w:hint="eastAsia" w:eastAsiaTheme="minorEastAsia"/>
                <w:color w:val="auto"/>
              </w:rPr>
            </w:pPr>
          </w:p>
        </w:tc>
        <w:tc>
          <w:tcPr>
            <w:tcW w:w="1695"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rPr>
              <w:t>华安小区</w:t>
            </w:r>
          </w:p>
        </w:tc>
        <w:tc>
          <w:tcPr>
            <w:tcW w:w="1305"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0</w:t>
            </w:r>
          </w:p>
        </w:tc>
        <w:tc>
          <w:tcPr>
            <w:tcW w:w="1155"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30</w:t>
            </w:r>
          </w:p>
        </w:tc>
        <w:tc>
          <w:tcPr>
            <w:tcW w:w="2341"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居民，780人</w:t>
            </w:r>
          </w:p>
        </w:tc>
        <w:tc>
          <w:tcPr>
            <w:tcW w:w="2310" w:type="dxa"/>
            <w:vMerge w:val="continue"/>
            <w:tcBorders>
              <w:tl2br w:val="nil"/>
              <w:tr2bl w:val="nil"/>
            </w:tcBorders>
            <w:shd w:val="clear" w:color="auto" w:fill="auto"/>
            <w:vAlign w:val="center"/>
          </w:tcPr>
          <w:p>
            <w:pPr>
              <w:pStyle w:val="246"/>
              <w:rPr>
                <w:rFonts w:hint="eastAsia" w:eastAsiaTheme="minorEastAsia"/>
                <w:color w:val="auto"/>
              </w:rPr>
            </w:pPr>
          </w:p>
        </w:tc>
        <w:tc>
          <w:tcPr>
            <w:tcW w:w="1814" w:type="dxa"/>
            <w:tcBorders>
              <w:tl2br w:val="nil"/>
              <w:tr2bl w:val="nil"/>
            </w:tcBorders>
            <w:shd w:val="clear" w:color="auto" w:fill="auto"/>
            <w:vAlign w:val="center"/>
          </w:tcPr>
          <w:p>
            <w:pPr>
              <w:pStyle w:val="246"/>
              <w:rPr>
                <w:rFonts w:hint="eastAsia" w:eastAsiaTheme="minorEastAsia"/>
                <w:color w:val="auto"/>
                <w:lang w:eastAsia="zh-CN"/>
              </w:rPr>
            </w:pPr>
            <w:r>
              <w:rPr>
                <w:rFonts w:hint="eastAsia" w:eastAsiaTheme="minorEastAsia"/>
                <w:color w:val="auto"/>
                <w:lang w:eastAsia="zh-CN"/>
              </w:rPr>
              <w:t>西北</w:t>
            </w:r>
          </w:p>
        </w:tc>
        <w:tc>
          <w:tcPr>
            <w:tcW w:w="1953" w:type="dxa"/>
            <w:tcBorders>
              <w:tl2br w:val="nil"/>
              <w:tr2bl w:val="nil"/>
            </w:tcBorders>
            <w:shd w:val="clear" w:color="auto" w:fill="auto"/>
            <w:vAlign w:val="center"/>
          </w:tcPr>
          <w:p>
            <w:pPr>
              <w:pStyle w:val="246"/>
              <w:rPr>
                <w:rFonts w:hint="eastAsia" w:eastAsiaTheme="minorEastAsia"/>
                <w:color w:val="auto"/>
                <w:lang w:eastAsia="zh-CN"/>
              </w:rPr>
            </w:pPr>
            <w:r>
              <w:rPr>
                <w:rFonts w:hint="eastAsia" w:eastAsiaTheme="minorEastAsia"/>
                <w:color w:val="auto"/>
                <w:lang w:val="en-US" w:eastAsia="zh-CN"/>
              </w:rPr>
              <w:t xml:space="preserve">30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1415" w:type="dxa"/>
            <w:vMerge w:val="continue"/>
            <w:tcBorders>
              <w:tl2br w:val="nil"/>
              <w:tr2bl w:val="nil"/>
            </w:tcBorders>
            <w:shd w:val="clear" w:color="auto" w:fill="auto"/>
            <w:vAlign w:val="center"/>
          </w:tcPr>
          <w:p>
            <w:pPr>
              <w:pStyle w:val="246"/>
              <w:rPr>
                <w:rFonts w:hint="eastAsia" w:eastAsiaTheme="minorEastAsia"/>
                <w:color w:val="auto"/>
              </w:rPr>
            </w:pPr>
          </w:p>
        </w:tc>
        <w:tc>
          <w:tcPr>
            <w:tcW w:w="1695"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rPr>
              <w:t>松桦小区</w:t>
            </w:r>
          </w:p>
        </w:tc>
        <w:tc>
          <w:tcPr>
            <w:tcW w:w="1305"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-20</w:t>
            </w:r>
          </w:p>
        </w:tc>
        <w:tc>
          <w:tcPr>
            <w:tcW w:w="1155"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0</w:t>
            </w:r>
          </w:p>
        </w:tc>
        <w:tc>
          <w:tcPr>
            <w:tcW w:w="2341"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居民，150人</w:t>
            </w:r>
          </w:p>
        </w:tc>
        <w:tc>
          <w:tcPr>
            <w:tcW w:w="2310" w:type="dxa"/>
            <w:vMerge w:val="continue"/>
            <w:tcBorders>
              <w:tl2br w:val="nil"/>
              <w:tr2bl w:val="nil"/>
            </w:tcBorders>
            <w:shd w:val="clear" w:color="auto" w:fill="auto"/>
            <w:vAlign w:val="center"/>
          </w:tcPr>
          <w:p>
            <w:pPr>
              <w:pStyle w:val="246"/>
              <w:rPr>
                <w:rFonts w:hint="eastAsia" w:eastAsiaTheme="minorEastAsia"/>
                <w:color w:val="auto"/>
              </w:rPr>
            </w:pPr>
          </w:p>
        </w:tc>
        <w:tc>
          <w:tcPr>
            <w:tcW w:w="1814" w:type="dxa"/>
            <w:tcBorders>
              <w:tl2br w:val="nil"/>
              <w:tr2bl w:val="nil"/>
            </w:tcBorders>
            <w:shd w:val="clear" w:color="auto" w:fill="auto"/>
            <w:vAlign w:val="center"/>
          </w:tcPr>
          <w:p>
            <w:pPr>
              <w:pStyle w:val="246"/>
              <w:rPr>
                <w:rFonts w:hint="eastAsia" w:eastAsiaTheme="minorEastAsia"/>
                <w:color w:val="auto"/>
                <w:lang w:eastAsia="zh-CN"/>
              </w:rPr>
            </w:pPr>
            <w:r>
              <w:rPr>
                <w:rFonts w:hint="eastAsia" w:eastAsiaTheme="minorEastAsia"/>
                <w:color w:val="auto"/>
                <w:lang w:eastAsia="zh-CN"/>
              </w:rPr>
              <w:t>西</w:t>
            </w:r>
          </w:p>
        </w:tc>
        <w:tc>
          <w:tcPr>
            <w:tcW w:w="1953" w:type="dxa"/>
            <w:tcBorders>
              <w:tl2br w:val="nil"/>
              <w:tr2bl w:val="nil"/>
            </w:tcBorders>
            <w:shd w:val="clear" w:color="auto" w:fill="auto"/>
            <w:vAlign w:val="center"/>
          </w:tcPr>
          <w:p>
            <w:pPr>
              <w:pStyle w:val="246"/>
              <w:rPr>
                <w:rFonts w:hint="eastAsia" w:eastAsiaTheme="minorEastAsia"/>
                <w:color w:val="auto"/>
                <w:lang w:eastAsia="zh-CN"/>
              </w:rPr>
            </w:pPr>
            <w:r>
              <w:rPr>
                <w:rFonts w:hint="eastAsia" w:eastAsiaTheme="minorEastAsia"/>
                <w:color w:val="auto"/>
                <w:lang w:val="en-US" w:eastAsia="zh-CN"/>
              </w:rPr>
              <w:t xml:space="preserve">20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1415" w:type="dxa"/>
            <w:vMerge w:val="continue"/>
            <w:tcBorders>
              <w:tl2br w:val="nil"/>
              <w:tr2bl w:val="nil"/>
            </w:tcBorders>
            <w:shd w:val="clear" w:color="auto" w:fill="auto"/>
            <w:vAlign w:val="center"/>
          </w:tcPr>
          <w:p>
            <w:pPr>
              <w:pStyle w:val="246"/>
              <w:rPr>
                <w:rFonts w:hint="eastAsia" w:eastAsiaTheme="minorEastAsia"/>
                <w:color w:val="auto"/>
              </w:rPr>
            </w:pPr>
          </w:p>
        </w:tc>
        <w:tc>
          <w:tcPr>
            <w:tcW w:w="1695" w:type="dxa"/>
            <w:tcBorders>
              <w:tl2br w:val="nil"/>
              <w:tr2bl w:val="nil"/>
            </w:tcBorders>
            <w:shd w:val="clear" w:color="auto" w:fill="auto"/>
            <w:vAlign w:val="center"/>
          </w:tcPr>
          <w:p>
            <w:pPr>
              <w:pStyle w:val="246"/>
              <w:rPr>
                <w:rFonts w:hint="eastAsia" w:eastAsiaTheme="minorEastAsia"/>
                <w:color w:val="auto"/>
              </w:rPr>
            </w:pPr>
            <w:r>
              <w:rPr>
                <w:rFonts w:hint="eastAsia" w:eastAsiaTheme="minorEastAsia"/>
                <w:color w:val="auto"/>
              </w:rPr>
              <w:t>范家村</w:t>
            </w:r>
          </w:p>
        </w:tc>
        <w:tc>
          <w:tcPr>
            <w:tcW w:w="1305"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-15</w:t>
            </w:r>
          </w:p>
        </w:tc>
        <w:tc>
          <w:tcPr>
            <w:tcW w:w="1155"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0</w:t>
            </w:r>
          </w:p>
        </w:tc>
        <w:tc>
          <w:tcPr>
            <w:tcW w:w="2341" w:type="dxa"/>
            <w:tcBorders>
              <w:tl2br w:val="nil"/>
              <w:tr2bl w:val="nil"/>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居民，350人</w:t>
            </w:r>
          </w:p>
        </w:tc>
        <w:tc>
          <w:tcPr>
            <w:tcW w:w="2310" w:type="dxa"/>
            <w:vMerge w:val="continue"/>
            <w:tcBorders>
              <w:tl2br w:val="nil"/>
              <w:tr2bl w:val="nil"/>
            </w:tcBorders>
            <w:shd w:val="clear" w:color="auto" w:fill="auto"/>
            <w:vAlign w:val="center"/>
          </w:tcPr>
          <w:p>
            <w:pPr>
              <w:pStyle w:val="246"/>
              <w:rPr>
                <w:rFonts w:hint="eastAsia" w:eastAsiaTheme="minorEastAsia"/>
                <w:color w:val="auto"/>
              </w:rPr>
            </w:pPr>
          </w:p>
        </w:tc>
        <w:tc>
          <w:tcPr>
            <w:tcW w:w="1814" w:type="dxa"/>
            <w:tcBorders>
              <w:tl2br w:val="nil"/>
              <w:tr2bl w:val="nil"/>
            </w:tcBorders>
            <w:shd w:val="clear" w:color="auto" w:fill="auto"/>
            <w:vAlign w:val="center"/>
          </w:tcPr>
          <w:p>
            <w:pPr>
              <w:pStyle w:val="246"/>
              <w:rPr>
                <w:rFonts w:hint="eastAsia" w:eastAsiaTheme="minorEastAsia"/>
                <w:color w:val="auto"/>
                <w:lang w:eastAsia="zh-CN"/>
              </w:rPr>
            </w:pPr>
            <w:r>
              <w:rPr>
                <w:rFonts w:hint="eastAsia" w:eastAsiaTheme="minorEastAsia"/>
                <w:color w:val="auto"/>
                <w:lang w:eastAsia="zh-CN"/>
              </w:rPr>
              <w:t>西</w:t>
            </w:r>
          </w:p>
        </w:tc>
        <w:tc>
          <w:tcPr>
            <w:tcW w:w="1953" w:type="dxa"/>
            <w:tcBorders>
              <w:tl2br w:val="nil"/>
              <w:tr2bl w:val="nil"/>
            </w:tcBorders>
            <w:shd w:val="clear" w:color="auto" w:fill="auto"/>
            <w:vAlign w:val="center"/>
          </w:tcPr>
          <w:p>
            <w:pPr>
              <w:pStyle w:val="246"/>
              <w:rPr>
                <w:rFonts w:hint="eastAsia" w:eastAsiaTheme="minorEastAsia"/>
                <w:color w:val="auto"/>
                <w:lang w:eastAsia="zh-CN"/>
              </w:rPr>
            </w:pPr>
            <w:r>
              <w:rPr>
                <w:rFonts w:hint="eastAsia" w:eastAsiaTheme="minorEastAsia"/>
                <w:color w:val="auto"/>
                <w:lang w:val="en-US" w:eastAsia="zh-CN"/>
              </w:rPr>
              <w:t>15</w:t>
            </w:r>
          </w:p>
        </w:tc>
      </w:tr>
    </w:tbl>
    <w:p>
      <w:pPr>
        <w:pStyle w:val="244"/>
        <w:rPr>
          <w:rFonts w:eastAsiaTheme="minorEastAsia"/>
          <w:color w:val="auto"/>
        </w:rPr>
      </w:pPr>
    </w:p>
    <w:p>
      <w:pPr>
        <w:pStyle w:val="244"/>
        <w:rPr>
          <w:rFonts w:eastAsiaTheme="minorEastAsia"/>
          <w:color w:val="auto"/>
        </w:rPr>
      </w:pPr>
    </w:p>
    <w:p>
      <w:pPr>
        <w:pStyle w:val="165"/>
        <w:jc w:val="left"/>
        <w:rPr>
          <w:rFonts w:eastAsiaTheme="minorEastAsia"/>
          <w:b w:val="0"/>
          <w:color w:val="auto"/>
          <w:sz w:val="18"/>
          <w:szCs w:val="18"/>
        </w:rPr>
        <w:sectPr>
          <w:pgSz w:w="16838" w:h="11906" w:orient="landscape"/>
          <w:pgMar w:top="1800" w:right="1440" w:bottom="1800" w:left="1440" w:header="851" w:footer="992" w:gutter="0"/>
          <w:pgBorders>
            <w:top w:val="none" w:sz="0" w:space="0"/>
            <w:left w:val="none" w:sz="0" w:space="0"/>
            <w:bottom w:val="none" w:sz="0" w:space="0"/>
            <w:right w:val="none" w:sz="0" w:space="0"/>
          </w:pgBorders>
          <w:cols w:space="720" w:num="1"/>
          <w:docGrid w:type="lines" w:linePitch="326" w:charSpace="0"/>
        </w:sectPr>
      </w:pPr>
    </w:p>
    <w:p>
      <w:pPr>
        <w:pStyle w:val="238"/>
        <w:rPr>
          <w:rFonts w:hAnsi="Times New Roman" w:eastAsiaTheme="minorEastAsia"/>
          <w:color w:val="auto"/>
        </w:rPr>
      </w:pPr>
      <w:bookmarkStart w:id="97" w:name="_Toc519693564"/>
      <w:bookmarkStart w:id="98" w:name="_Toc360142530"/>
      <w:bookmarkStart w:id="99" w:name="_Toc440973677"/>
      <w:bookmarkStart w:id="100" w:name="_Toc440973411"/>
      <w:bookmarkStart w:id="101" w:name="_Toc436406188"/>
      <w:r>
        <w:rPr>
          <w:rFonts w:hAnsi="Times New Roman" w:eastAsiaTheme="minorEastAsia"/>
          <w:color w:val="auto"/>
        </w:rPr>
        <w:t>2.6产业政策及相关规划符合性分析</w:t>
      </w:r>
      <w:bookmarkEnd w:id="97"/>
    </w:p>
    <w:p>
      <w:pPr>
        <w:pStyle w:val="276"/>
        <w:rPr>
          <w:rFonts w:eastAsiaTheme="minorEastAsia"/>
          <w:color w:val="auto"/>
        </w:rPr>
      </w:pPr>
      <w:r>
        <w:rPr>
          <w:rFonts w:eastAsiaTheme="minorEastAsia"/>
          <w:color w:val="auto"/>
        </w:rPr>
        <w:t>（1）与《产业结构调整指导目录（2011年本）》（2016修正）符合性</w:t>
      </w:r>
    </w:p>
    <w:p>
      <w:pPr>
        <w:pStyle w:val="276"/>
        <w:rPr>
          <w:rFonts w:eastAsiaTheme="minorEastAsia"/>
          <w:color w:val="auto"/>
        </w:rPr>
      </w:pPr>
      <w:r>
        <w:rPr>
          <w:rFonts w:eastAsiaTheme="minorEastAsia"/>
          <w:color w:val="auto"/>
        </w:rPr>
        <w:t>根据《产业结构调整指导目录（2011年本）》（2016修正），本项目所采用的工艺设备等均不在限制与淘汰之列，本项目不属于淘汰和限制类项目，为允许类项目，符合国家产业政策要求。</w:t>
      </w:r>
    </w:p>
    <w:p>
      <w:pPr>
        <w:pStyle w:val="276"/>
        <w:rPr>
          <w:rFonts w:eastAsiaTheme="minorEastAsia"/>
          <w:color w:val="auto"/>
        </w:rPr>
      </w:pPr>
      <w:r>
        <w:rPr>
          <w:rFonts w:eastAsiaTheme="minorEastAsia"/>
          <w:color w:val="auto"/>
        </w:rPr>
        <w:t>（2）与《矿山生态环境保护与污染防治技术政策》符合性</w:t>
      </w:r>
    </w:p>
    <w:p>
      <w:pPr>
        <w:pStyle w:val="276"/>
        <w:rPr>
          <w:rFonts w:eastAsiaTheme="minorEastAsia"/>
          <w:color w:val="auto"/>
        </w:rPr>
      </w:pPr>
      <w:r>
        <w:rPr>
          <w:rFonts w:eastAsiaTheme="minorEastAsia"/>
          <w:color w:val="auto"/>
        </w:rPr>
        <w:t>根据《矿山生态环境保护与污染防治技术政策》要求：</w:t>
      </w:r>
    </w:p>
    <w:p>
      <w:pPr>
        <w:pStyle w:val="276"/>
        <w:rPr>
          <w:rFonts w:eastAsiaTheme="minorEastAsia"/>
          <w:color w:val="auto"/>
        </w:rPr>
      </w:pPr>
      <w:r>
        <w:rPr>
          <w:rFonts w:hint="eastAsia" w:ascii="宋体" w:hAnsi="宋体" w:cs="宋体"/>
          <w:color w:val="auto"/>
        </w:rPr>
        <w:t>①</w:t>
      </w:r>
      <w:r>
        <w:rPr>
          <w:rFonts w:eastAsiaTheme="minorEastAsia"/>
          <w:color w:val="auto"/>
        </w:rPr>
        <w:t>禁止在依法划定的自然保护区（核心区、缓冲区）、风景名胜区、森林公园、饮用水水源保护区、重要湖泊周边、文物古迹所在地、地质遗迹保护区、基本农田保护区等区域内采矿。</w:t>
      </w:r>
    </w:p>
    <w:p>
      <w:pPr>
        <w:pStyle w:val="276"/>
        <w:rPr>
          <w:rFonts w:eastAsiaTheme="minorEastAsia"/>
          <w:color w:val="auto"/>
        </w:rPr>
      </w:pPr>
      <w:r>
        <w:rPr>
          <w:rFonts w:hint="eastAsia" w:ascii="宋体" w:hAnsi="宋体" w:cs="宋体"/>
          <w:color w:val="auto"/>
        </w:rPr>
        <w:t>②</w:t>
      </w:r>
      <w:r>
        <w:rPr>
          <w:rFonts w:eastAsiaTheme="minorEastAsia"/>
          <w:color w:val="auto"/>
        </w:rPr>
        <w:t>禁止在铁路、国道、省道两侧的直观可视范围内进行露天开采。</w:t>
      </w:r>
    </w:p>
    <w:p>
      <w:pPr>
        <w:pStyle w:val="276"/>
        <w:rPr>
          <w:rFonts w:eastAsiaTheme="minorEastAsia"/>
          <w:color w:val="auto"/>
        </w:rPr>
      </w:pPr>
      <w:r>
        <w:rPr>
          <w:rFonts w:hint="eastAsia" w:ascii="宋体" w:hAnsi="宋体" w:cs="宋体"/>
          <w:color w:val="auto"/>
        </w:rPr>
        <w:t>③</w:t>
      </w:r>
      <w:r>
        <w:rPr>
          <w:rFonts w:eastAsiaTheme="minorEastAsia"/>
          <w:color w:val="auto"/>
        </w:rPr>
        <w:t>禁止在地质灾害危险区开采矿产资源。</w:t>
      </w:r>
    </w:p>
    <w:p>
      <w:pPr>
        <w:pStyle w:val="276"/>
        <w:rPr>
          <w:rFonts w:eastAsiaTheme="minorEastAsia"/>
          <w:color w:val="auto"/>
        </w:rPr>
      </w:pPr>
      <w:r>
        <w:rPr>
          <w:rFonts w:hint="eastAsia" w:ascii="宋体" w:hAnsi="宋体" w:cs="宋体"/>
          <w:color w:val="auto"/>
        </w:rPr>
        <w:t>④</w:t>
      </w:r>
      <w:r>
        <w:rPr>
          <w:rFonts w:eastAsiaTheme="minorEastAsia"/>
          <w:color w:val="auto"/>
        </w:rPr>
        <w:t>禁止土法采、选冶金矿和土法冶炼汞、砷、铅、锌、焦、硫、钒等矿产资源开发活动。</w:t>
      </w:r>
    </w:p>
    <w:p>
      <w:pPr>
        <w:pStyle w:val="276"/>
        <w:rPr>
          <w:rFonts w:eastAsiaTheme="minorEastAsia"/>
          <w:color w:val="auto"/>
        </w:rPr>
      </w:pPr>
      <w:r>
        <w:rPr>
          <w:rFonts w:hint="eastAsia" w:ascii="宋体" w:hAnsi="宋体" w:cs="宋体"/>
          <w:color w:val="auto"/>
        </w:rPr>
        <w:t>⑤</w:t>
      </w:r>
      <w:r>
        <w:rPr>
          <w:rFonts w:eastAsiaTheme="minorEastAsia"/>
          <w:color w:val="auto"/>
        </w:rPr>
        <w:t>禁止新建对生态环境产生不可恢复利用的、产生破坏性影响的矿产资源开发项目。</w:t>
      </w:r>
    </w:p>
    <w:p>
      <w:pPr>
        <w:pStyle w:val="276"/>
        <w:rPr>
          <w:rFonts w:eastAsiaTheme="minorEastAsia"/>
          <w:color w:val="auto"/>
        </w:rPr>
      </w:pPr>
      <w:r>
        <w:rPr>
          <w:rFonts w:hint="eastAsia" w:ascii="宋体" w:hAnsi="宋体" w:cs="宋体"/>
          <w:color w:val="auto"/>
        </w:rPr>
        <w:t>⑥</w:t>
      </w:r>
      <w:r>
        <w:rPr>
          <w:rFonts w:eastAsiaTheme="minorEastAsia"/>
          <w:color w:val="auto"/>
        </w:rPr>
        <w:t>禁止新建煤层含硫量大于3%的煤矿。</w:t>
      </w:r>
    </w:p>
    <w:p>
      <w:pPr>
        <w:pStyle w:val="276"/>
        <w:rPr>
          <w:rFonts w:eastAsiaTheme="minorEastAsia"/>
          <w:color w:val="auto"/>
        </w:rPr>
      </w:pPr>
      <w:r>
        <w:rPr>
          <w:rFonts w:eastAsiaTheme="minorEastAsia"/>
          <w:color w:val="auto"/>
        </w:rPr>
        <w:t>本项目不处于以上禁采区，符合《矿山生态环境保护与污染防治技术政策》要求。</w:t>
      </w:r>
    </w:p>
    <w:p>
      <w:pPr>
        <w:pStyle w:val="276"/>
        <w:rPr>
          <w:rFonts w:eastAsiaTheme="minorEastAsia"/>
          <w:color w:val="auto"/>
        </w:rPr>
      </w:pPr>
      <w:r>
        <w:rPr>
          <w:rFonts w:eastAsiaTheme="minorEastAsia"/>
          <w:color w:val="auto"/>
        </w:rPr>
        <w:t>（3）与《黑龙江省生态环境保护“十三五”规划》符合性</w:t>
      </w:r>
    </w:p>
    <w:p>
      <w:pPr>
        <w:pStyle w:val="276"/>
        <w:rPr>
          <w:rFonts w:eastAsiaTheme="minorEastAsia"/>
          <w:color w:val="auto"/>
        </w:rPr>
      </w:pPr>
      <w:r>
        <w:rPr>
          <w:rFonts w:eastAsiaTheme="minorEastAsia"/>
          <w:color w:val="auto"/>
        </w:rPr>
        <w:t>《黑龙江省生态环境保护“十三五”规划》目标至2020年，全省生态环境质量总体改善。地表水水环境质量在总体稳定的基础上进一步改善，污染严重水体得到有效治理，饮用水安全得到有效保障；城市大气环境质量持续改善，重点行业和重点区域大气污染治理成效明显；土壤环境质量保持稳定；主要污染物排放总量显著减少；生态系统稳定性明显增强，农村环境质量初步改善；环境风险得到有效管控；生态环境治理体系与治理能力现代化取得进展，筑牢“美丽龙江”的环境基础，使生态文明建设水平与全面建成小康社会相适应。推进废弃土地复垦和生态恢复，生态保护红线区域内禁止新增矿产资源开发活动。加强生态系统保护与修复。</w:t>
      </w:r>
    </w:p>
    <w:p>
      <w:pPr>
        <w:pStyle w:val="276"/>
        <w:rPr>
          <w:rFonts w:eastAsiaTheme="minorEastAsia"/>
          <w:color w:val="auto"/>
        </w:rPr>
      </w:pPr>
      <w:r>
        <w:rPr>
          <w:rFonts w:eastAsiaTheme="minorEastAsia"/>
          <w:color w:val="auto"/>
        </w:rPr>
        <w:t>本项目不在生态保护红线范围内，矿山开采期间采取环保措施保证大气、水、噪声污染得到治理。矿山闭矿时，企业应对采矿造成的环境问题进行处理，以保护生态环境。本项目闭矿后进行土地复垦，全部恢复为林地，土地复垦率达到100%，采用乔灌草相结合的林草防护体系，可有效治理水土流失，因此项目建设符合《黑龙江省生态环境保护“十三五”规划》要求。</w:t>
      </w:r>
    </w:p>
    <w:p>
      <w:pPr>
        <w:pStyle w:val="276"/>
        <w:rPr>
          <w:rFonts w:hint="eastAsia" w:eastAsiaTheme="minorEastAsia"/>
          <w:bCs/>
          <w:color w:val="auto"/>
          <w:lang w:val="en-US" w:eastAsia="zh-CN"/>
        </w:rPr>
      </w:pPr>
      <w:r>
        <w:rPr>
          <w:rFonts w:eastAsiaTheme="minorEastAsia"/>
          <w:bCs/>
          <w:color w:val="auto"/>
        </w:rPr>
        <w:t>（4）与《黑龙江省水土保持规划（2015-2030年）》</w:t>
      </w:r>
      <w:r>
        <w:rPr>
          <w:rFonts w:hint="eastAsia" w:eastAsiaTheme="minorEastAsia"/>
          <w:bCs/>
          <w:color w:val="auto"/>
          <w:lang w:eastAsia="zh-CN"/>
        </w:rPr>
        <w:t>符合性</w:t>
      </w:r>
    </w:p>
    <w:p>
      <w:pPr>
        <w:pStyle w:val="276"/>
        <w:rPr>
          <w:rStyle w:val="227"/>
          <w:rFonts w:ascii="Times New Roman" w:hAnsi="Times New Roman" w:eastAsiaTheme="minorEastAsia"/>
          <w:color w:val="auto"/>
        </w:rPr>
      </w:pPr>
      <w:r>
        <w:rPr>
          <w:rFonts w:eastAsiaTheme="minorEastAsia"/>
          <w:bCs/>
          <w:color w:val="auto"/>
        </w:rPr>
        <w:t>根据黑龙江省水利厅编制的《黑龙江省水土保持规划（2015-2030年）》，</w:t>
      </w:r>
      <w:r>
        <w:rPr>
          <w:color w:val="auto"/>
          <w:szCs w:val="21"/>
        </w:rPr>
        <w:t>黑龙江省水土保持划分为水土流失重点预防区和重点治理区，</w:t>
      </w:r>
      <w:r>
        <w:rPr>
          <w:rFonts w:hint="eastAsia"/>
          <w:color w:val="auto"/>
          <w:szCs w:val="21"/>
          <w:lang w:eastAsia="zh-CN"/>
        </w:rPr>
        <w:t>本项目位于佳木斯市，属于</w:t>
      </w:r>
      <w:r>
        <w:rPr>
          <w:rFonts w:hint="eastAsia"/>
          <w:color w:val="auto"/>
          <w:szCs w:val="21"/>
        </w:rPr>
        <w:t>东北漫川漫岗水土流失重点</w:t>
      </w:r>
      <w:r>
        <w:rPr>
          <w:rFonts w:hint="eastAsia"/>
          <w:color w:val="auto"/>
          <w:szCs w:val="21"/>
          <w:lang w:eastAsia="zh-CN"/>
        </w:rPr>
        <w:t>治理区。</w:t>
      </w:r>
      <w:r>
        <w:rPr>
          <w:color w:val="auto"/>
          <w:szCs w:val="21"/>
        </w:rPr>
        <w:t>按照《规划》中水土保持区划分区的结果，</w:t>
      </w:r>
      <w:r>
        <w:rPr>
          <w:rFonts w:eastAsiaTheme="minorEastAsia"/>
          <w:color w:val="auto"/>
        </w:rPr>
        <w:t>本项目属于</w:t>
      </w:r>
      <w:r>
        <w:rPr>
          <w:rStyle w:val="227"/>
          <w:rFonts w:hint="eastAsia" w:ascii="Times New Roman" w:hAnsi="Times New Roman" w:eastAsiaTheme="minorEastAsia"/>
          <w:color w:val="auto"/>
        </w:rPr>
        <w:t>I-2-3st</w:t>
      </w:r>
      <w:r>
        <w:rPr>
          <w:rFonts w:hint="eastAsia" w:eastAsiaTheme="minorEastAsia"/>
          <w:color w:val="auto"/>
          <w:lang w:eastAsia="zh-CN"/>
        </w:rPr>
        <w:t>东南部山地丘陵水质维护保土区</w:t>
      </w:r>
      <w:r>
        <w:rPr>
          <w:rFonts w:eastAsiaTheme="minorEastAsia"/>
          <w:color w:val="auto"/>
        </w:rPr>
        <w:t>，</w:t>
      </w:r>
      <w:r>
        <w:rPr>
          <w:rStyle w:val="227"/>
          <w:rFonts w:hint="eastAsia" w:eastAsiaTheme="minorEastAsia"/>
          <w:color w:val="auto"/>
          <w:lang w:eastAsia="zh-CN"/>
        </w:rPr>
        <w:t>属黑龙江省重点治理区，为农林交错区，植被面积大，土层深厚，林缘与农田接壤地带陡坡开荒较严重，受地形地势影响，侵蚀沟较为发育。水土流失主要发生在疏幼林地、坡耕地或农道周边等部位。本区宜加强森林植被保护和建设，提高水源涵养能力，推动城市周边地区清洁小流域建设。大力推行以小流域为单元的水土流失综合治理、坡耕地治理专项工程、侵蚀沟治理专项工程、清洁小流域建设工程等，缓坡耕地采取梯田、地埂、等高垄作等治理措施，大于 15 度坡耕地逐步退耕还林还果，发展特色产业，控制水土流失。</w:t>
      </w:r>
    </w:p>
    <w:p>
      <w:pPr>
        <w:pStyle w:val="276"/>
        <w:rPr>
          <w:rFonts w:eastAsiaTheme="minorEastAsia"/>
          <w:bCs/>
          <w:color w:val="auto"/>
        </w:rPr>
      </w:pPr>
      <w:r>
        <w:rPr>
          <w:rFonts w:eastAsiaTheme="minorEastAsia"/>
          <w:color w:val="auto"/>
          <w:szCs w:val="21"/>
        </w:rPr>
        <w:t>矿山闭矿时，企业应对采矿造成的环境问题进行处理，以保护生态环境。对场地进行清理；种植当地常见林木，恢复林地，</w:t>
      </w:r>
      <w:r>
        <w:rPr>
          <w:rStyle w:val="227"/>
          <w:rFonts w:ascii="Times New Roman" w:hAnsi="Times New Roman" w:eastAsiaTheme="minorEastAsia"/>
          <w:color w:val="auto"/>
        </w:rPr>
        <w:t>可有效治理水土流失，</w:t>
      </w:r>
      <w:r>
        <w:rPr>
          <w:color w:val="auto"/>
          <w:szCs w:val="21"/>
        </w:rPr>
        <w:t>本项目的建设</w:t>
      </w:r>
      <w:r>
        <w:rPr>
          <w:rStyle w:val="227"/>
          <w:rFonts w:ascii="Times New Roman" w:hAnsi="Times New Roman" w:eastAsiaTheme="minorEastAsia"/>
          <w:color w:val="auto"/>
        </w:rPr>
        <w:t>符合</w:t>
      </w:r>
      <w:r>
        <w:rPr>
          <w:rFonts w:eastAsiaTheme="minorEastAsia"/>
          <w:bCs/>
          <w:color w:val="auto"/>
        </w:rPr>
        <w:t>《黑龙江省水土保持规划（2015-2030年）》要求。</w:t>
      </w:r>
    </w:p>
    <w:p>
      <w:pPr>
        <w:pStyle w:val="276"/>
        <w:spacing w:line="240" w:lineRule="auto"/>
        <w:ind w:firstLine="0" w:firstLineChars="0"/>
        <w:rPr>
          <w:rFonts w:eastAsiaTheme="minorEastAsia"/>
          <w:color w:val="auto"/>
        </w:rPr>
      </w:pPr>
    </w:p>
    <w:p>
      <w:pPr>
        <w:pStyle w:val="244"/>
        <w:rPr>
          <w:rFonts w:hint="eastAsia" w:eastAsiaTheme="minorEastAsia"/>
          <w:color w:val="auto"/>
        </w:rPr>
      </w:pPr>
      <w:r>
        <w:rPr>
          <w:color w:val="auto"/>
          <w:sz w:val="24"/>
        </w:rPr>
        <mc:AlternateContent>
          <mc:Choice Requires="wps">
            <w:drawing>
              <wp:anchor distT="0" distB="0" distL="114300" distR="114300" simplePos="0" relativeHeight="289350656" behindDoc="0" locked="0" layoutInCell="1" allowOverlap="1">
                <wp:simplePos x="0" y="0"/>
                <wp:positionH relativeFrom="column">
                  <wp:posOffset>3413760</wp:posOffset>
                </wp:positionH>
                <wp:positionV relativeFrom="paragraph">
                  <wp:posOffset>4871720</wp:posOffset>
                </wp:positionV>
                <wp:extent cx="127000" cy="127635"/>
                <wp:effectExtent l="13970" t="16510" r="30480" b="27305"/>
                <wp:wrapNone/>
                <wp:docPr id="98" name="五角星 98"/>
                <wp:cNvGraphicFramePr/>
                <a:graphic xmlns:a="http://schemas.openxmlformats.org/drawingml/2006/main">
                  <a:graphicData uri="http://schemas.microsoft.com/office/word/2010/wordprocessingShape">
                    <wps:wsp>
                      <wps:cNvSpPr/>
                      <wps:spPr>
                        <a:xfrm>
                          <a:off x="0" y="0"/>
                          <a:ext cx="127000" cy="127635"/>
                        </a:xfrm>
                        <a:prstGeom prst="star5">
                          <a:avLst/>
                        </a:prstGeom>
                        <a:solidFill>
                          <a:srgbClr val="FF0000"/>
                        </a:solidFill>
                        <a:ln w="9525" cap="flat" cmpd="sng">
                          <a:solidFill>
                            <a:srgbClr val="FF0000"/>
                          </a:solidFill>
                          <a:prstDash val="solid"/>
                          <a:miter/>
                          <a:headEnd type="none" w="med" len="med"/>
                          <a:tailEnd type="none" w="med" len="med"/>
                        </a:ln>
                      </wps:spPr>
                      <wps:bodyPr upright="1"/>
                    </wps:wsp>
                  </a:graphicData>
                </a:graphic>
              </wp:anchor>
            </w:drawing>
          </mc:Choice>
          <mc:Fallback>
            <w:pict>
              <v:shape id="_x0000_s1026" o:spid="_x0000_s1026" style="position:absolute;left:0pt;margin-left:268.8pt;margin-top:383.6pt;height:10.05pt;width:10pt;z-index:289350656;mso-width-relative:page;mso-height-relative:page;" fillcolor="#FF0000" filled="t" stroked="t" coordsize="127000,127635" o:gfxdata="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2NZ3GtoA&#10;AAALAQAADwAAAAAAAAABACAAAAAiAAAAZHJzL2Rvd25yZXYueG1sUEsBAhQAFAAAAAgAh07iQEoL&#10;v3vkAQAA1QMAAA4AAAAAAAAAAQAgAAAAKQEAAGRycy9lMm9Eb2MueG1sUEsFBgAAAAAGAAYAWQEA&#10;AH8FAAAAAA==&#10;" path="m0,48752l48509,48752,63500,0,78490,48752,126999,48752,87754,78882,102745,127634,63500,97503,24254,127634,39245,78882xe">
                <v:path o:connectlocs="63500,0;0,48752;24254,127634;102745,127634;126999,48752" o:connectangles="247,164,82,82,0"/>
                <v:fill on="t" focussize="0,0"/>
                <v:stroke color="#FF0000" joinstyle="miter"/>
                <v:imagedata o:title=""/>
                <o:lock v:ext="edit" aspectratio="f"/>
              </v:shape>
            </w:pict>
          </mc:Fallback>
        </mc:AlternateContent>
      </w:r>
      <w:r>
        <w:rPr>
          <w:color w:val="auto"/>
          <w:sz w:val="24"/>
        </w:rPr>
        <mc:AlternateContent>
          <mc:Choice Requires="wps">
            <w:drawing>
              <wp:anchor distT="0" distB="0" distL="114300" distR="114300" simplePos="0" relativeHeight="289259520" behindDoc="0" locked="0" layoutInCell="1" allowOverlap="1">
                <wp:simplePos x="0" y="0"/>
                <wp:positionH relativeFrom="column">
                  <wp:posOffset>3641090</wp:posOffset>
                </wp:positionH>
                <wp:positionV relativeFrom="paragraph">
                  <wp:posOffset>4316095</wp:posOffset>
                </wp:positionV>
                <wp:extent cx="861060" cy="435610"/>
                <wp:effectExtent l="154305" t="5080" r="13335" b="149860"/>
                <wp:wrapNone/>
                <wp:docPr id="97" name="矩形标注 97"/>
                <wp:cNvGraphicFramePr/>
                <a:graphic xmlns:a="http://schemas.openxmlformats.org/drawingml/2006/main">
                  <a:graphicData uri="http://schemas.microsoft.com/office/word/2010/wordprocessingShape">
                    <wps:wsp>
                      <wps:cNvSpPr/>
                      <wps:spPr>
                        <a:xfrm>
                          <a:off x="0" y="0"/>
                          <a:ext cx="861060" cy="435610"/>
                        </a:xfrm>
                        <a:prstGeom prst="wedgeRectCallout">
                          <a:avLst>
                            <a:gd name="adj1" fmla="val -63718"/>
                            <a:gd name="adj2" fmla="val 80176"/>
                          </a:avLst>
                        </a:prstGeom>
                        <a:solidFill>
                          <a:srgbClr val="FFFFFF"/>
                        </a:solidFill>
                        <a:ln w="9525" cap="flat" cmpd="sng">
                          <a:solidFill>
                            <a:schemeClr val="tx1"/>
                          </a:solidFill>
                          <a:prstDash val="solid"/>
                          <a:miter/>
                          <a:headEnd type="none" w="med" len="med"/>
                          <a:tailEnd type="none" w="med" len="med"/>
                        </a:ln>
                      </wps:spPr>
                      <wps:txbx>
                        <w:txbxContent>
                          <w:p>
                            <w:pPr>
                              <w:ind w:firstLine="0" w:firstLineChars="0"/>
                            </w:pPr>
                            <w:r>
                              <w:rPr>
                                <w:rFonts w:hint="eastAsia"/>
                              </w:rPr>
                              <w:t>项目位置</w:t>
                            </w:r>
                          </w:p>
                        </w:txbxContent>
                      </wps:txbx>
                      <wps:bodyPr upright="1"/>
                    </wps:wsp>
                  </a:graphicData>
                </a:graphic>
              </wp:anchor>
            </w:drawing>
          </mc:Choice>
          <mc:Fallback>
            <w:pict>
              <v:shape id="_x0000_s1026" o:spid="_x0000_s1026" o:spt="61" type="#_x0000_t61" style="position:absolute;left:0pt;margin-left:286.7pt;margin-top:339.85pt;height:34.3pt;width:67.8pt;z-index:289259520;mso-width-relative:page;mso-height-relative:page;" fillcolor="#FFFFFF" filled="t" stroked="t" coordsize="21600,21600" o:gfxdata="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J4F5/9sA&#10;AAALAQAADwAAAAAAAAABACAAAAAiAAAAZHJzL2Rvd25yZXYueG1sUEsBAhQAFAAAAAgAh07iQJJG&#10;wygcAgAAQAQAAA4AAAAAAAAAAQAgAAAAKgEAAGRycy9lMm9Eb2MueG1sUEsFBgAAAAAGAAYAWQEA&#10;ALgFAAAAAA==&#10;" adj="-2963,28118">
                <v:fill on="t" focussize="0,0"/>
                <v:stroke color="#000000 [3213]" joinstyle="miter"/>
                <v:imagedata o:title=""/>
                <o:lock v:ext="edit" aspectratio="f"/>
                <v:textbox>
                  <w:txbxContent>
                    <w:p>
                      <w:pPr>
                        <w:ind w:firstLine="0" w:firstLineChars="0"/>
                      </w:pPr>
                      <w:r>
                        <w:rPr>
                          <w:rFonts w:hint="eastAsia"/>
                        </w:rPr>
                        <w:t>项目位置</w:t>
                      </w:r>
                    </w:p>
                  </w:txbxContent>
                </v:textbox>
              </v:shape>
            </w:pict>
          </mc:Fallback>
        </mc:AlternateContent>
      </w:r>
      <w:r>
        <w:rPr>
          <w:rFonts w:hint="eastAsia" w:eastAsiaTheme="minorEastAsia"/>
          <w:color w:val="auto"/>
        </w:rPr>
        <w:drawing>
          <wp:anchor distT="0" distB="0" distL="114300" distR="114300" simplePos="0" relativeHeight="289167360" behindDoc="0" locked="0" layoutInCell="1" allowOverlap="1">
            <wp:simplePos x="0" y="0"/>
            <wp:positionH relativeFrom="margin">
              <wp:posOffset>61595</wp:posOffset>
            </wp:positionH>
            <wp:positionV relativeFrom="margin">
              <wp:posOffset>281305</wp:posOffset>
            </wp:positionV>
            <wp:extent cx="5298440" cy="7370445"/>
            <wp:effectExtent l="0" t="0" r="16510" b="1905"/>
            <wp:wrapSquare wrapText="bothSides"/>
            <wp:docPr id="9" name="图片 8" descr="黑龙江省水土保持区划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黑龙江省水土保持区划图.jpg"/>
                    <pic:cNvPicPr>
                      <a:picLocks noChangeAspect="1"/>
                    </pic:cNvPicPr>
                  </pic:nvPicPr>
                  <pic:blipFill>
                    <a:blip r:embed="rId14" cstate="print"/>
                    <a:stretch>
                      <a:fillRect/>
                    </a:stretch>
                  </pic:blipFill>
                  <pic:spPr>
                    <a:xfrm>
                      <a:off x="0" y="0"/>
                      <a:ext cx="5298440" cy="7370445"/>
                    </a:xfrm>
                    <a:prstGeom prst="rect">
                      <a:avLst/>
                    </a:prstGeom>
                  </pic:spPr>
                </pic:pic>
              </a:graphicData>
            </a:graphic>
          </wp:anchor>
        </w:drawing>
      </w:r>
      <w:r>
        <w:rPr>
          <w:rFonts w:hint="eastAsia" w:eastAsiaTheme="minorEastAsia"/>
          <w:color w:val="auto"/>
        </w:rPr>
        <w:t>图</w:t>
      </w:r>
      <w:r>
        <w:rPr>
          <w:rFonts w:hint="eastAsia" w:eastAsiaTheme="minorEastAsia"/>
          <w:color w:val="auto"/>
          <w:lang w:val="en-US" w:eastAsia="zh-CN"/>
        </w:rPr>
        <w:t>2-6-1</w:t>
      </w:r>
      <w:r>
        <w:rPr>
          <w:rFonts w:hint="eastAsia" w:eastAsiaTheme="minorEastAsia"/>
          <w:color w:val="auto"/>
        </w:rPr>
        <w:t xml:space="preserve">  黑龙江省水土保持区划图</w:t>
      </w:r>
    </w:p>
    <w:p>
      <w:pPr>
        <w:pStyle w:val="244"/>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eastAsiaTheme="minorEastAsia"/>
          <w:color w:val="auto"/>
        </w:rPr>
      </w:pPr>
      <w:r>
        <w:rPr>
          <w:color w:val="auto"/>
          <w:sz w:val="24"/>
        </w:rPr>
        <mc:AlternateContent>
          <mc:Choice Requires="wps">
            <w:drawing>
              <wp:anchor distT="0" distB="0" distL="114300" distR="114300" simplePos="0" relativeHeight="327044096" behindDoc="0" locked="0" layoutInCell="1" allowOverlap="1">
                <wp:simplePos x="0" y="0"/>
                <wp:positionH relativeFrom="column">
                  <wp:posOffset>3498215</wp:posOffset>
                </wp:positionH>
                <wp:positionV relativeFrom="paragraph">
                  <wp:posOffset>3582670</wp:posOffset>
                </wp:positionV>
                <wp:extent cx="861060" cy="435610"/>
                <wp:effectExtent l="154305" t="5080" r="13335" b="149860"/>
                <wp:wrapNone/>
                <wp:docPr id="101" name="矩形标注 101"/>
                <wp:cNvGraphicFramePr/>
                <a:graphic xmlns:a="http://schemas.openxmlformats.org/drawingml/2006/main">
                  <a:graphicData uri="http://schemas.microsoft.com/office/word/2010/wordprocessingShape">
                    <wps:wsp>
                      <wps:cNvSpPr/>
                      <wps:spPr>
                        <a:xfrm>
                          <a:off x="0" y="0"/>
                          <a:ext cx="861060" cy="435610"/>
                        </a:xfrm>
                        <a:prstGeom prst="wedgeRectCallout">
                          <a:avLst>
                            <a:gd name="adj1" fmla="val -63718"/>
                            <a:gd name="adj2" fmla="val 80176"/>
                          </a:avLst>
                        </a:prstGeom>
                        <a:solidFill>
                          <a:srgbClr val="FFFFFF"/>
                        </a:solidFill>
                        <a:ln w="9525" cap="flat" cmpd="sng">
                          <a:solidFill>
                            <a:schemeClr val="tx1"/>
                          </a:solidFill>
                          <a:prstDash val="solid"/>
                          <a:miter/>
                          <a:headEnd type="none" w="med" len="med"/>
                          <a:tailEnd type="none" w="med" len="med"/>
                        </a:ln>
                      </wps:spPr>
                      <wps:txbx>
                        <w:txbxContent>
                          <w:p>
                            <w:pPr>
                              <w:ind w:firstLine="0" w:firstLineChars="0"/>
                            </w:pPr>
                            <w:r>
                              <w:rPr>
                                <w:rFonts w:hint="eastAsia"/>
                              </w:rPr>
                              <w:t>项目位置</w:t>
                            </w:r>
                          </w:p>
                        </w:txbxContent>
                      </wps:txbx>
                      <wps:bodyPr upright="1"/>
                    </wps:wsp>
                  </a:graphicData>
                </a:graphic>
              </wp:anchor>
            </w:drawing>
          </mc:Choice>
          <mc:Fallback>
            <w:pict>
              <v:shape id="_x0000_s1026" o:spid="_x0000_s1026" o:spt="61" type="#_x0000_t61" style="position:absolute;left:0pt;margin-left:275.45pt;margin-top:282.1pt;height:34.3pt;width:67.8pt;z-index:327044096;mso-width-relative:page;mso-height-relative:page;" fillcolor="#FFFFFF" filled="t" stroked="t" coordsize="21600,21600" o:gfxdata="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mjAop2gAA&#10;AAsBAAAPAAAAAAAAAAEAIAAAACIAAABkcnMvZG93bnJldi54bWxQSwECFAAUAAAACACHTuJAUmGX&#10;BhwCAABCBAAADgAAAAAAAAABACAAAAApAQAAZHJzL2Uyb0RvYy54bWxQSwUGAAAAAAYABgBZAQAA&#10;twUAAAAA&#10;" adj="-2963,28118">
                <v:fill on="t" focussize="0,0"/>
                <v:stroke color="#000000 [3213]" joinstyle="miter"/>
                <v:imagedata o:title=""/>
                <o:lock v:ext="edit" aspectratio="f"/>
                <v:textbox>
                  <w:txbxContent>
                    <w:p>
                      <w:pPr>
                        <w:ind w:firstLine="0" w:firstLineChars="0"/>
                      </w:pPr>
                      <w:r>
                        <w:rPr>
                          <w:rFonts w:hint="eastAsia"/>
                        </w:rPr>
                        <w:t>项目位置</w:t>
                      </w:r>
                    </w:p>
                  </w:txbxContent>
                </v:textbox>
              </v:shape>
            </w:pict>
          </mc:Fallback>
        </mc:AlternateContent>
      </w:r>
      <w:r>
        <w:rPr>
          <w:color w:val="auto"/>
          <w:sz w:val="24"/>
        </w:rPr>
        <mc:AlternateContent>
          <mc:Choice Requires="wps">
            <w:drawing>
              <wp:anchor distT="0" distB="0" distL="114300" distR="114300" simplePos="0" relativeHeight="289441792" behindDoc="0" locked="0" layoutInCell="1" allowOverlap="1">
                <wp:simplePos x="0" y="0"/>
                <wp:positionH relativeFrom="column">
                  <wp:posOffset>3213100</wp:posOffset>
                </wp:positionH>
                <wp:positionV relativeFrom="paragraph">
                  <wp:posOffset>4100830</wp:posOffset>
                </wp:positionV>
                <wp:extent cx="170180" cy="170180"/>
                <wp:effectExtent l="13970" t="15875" r="25400" b="23495"/>
                <wp:wrapNone/>
                <wp:docPr id="100" name="五角星 100"/>
                <wp:cNvGraphicFramePr/>
                <a:graphic xmlns:a="http://schemas.openxmlformats.org/drawingml/2006/main">
                  <a:graphicData uri="http://schemas.microsoft.com/office/word/2010/wordprocessingShape">
                    <wps:wsp>
                      <wps:cNvSpPr/>
                      <wps:spPr>
                        <a:xfrm>
                          <a:off x="0" y="0"/>
                          <a:ext cx="170180" cy="170180"/>
                        </a:xfrm>
                        <a:prstGeom prst="star5">
                          <a:avLst/>
                        </a:prstGeom>
                        <a:solidFill>
                          <a:srgbClr val="FF0000"/>
                        </a:solidFill>
                        <a:ln w="9525" cap="flat" cmpd="sng">
                          <a:solidFill>
                            <a:srgbClr val="FF0000"/>
                          </a:solidFill>
                          <a:prstDash val="solid"/>
                          <a:miter/>
                          <a:headEnd type="none" w="med" len="med"/>
                          <a:tailEnd type="none" w="med" len="med"/>
                        </a:ln>
                      </wps:spPr>
                      <wps:bodyPr upright="1"/>
                    </wps:wsp>
                  </a:graphicData>
                </a:graphic>
              </wp:anchor>
            </w:drawing>
          </mc:Choice>
          <mc:Fallback>
            <w:pict>
              <v:shape id="_x0000_s1026" o:spid="_x0000_s1026" style="position:absolute;left:0pt;margin-left:253pt;margin-top:322.9pt;height:13.4pt;width:13.4pt;z-index:289441792;mso-width-relative:page;mso-height-relative:page;" fillcolor="#FF0000" filled="t" stroked="t" coordsize="170180,170180" o:gfxdata="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QAs+N2gAA&#10;AAsBAAAPAAAAAAAAAAEAIAAAACIAAABkcnMvZG93bnJldi54bWxQSwECFAAUAAAACACHTuJAwj/N&#10;u+MBAADXAwAADgAAAAAAAAABACAAAAApAQAAZHJzL2Uyb0RvYy54bWxQSwUGAAAAAAYABgBZAQAA&#10;fgUAAAAA&#10;" path="m0,65002l65003,65003,85090,0,105176,65003,170179,65002,117590,105176,137678,170179,85090,130005,32501,170179,52589,105176xe">
                <v:path o:connectlocs="85090,0;0,65002;32501,170179;137678,170179;170179,65002" o:connectangles="247,164,82,82,0"/>
                <v:fill on="t" focussize="0,0"/>
                <v:stroke color="#FF0000" joinstyle="miter"/>
                <v:imagedata o:title=""/>
                <o:lock v:ext="edit" aspectratio="f"/>
              </v:shape>
            </w:pict>
          </mc:Fallback>
        </mc:AlternateContent>
      </w:r>
      <w:r>
        <w:rPr>
          <w:rFonts w:hint="eastAsia"/>
          <w:color w:val="auto"/>
        </w:rPr>
        <w:drawing>
          <wp:inline distT="0" distB="0" distL="114300" distR="114300">
            <wp:extent cx="4699000" cy="6555105"/>
            <wp:effectExtent l="0" t="0" r="6350" b="17145"/>
            <wp:docPr id="96" name="图片 16" descr="黑龙江省水土保持重点预防区和重点治理区划分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16" descr="黑龙江省水土保持重点预防区和重点治理区划分图.jpg"/>
                    <pic:cNvPicPr>
                      <a:picLocks noChangeAspect="1"/>
                    </pic:cNvPicPr>
                  </pic:nvPicPr>
                  <pic:blipFill>
                    <a:blip r:embed="rId15" cstate="print"/>
                    <a:stretch>
                      <a:fillRect/>
                    </a:stretch>
                  </pic:blipFill>
                  <pic:spPr>
                    <a:xfrm>
                      <a:off x="0" y="0"/>
                      <a:ext cx="4699000" cy="6555105"/>
                    </a:xfrm>
                    <a:prstGeom prst="rect">
                      <a:avLst/>
                    </a:prstGeom>
                  </pic:spPr>
                </pic:pic>
              </a:graphicData>
            </a:graphic>
          </wp:inline>
        </w:drawing>
      </w:r>
    </w:p>
    <w:p>
      <w:pPr>
        <w:pStyle w:val="244"/>
        <w:rPr>
          <w:rFonts w:eastAsiaTheme="minorEastAsia"/>
          <w:color w:val="auto"/>
        </w:rPr>
      </w:pPr>
      <w:r>
        <w:rPr>
          <w:rFonts w:eastAsiaTheme="minorEastAsia"/>
          <w:color w:val="auto"/>
        </w:rPr>
        <w:t>图2-6-2 黑龙江省水土保持重点预防区和重点治理区划分图</w:t>
      </w:r>
    </w:p>
    <w:p>
      <w:pPr>
        <w:pStyle w:val="276"/>
        <w:ind w:left="0" w:leftChars="0" w:firstLine="0" w:firstLineChars="0"/>
        <w:rPr>
          <w:rFonts w:eastAsiaTheme="minorEastAsia"/>
          <w:color w:val="auto"/>
        </w:rPr>
      </w:pPr>
      <w:r>
        <w:rPr>
          <w:rFonts w:eastAsiaTheme="minorEastAsia"/>
          <w:color w:val="auto"/>
        </w:rPr>
        <w:t>（5）与《黑龙江省矿产资源总体规划》（2016~2020）符合性分析</w:t>
      </w:r>
    </w:p>
    <w:p>
      <w:pPr>
        <w:autoSpaceDE w:val="0"/>
        <w:autoSpaceDN w:val="0"/>
        <w:adjustRightInd w:val="0"/>
        <w:snapToGrid w:val="0"/>
        <w:spacing w:line="500" w:lineRule="exact"/>
        <w:ind w:firstLine="480" w:firstLineChars="200"/>
        <w:jc w:val="left"/>
        <w:rPr>
          <w:rFonts w:eastAsiaTheme="minorEastAsia"/>
          <w:color w:val="auto"/>
          <w:kern w:val="0"/>
          <w:szCs w:val="24"/>
        </w:rPr>
      </w:pPr>
      <w:r>
        <w:rPr>
          <w:rFonts w:eastAsiaTheme="minorEastAsia"/>
          <w:color w:val="auto"/>
          <w:kern w:val="0"/>
          <w:szCs w:val="24"/>
        </w:rPr>
        <w:t xml:space="preserve">开发利用总量调控。围绕省内矿产资源产业重点发展方向，完善矿产资源开发调控方向，加强矿种差别化管理，科学调减矿山数量，持续提升矿产开发调控水平。 </w:t>
      </w:r>
    </w:p>
    <w:p>
      <w:pPr>
        <w:pStyle w:val="276"/>
        <w:adjustRightInd w:val="0"/>
        <w:snapToGrid w:val="0"/>
        <w:rPr>
          <w:rFonts w:eastAsiaTheme="minorEastAsia"/>
          <w:color w:val="auto"/>
        </w:rPr>
      </w:pPr>
      <w:r>
        <w:rPr>
          <w:rFonts w:eastAsiaTheme="minorEastAsia"/>
          <w:color w:val="auto"/>
        </w:rPr>
        <w:t>完善矿产资源开发调控方向。鼓励开采铁、铜、金、银、高岭土、矿泉水、地下热水等矿产，在资源条件好、环境承载力强、配套设施齐全、区位优势明显的地区，集中建设具有市场竞争力的大中型矿山，提高矿产资源供给能力。限制开采煤炭、钨、石墨，规划期间全省煤炭产能只减不增，除脱困安置替代项目外，暂停审批各类煤矿新增产能项目。</w:t>
      </w:r>
    </w:p>
    <w:p>
      <w:pPr>
        <w:autoSpaceDE w:val="0"/>
        <w:autoSpaceDN w:val="0"/>
        <w:adjustRightInd w:val="0"/>
        <w:snapToGrid w:val="0"/>
        <w:spacing w:line="500" w:lineRule="exact"/>
        <w:ind w:firstLine="480" w:firstLineChars="200"/>
        <w:jc w:val="left"/>
        <w:rPr>
          <w:rFonts w:eastAsiaTheme="minorEastAsia"/>
          <w:color w:val="auto"/>
          <w:kern w:val="0"/>
          <w:szCs w:val="24"/>
        </w:rPr>
      </w:pPr>
      <w:r>
        <w:rPr>
          <w:rFonts w:eastAsiaTheme="minorEastAsia"/>
          <w:color w:val="auto"/>
          <w:kern w:val="0"/>
          <w:szCs w:val="24"/>
        </w:rPr>
        <w:t xml:space="preserve">禁止开采砂金、泥炭和可耕地砖瓦用粘土。 </w:t>
      </w:r>
    </w:p>
    <w:p>
      <w:pPr>
        <w:autoSpaceDE w:val="0"/>
        <w:autoSpaceDN w:val="0"/>
        <w:adjustRightInd w:val="0"/>
        <w:snapToGrid w:val="0"/>
        <w:spacing w:line="500" w:lineRule="exact"/>
        <w:ind w:firstLine="480" w:firstLineChars="200"/>
        <w:jc w:val="left"/>
        <w:rPr>
          <w:rFonts w:eastAsiaTheme="minorEastAsia"/>
          <w:color w:val="auto"/>
          <w:kern w:val="0"/>
          <w:szCs w:val="24"/>
        </w:rPr>
      </w:pPr>
      <w:r>
        <w:rPr>
          <w:rFonts w:eastAsiaTheme="minorEastAsia"/>
          <w:color w:val="auto"/>
          <w:kern w:val="0"/>
          <w:szCs w:val="24"/>
        </w:rPr>
        <w:t xml:space="preserve">加强矿产开发总量调控。对铁、铜、金、银等金属矿产创新采矿技术，引进先进工艺，扩大开发规模，提高保障能力。对高岭土、矿泉水、地下热水等特殊重要功能性非金属和水气矿产鼓励规模开发。对煤炭、钨、石墨矿产严格按照国家年度开采总量指标进行控制性开采，严格控制矿山数量增长，加强矿产资源开发整合，关停技术落后、资源浪费和环境污染严重、安全生产条件差的小型矿山，大幅压缩砖瓦用粘土矿山数量，科学调控建筑用石料矿山数量。 </w:t>
      </w:r>
    </w:p>
    <w:p>
      <w:pPr>
        <w:pStyle w:val="55"/>
        <w:snapToGrid w:val="0"/>
        <w:spacing w:line="500" w:lineRule="exact"/>
        <w:ind w:firstLine="480" w:firstLineChars="200"/>
        <w:rPr>
          <w:rFonts w:ascii="Times New Roman" w:hAnsi="Times New Roman" w:cs="Times New Roman" w:eastAsiaTheme="minorEastAsia"/>
          <w:color w:val="auto"/>
        </w:rPr>
      </w:pPr>
      <w:r>
        <w:rPr>
          <w:rFonts w:ascii="Times New Roman" w:hAnsi="Times New Roman" w:cs="Times New Roman" w:eastAsiaTheme="minorEastAsia"/>
          <w:color w:val="auto"/>
        </w:rPr>
        <w:t xml:space="preserve">规范砂石土开采管理。综合考虑区域内基本需求、环境承载力、地质条件、资源保护等因素，结合城镇总体规划和土地利用总体规划，优化矿山空间布局，科学划定允许开采区、集中开采区和备选开采区；严格控制矿山数量，禁止在各类自然保护区进行露天开采砂石土；全面加强采矿权设置方案管理，按需求投放采矿权；科学合理确定矿区范围，积极开展矿山环境治理恢复工作，做好地质灾害防治、水土保持、矿山复绿等方面的工作。 </w:t>
      </w:r>
    </w:p>
    <w:p>
      <w:pPr>
        <w:autoSpaceDE w:val="0"/>
        <w:autoSpaceDN w:val="0"/>
        <w:adjustRightInd w:val="0"/>
        <w:snapToGrid w:val="0"/>
        <w:spacing w:line="500" w:lineRule="exact"/>
        <w:ind w:firstLine="480" w:firstLineChars="200"/>
        <w:jc w:val="left"/>
        <w:rPr>
          <w:rFonts w:eastAsiaTheme="minorEastAsia"/>
          <w:color w:val="auto"/>
          <w:kern w:val="0"/>
          <w:szCs w:val="24"/>
        </w:rPr>
      </w:pPr>
      <w:r>
        <w:rPr>
          <w:rFonts w:eastAsiaTheme="minorEastAsia"/>
          <w:color w:val="auto"/>
          <w:kern w:val="0"/>
          <w:szCs w:val="24"/>
        </w:rPr>
        <w:t xml:space="preserve">开采规划分区。依托资源基础，落实区域发展总体战略和主体功能区、环境功能区战略，围绕区域发展、产业布局和重大基础设施建设，强化规划分区管理，合理安排采矿权投放时序，建设开发供应基地，构建协调有序的资源保护和矿产集聚化开采布局，保障资源有效供应。 </w:t>
      </w:r>
    </w:p>
    <w:p>
      <w:pPr>
        <w:autoSpaceDE w:val="0"/>
        <w:autoSpaceDN w:val="0"/>
        <w:adjustRightInd w:val="0"/>
        <w:snapToGrid w:val="0"/>
        <w:spacing w:line="500" w:lineRule="exact"/>
        <w:ind w:firstLine="480" w:firstLineChars="200"/>
        <w:jc w:val="left"/>
        <w:rPr>
          <w:rFonts w:eastAsiaTheme="minorEastAsia"/>
          <w:color w:val="auto"/>
          <w:kern w:val="0"/>
          <w:szCs w:val="24"/>
        </w:rPr>
      </w:pPr>
      <w:r>
        <w:rPr>
          <w:rFonts w:eastAsiaTheme="minorEastAsia"/>
          <w:color w:val="auto"/>
          <w:kern w:val="0"/>
          <w:szCs w:val="24"/>
        </w:rPr>
        <w:t xml:space="preserve">落实国家及省区域发展、生态环境保护等要求，将本省矿产资源开采规划分区划分为重点矿区、限制开采区、禁止开采区三类。 </w:t>
      </w:r>
    </w:p>
    <w:p>
      <w:pPr>
        <w:autoSpaceDE w:val="0"/>
        <w:autoSpaceDN w:val="0"/>
        <w:adjustRightInd w:val="0"/>
        <w:snapToGrid w:val="0"/>
        <w:spacing w:line="500" w:lineRule="exact"/>
        <w:ind w:firstLine="480" w:firstLineChars="200"/>
        <w:jc w:val="left"/>
        <w:rPr>
          <w:rFonts w:eastAsiaTheme="minorEastAsia"/>
          <w:color w:val="auto"/>
          <w:kern w:val="0"/>
          <w:szCs w:val="24"/>
        </w:rPr>
      </w:pPr>
      <w:r>
        <w:rPr>
          <w:rFonts w:eastAsiaTheme="minorEastAsia"/>
          <w:color w:val="auto"/>
          <w:kern w:val="0"/>
          <w:szCs w:val="24"/>
        </w:rPr>
        <w:t xml:space="preserve">——重点矿区：国家规划矿区以及资源储量规模达中型及以上，能合理设置采矿权，矿产开发可取得较好的经济社会效益，对自然生态环境影响较小，采后易于治理恢复的矿产地作为省级重点矿区，共计28个。 </w:t>
      </w:r>
    </w:p>
    <w:p>
      <w:pPr>
        <w:pStyle w:val="55"/>
        <w:snapToGrid w:val="0"/>
        <w:spacing w:line="500" w:lineRule="exact"/>
        <w:ind w:firstLine="480" w:firstLineChars="200"/>
        <w:rPr>
          <w:rFonts w:ascii="Times New Roman" w:hAnsi="Times New Roman" w:cs="Times New Roman" w:eastAsiaTheme="minorEastAsia"/>
          <w:color w:val="auto"/>
        </w:rPr>
      </w:pPr>
      <w:r>
        <w:rPr>
          <w:rFonts w:ascii="Times New Roman" w:hAnsi="Times New Roman" w:cs="Times New Roman" w:eastAsiaTheme="minorEastAsia"/>
          <w:color w:val="auto"/>
        </w:rPr>
        <w:t xml:space="preserve">积极落实鹤岗矿区、双鸭山矿区、七台河矿区及鸡西矿区4个煤炭国家规划矿区和萝北矿区、鸡西矿区2个石墨国家规划矿区。建设省级黑河西岗子煤炭重点矿区1个，漠河砂宝斯、塔源二支线等金属矿产重点矿区16个，嫩江、依安等非金属矿产重点矿区3个，五大连池、林甸等水气矿产重点矿区2个。 </w:t>
      </w:r>
    </w:p>
    <w:p>
      <w:pPr>
        <w:autoSpaceDE w:val="0"/>
        <w:autoSpaceDN w:val="0"/>
        <w:adjustRightInd w:val="0"/>
        <w:snapToGrid w:val="0"/>
        <w:spacing w:line="500" w:lineRule="exact"/>
        <w:ind w:firstLine="480" w:firstLineChars="200"/>
        <w:jc w:val="left"/>
        <w:rPr>
          <w:rFonts w:eastAsiaTheme="minorEastAsia"/>
          <w:color w:val="auto"/>
          <w:kern w:val="0"/>
          <w:szCs w:val="24"/>
        </w:rPr>
      </w:pPr>
      <w:r>
        <w:rPr>
          <w:rFonts w:eastAsiaTheme="minorEastAsia"/>
          <w:color w:val="auto"/>
          <w:kern w:val="0"/>
          <w:szCs w:val="24"/>
        </w:rPr>
        <w:t xml:space="preserve">——限制开采区：将鹤岗、鸡西、双鸭山、七台河等4个地区列为煤炭限制开采规划区，坚持把保护放在更加突出的位置，严格控制煤炭新增产能，规划期内不再新建年产30万吨以下煤矿、90万吨以下煤与瓦斯突出矿井，限期淘汰年产15万吨及以下且发生较大及以上安全生产责任事故的煤矿、年产30万吨以下且发生重大及以上安全生产责任事故的煤矿，以及采用国家明令禁止使用的采煤方法、工艺且无法实施技术改造的煤矿，引导年产30万吨以下的煤矿加快退出。 </w:t>
      </w:r>
    </w:p>
    <w:p>
      <w:pPr>
        <w:autoSpaceDE w:val="0"/>
        <w:autoSpaceDN w:val="0"/>
        <w:adjustRightInd w:val="0"/>
        <w:snapToGrid w:val="0"/>
        <w:spacing w:line="500" w:lineRule="exact"/>
        <w:ind w:firstLine="480" w:firstLineChars="200"/>
        <w:jc w:val="left"/>
        <w:rPr>
          <w:rFonts w:eastAsiaTheme="minorEastAsia"/>
          <w:color w:val="auto"/>
          <w:kern w:val="0"/>
          <w:szCs w:val="24"/>
        </w:rPr>
      </w:pPr>
      <w:r>
        <w:rPr>
          <w:rFonts w:eastAsiaTheme="minorEastAsia"/>
          <w:color w:val="auto"/>
          <w:kern w:val="0"/>
          <w:szCs w:val="24"/>
        </w:rPr>
        <w:t xml:space="preserve">——禁止开采区：依据有关规定划分五大连池火山地质遗迹等禁止开采区124个，包括国家级和省级地质公园、地质遗迹、重要饮用水水源地、风景名胜区、自然保护区、历史文物和名胜古迹。严格保护耕地，基本农田按照禁止开采区要求进行管制。 </w:t>
      </w:r>
    </w:p>
    <w:p>
      <w:pPr>
        <w:autoSpaceDE w:val="0"/>
        <w:autoSpaceDN w:val="0"/>
        <w:adjustRightInd w:val="0"/>
        <w:snapToGrid w:val="0"/>
        <w:spacing w:line="500" w:lineRule="exact"/>
        <w:ind w:firstLine="480" w:firstLineChars="200"/>
        <w:jc w:val="left"/>
        <w:rPr>
          <w:rFonts w:eastAsiaTheme="minorEastAsia"/>
          <w:color w:val="auto"/>
          <w:kern w:val="0"/>
          <w:szCs w:val="24"/>
        </w:rPr>
      </w:pPr>
      <w:r>
        <w:rPr>
          <w:rFonts w:eastAsiaTheme="minorEastAsia"/>
          <w:color w:val="auto"/>
          <w:kern w:val="0"/>
          <w:szCs w:val="24"/>
        </w:rPr>
        <w:t xml:space="preserve">禁止开采区，不得新设与资源环境保护功能不相符的矿产资源开发项目。按照国家的统一部署，全面清理区内已有的开发项目，对之前已存在的合法矿业权以及各项手续完备且已征得相关主管部门同意设立的矿业权，分类提出差别化的补偿和退出方案，在保障矿业权人合法权益的前提下，依法退出。 </w:t>
      </w:r>
    </w:p>
    <w:p>
      <w:pPr>
        <w:pStyle w:val="276"/>
        <w:adjustRightInd w:val="0"/>
        <w:snapToGrid w:val="0"/>
        <w:rPr>
          <w:rFonts w:eastAsiaTheme="minorEastAsia"/>
          <w:color w:val="auto"/>
        </w:rPr>
      </w:pPr>
      <w:r>
        <w:rPr>
          <w:rFonts w:eastAsiaTheme="minorEastAsia"/>
          <w:color w:val="auto"/>
        </w:rPr>
        <w:t>矿产开发准入管理。进一步提高矿产开发准入门槛，矿山设计开采规模要与矿区资源储量相适应，严格执行差别化的矿山最低开采规模标准，实行新建矿山最小储量规模准入，进一步调整优化矿山规模结构，鼓励矿山企业做大做强。</w:t>
      </w:r>
    </w:p>
    <w:p>
      <w:pPr>
        <w:autoSpaceDE w:val="0"/>
        <w:autoSpaceDN w:val="0"/>
        <w:adjustRightInd w:val="0"/>
        <w:snapToGrid w:val="0"/>
        <w:spacing w:line="500" w:lineRule="exact"/>
        <w:ind w:firstLine="480" w:firstLineChars="200"/>
        <w:jc w:val="left"/>
        <w:rPr>
          <w:rFonts w:eastAsiaTheme="minorEastAsia"/>
          <w:color w:val="auto"/>
          <w:kern w:val="0"/>
          <w:szCs w:val="24"/>
        </w:rPr>
      </w:pPr>
      <w:r>
        <w:rPr>
          <w:rFonts w:eastAsiaTheme="minorEastAsia"/>
          <w:color w:val="auto"/>
          <w:kern w:val="0"/>
          <w:szCs w:val="24"/>
        </w:rPr>
        <w:t xml:space="preserve">提高矿产开发准入门槛。实行石墨、钼等矿产新建矿山最小资源储量规模准入制度，限制小型及以下矿山开发。严格执行新建矿山最低开采规模标准，禁止新建低于最低开采规模标准的矿山。 </w:t>
      </w:r>
    </w:p>
    <w:p>
      <w:pPr>
        <w:autoSpaceDE w:val="0"/>
        <w:autoSpaceDN w:val="0"/>
        <w:adjustRightInd w:val="0"/>
        <w:snapToGrid w:val="0"/>
        <w:spacing w:line="500" w:lineRule="exact"/>
        <w:ind w:firstLine="480" w:firstLineChars="200"/>
        <w:jc w:val="left"/>
        <w:rPr>
          <w:rFonts w:eastAsiaTheme="minorEastAsia"/>
          <w:color w:val="auto"/>
          <w:kern w:val="0"/>
          <w:szCs w:val="24"/>
        </w:rPr>
      </w:pPr>
      <w:r>
        <w:rPr>
          <w:rFonts w:eastAsiaTheme="minorEastAsia"/>
          <w:color w:val="auto"/>
          <w:kern w:val="0"/>
          <w:szCs w:val="24"/>
        </w:rPr>
        <w:t xml:space="preserve">优化矿山企业规模结构。持续推进小型矿山开发整合，引导优势矿山企业兼并重组，实施集约化发展，逐步形成一批开采规模大、装备设施先进、开发水平高、安全生产条件好、绿色环保、经济社会效益好的矿山企业，实现矿产资源向优势企业集聚。力争到2020年，大中型矿山占比提高到15%以上。 </w:t>
      </w:r>
    </w:p>
    <w:p>
      <w:pPr>
        <w:pStyle w:val="276"/>
        <w:adjustRightInd w:val="0"/>
        <w:snapToGrid w:val="0"/>
        <w:rPr>
          <w:rFonts w:eastAsiaTheme="minorEastAsia"/>
          <w:color w:val="auto"/>
        </w:rPr>
      </w:pPr>
      <w:r>
        <w:rPr>
          <w:rFonts w:eastAsiaTheme="minorEastAsia"/>
          <w:color w:val="auto"/>
        </w:rPr>
        <w:t>本项目不在各类自然保护区进行露天开采砂土石，且不位于限制开采区、禁止开采区，项目服务期满后，开展矿山环境治理恢复工作，符合《黑龙江省矿山资源总体规划》</w:t>
      </w:r>
    </w:p>
    <w:p>
      <w:pPr>
        <w:pStyle w:val="276"/>
        <w:adjustRightInd w:val="0"/>
        <w:snapToGrid w:val="0"/>
        <w:rPr>
          <w:rFonts w:eastAsiaTheme="minorEastAsia"/>
          <w:color w:val="auto"/>
        </w:rPr>
      </w:pPr>
      <w:r>
        <w:rPr>
          <w:rFonts w:eastAsiaTheme="minorEastAsia"/>
          <w:color w:val="auto"/>
        </w:rPr>
        <w:t>（6）与《黑龙江省矿产资源总体规划（2016~2020）环境影响报告书》审查意见符合性分析</w:t>
      </w:r>
    </w:p>
    <w:p>
      <w:pPr>
        <w:ind w:firstLine="480"/>
        <w:rPr>
          <w:color w:val="auto"/>
        </w:rPr>
      </w:pPr>
      <w:r>
        <w:rPr>
          <w:color w:val="auto"/>
        </w:rPr>
        <w:t>《黑龙江省矿产资源总体规划（2016～2020年）环境影响报告书》已于2017年8月3日通过中华人民共和国环境保护部的审查（环审[2017]116号）。</w:t>
      </w:r>
    </w:p>
    <w:p>
      <w:pPr>
        <w:ind w:firstLine="480"/>
        <w:rPr>
          <w:color w:val="auto"/>
        </w:rPr>
      </w:pPr>
      <w:r>
        <w:rPr>
          <w:color w:val="auto"/>
        </w:rPr>
        <w:t>《黑龙江省矿产资源总体规划（2016～2020年）环境影响报告书》提出：将环境敏感区作为保障和维护区域生态安全的底线，新建矿山恢复治理和矿山废弃土地复垦率达到 100%。核准项目区与水源地保护区位置关系，禁止在水源地保护区内开发活动。</w:t>
      </w:r>
    </w:p>
    <w:p>
      <w:pPr>
        <w:ind w:firstLine="480"/>
        <w:rPr>
          <w:color w:val="auto"/>
        </w:rPr>
      </w:pPr>
      <w:r>
        <w:rPr>
          <w:color w:val="auto"/>
        </w:rPr>
        <w:t>审查意见提出：严格保护生态空间，引导优化《规划》空间布局。将环境敏感区作为保障和维护区域生态安全的底线，依法严格保护。</w:t>
      </w:r>
    </w:p>
    <w:p>
      <w:pPr>
        <w:pStyle w:val="276"/>
        <w:adjustRightInd w:val="0"/>
        <w:snapToGrid w:val="0"/>
        <w:rPr>
          <w:color w:val="auto"/>
        </w:rPr>
      </w:pPr>
      <w:r>
        <w:rPr>
          <w:color w:val="auto"/>
        </w:rPr>
        <w:t>本项目选址不占环境敏感区，矿山退役后复垦率达到 100%，不在水源地保护区内。因此，本项目符合《黑龙江省矿产资源总体规划》（2016～2020年）环评及其审查意见。</w:t>
      </w:r>
    </w:p>
    <w:p>
      <w:pPr>
        <w:pStyle w:val="276"/>
        <w:adjustRightInd w:val="0"/>
        <w:snapToGrid w:val="0"/>
        <w:rPr>
          <w:rFonts w:eastAsiaTheme="minorEastAsia"/>
          <w:color w:val="auto"/>
        </w:rPr>
      </w:pPr>
      <w:r>
        <w:rPr>
          <w:rFonts w:eastAsiaTheme="minorEastAsia"/>
          <w:color w:val="auto"/>
        </w:rPr>
        <w:t>（7）与黑龙江《黑龙江省主体功能区划》符合性分析</w:t>
      </w:r>
    </w:p>
    <w:p>
      <w:pPr>
        <w:pStyle w:val="276"/>
        <w:keepNext w:val="0"/>
        <w:keepLines w:val="0"/>
        <w:pageBreakBefore w:val="0"/>
        <w:widowControl w:val="0"/>
        <w:kinsoku/>
        <w:wordWrap/>
        <w:overflowPunct/>
        <w:topLinePunct w:val="0"/>
        <w:autoSpaceDE/>
        <w:autoSpaceDN/>
        <w:bidi w:val="0"/>
        <w:adjustRightInd/>
        <w:snapToGrid/>
        <w:jc w:val="both"/>
        <w:textAlignment w:val="auto"/>
        <w:outlineLvl w:val="9"/>
        <w:rPr>
          <w:rFonts w:eastAsiaTheme="minorEastAsia"/>
          <w:color w:val="auto"/>
        </w:rPr>
      </w:pPr>
      <w:r>
        <w:rPr>
          <w:rFonts w:eastAsiaTheme="minorEastAsia"/>
          <w:color w:val="auto"/>
        </w:rPr>
        <w:t>依据《黑龙江省生态功能区划》，本项目所处区域属于“Ⅰ—3三江平原农业与湿地生态区”中“Ⅰ—3—1三江平原东北部湿地与农业生态亚区”“Ⅰ—3—1—1佳木斯城镇与农业生态功能区”，该区域主要位于佳木斯市，面积1875平方公里，主要生态问题为工业“三废”排放量大，局部地区水污染和大气污染严重；农业垦殖系数高；水土流失较为敏感。生态环境敏感性为土壤侵蚀敏感性为中度敏感；土壤沙漠化敏感性大部分地区为中度敏感性；沿松花江流域水污染敏感性为中度敏感，主要生态系统服务功能为土壤保持、水环境保护、大气环境保护、城镇发展、工农业生产。</w:t>
      </w:r>
    </w:p>
    <w:p>
      <w:pPr>
        <w:pStyle w:val="276"/>
        <w:adjustRightInd w:val="0"/>
        <w:snapToGrid w:val="0"/>
        <w:rPr>
          <w:rFonts w:eastAsiaTheme="minorEastAsia"/>
          <w:color w:val="auto"/>
        </w:rPr>
      </w:pPr>
      <w:r>
        <w:rPr>
          <w:rFonts w:eastAsiaTheme="minorEastAsia"/>
          <w:color w:val="auto"/>
        </w:rPr>
        <w:t>本项目不占用天然林，所采矿种、矿山规模、开采技术参数符合国家和地方要求，同时为加强生态治理，该矿山按照要求编制了《</w:t>
      </w:r>
      <w:r>
        <w:rPr>
          <w:rFonts w:hint="eastAsia" w:eastAsiaTheme="minorEastAsia"/>
          <w:color w:val="auto"/>
          <w:lang w:eastAsia="zh-CN"/>
        </w:rPr>
        <w:t>佳木斯市郊区新华采石场</w:t>
      </w:r>
      <w:r>
        <w:rPr>
          <w:rFonts w:eastAsiaTheme="minorEastAsia"/>
          <w:color w:val="auto"/>
        </w:rPr>
        <w:t>矿产资源开发利用方案》</w:t>
      </w:r>
      <w:r>
        <w:rPr>
          <w:rFonts w:hint="eastAsia" w:eastAsiaTheme="minorEastAsia"/>
          <w:color w:val="auto"/>
          <w:lang w:eastAsia="zh-CN"/>
        </w:rPr>
        <w:t>（含佳华分厂）</w:t>
      </w:r>
      <w:r>
        <w:rPr>
          <w:rFonts w:eastAsiaTheme="minorEastAsia"/>
          <w:color w:val="auto"/>
        </w:rPr>
        <w:t>，矿山地质环境保护与恢复治理方案正在编制中，</w:t>
      </w:r>
      <w:r>
        <w:rPr>
          <w:rFonts w:hint="eastAsia" w:eastAsiaTheme="minorEastAsia"/>
          <w:color w:val="auto"/>
          <w:lang w:eastAsia="zh-CN"/>
        </w:rPr>
        <w:t>本</w:t>
      </w:r>
      <w:r>
        <w:rPr>
          <w:rFonts w:eastAsiaTheme="minorEastAsia"/>
          <w:color w:val="auto"/>
        </w:rPr>
        <w:t>项目符合《黑龙江省生态功能区划》要求。</w:t>
      </w:r>
    </w:p>
    <w:p>
      <w:pPr>
        <w:pStyle w:val="276"/>
        <w:adjustRightInd w:val="0"/>
        <w:snapToGrid w:val="0"/>
        <w:rPr>
          <w:rFonts w:eastAsiaTheme="minorEastAsia"/>
          <w:color w:val="auto"/>
        </w:rPr>
      </w:pPr>
      <w:r>
        <w:rPr>
          <w:rFonts w:eastAsiaTheme="minorEastAsia"/>
          <w:color w:val="auto"/>
        </w:rPr>
        <w:t>（11）三线一单符合性</w:t>
      </w:r>
    </w:p>
    <w:p>
      <w:pPr>
        <w:overflowPunct w:val="0"/>
        <w:autoSpaceDE w:val="0"/>
        <w:autoSpaceDN w:val="0"/>
        <w:spacing w:line="500" w:lineRule="exac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①生态保护红线</w:t>
      </w:r>
    </w:p>
    <w:p>
      <w:pPr>
        <w:overflowPunct w:val="0"/>
        <w:autoSpaceDE w:val="0"/>
        <w:autoSpaceDN w:val="0"/>
        <w:spacing w:line="500" w:lineRule="exac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黑龙江省生态保护红线正在划定中，</w:t>
      </w:r>
      <w:r>
        <w:rPr>
          <w:rFonts w:hint="default" w:ascii="Times New Roman" w:hAnsi="Times New Roman" w:cs="Times New Roman"/>
          <w:color w:val="auto"/>
          <w:sz w:val="24"/>
          <w:szCs w:val="24"/>
        </w:rPr>
        <w:t>《黑龙江生态保护红线划定方案》“自然保护区等特殊生态敏感区、森林公园等重要生态敏感区，集中式饮用水水源地”应划定到生态红线范围内，就现状而言，项目占地为</w:t>
      </w:r>
      <w:r>
        <w:rPr>
          <w:rFonts w:hint="eastAsia" w:cs="Times New Roman"/>
          <w:color w:val="auto"/>
          <w:sz w:val="24"/>
          <w:szCs w:val="24"/>
          <w:lang w:eastAsia="zh-CN"/>
        </w:rPr>
        <w:t>采矿用地</w:t>
      </w:r>
      <w:r>
        <w:rPr>
          <w:rFonts w:hint="default" w:ascii="Times New Roman" w:hAnsi="Times New Roman" w:cs="Times New Roman"/>
          <w:color w:val="auto"/>
          <w:sz w:val="24"/>
          <w:szCs w:val="24"/>
        </w:rPr>
        <w:t>，不涉及“自然保护区等特殊生态敏感区、森林公园等重要生态敏感区，集中式饮用水水源地”，未涉及《黑龙江生态保护红线划定方案》中必须划定为生态保护红线的区域。</w:t>
      </w:r>
    </w:p>
    <w:p>
      <w:pPr>
        <w:overflowPunct w:val="0"/>
        <w:autoSpaceDE w:val="0"/>
        <w:autoSpaceDN w:val="0"/>
        <w:spacing w:line="500" w:lineRule="exac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②环境质量底线</w:t>
      </w:r>
    </w:p>
    <w:p>
      <w:pPr>
        <w:overflowPunct w:val="0"/>
        <w:autoSpaceDE w:val="0"/>
        <w:autoSpaceDN w:val="0"/>
        <w:spacing w:line="500" w:lineRule="exac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1）项目与水环境功能的相符性分析</w:t>
      </w:r>
    </w:p>
    <w:p>
      <w:pPr>
        <w:overflowPunct w:val="0"/>
        <w:autoSpaceDE w:val="0"/>
        <w:autoSpaceDN w:val="0"/>
        <w:spacing w:line="500" w:lineRule="exact"/>
        <w:ind w:firstLine="480" w:firstLineChars="200"/>
        <w:rPr>
          <w:rFonts w:hint="default" w:ascii="Times New Roman" w:hAnsi="Times New Roman" w:cs="Times New Roman"/>
          <w:color w:val="auto"/>
          <w:sz w:val="24"/>
          <w:szCs w:val="24"/>
        </w:rPr>
      </w:pPr>
      <w:r>
        <w:rPr>
          <w:rFonts w:eastAsiaTheme="minorEastAsia"/>
          <w:color w:val="auto"/>
        </w:rPr>
        <w:t>本项目收集矿区汇水用于生产抑尘及降尘用水，且绝大多数水份已蒸发的形式消耗掉，不产生生产废水，不会形成地表径流排入水体，生活污水排入防渗旱厕，定期清掏，外运堆肥，不排入地表水体。本项目的运行可实现污水的零排放，因此，项目产生的废水均得到合理处理与利用而无外排，对区域地表水环境不会产生显著性不良影响。</w:t>
      </w:r>
      <w:r>
        <w:rPr>
          <w:rFonts w:hint="eastAsia" w:ascii="Times New Roman" w:hAnsi="Times New Roman" w:cs="Times New Roman"/>
          <w:color w:val="auto"/>
          <w:sz w:val="24"/>
          <w:szCs w:val="24"/>
          <w:lang w:eastAsia="zh-CN"/>
        </w:rPr>
        <w:t>综上所述，本</w:t>
      </w:r>
      <w:r>
        <w:rPr>
          <w:rFonts w:hint="default" w:ascii="Times New Roman" w:hAnsi="Times New Roman" w:cs="Times New Roman"/>
          <w:color w:val="auto"/>
          <w:sz w:val="24"/>
          <w:szCs w:val="24"/>
        </w:rPr>
        <w:t>项目的建设符合相关水环境功能的要求。</w:t>
      </w:r>
    </w:p>
    <w:p>
      <w:pPr>
        <w:overflowPunct w:val="0"/>
        <w:autoSpaceDE w:val="0"/>
        <w:autoSpaceDN w:val="0"/>
        <w:spacing w:line="500" w:lineRule="exac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2）项目与大气环境功能的相符性分析</w:t>
      </w:r>
    </w:p>
    <w:p>
      <w:pPr>
        <w:overflowPunct w:val="0"/>
        <w:autoSpaceDE w:val="0"/>
        <w:autoSpaceDN w:val="0"/>
        <w:spacing w:line="500" w:lineRule="exact"/>
        <w:ind w:firstLine="480" w:firstLineChars="200"/>
        <w:rPr>
          <w:rFonts w:hint="eastAsia" w:ascii="Times New Roman" w:hAnsi="Times New Roman" w:cs="Times New Roman"/>
          <w:color w:val="auto"/>
          <w:sz w:val="24"/>
          <w:szCs w:val="24"/>
        </w:rPr>
      </w:pPr>
      <w:r>
        <w:rPr>
          <w:rFonts w:hint="eastAsia" w:ascii="Times New Roman" w:hAnsi="Times New Roman" w:cs="Times New Roman"/>
          <w:color w:val="auto"/>
          <w:sz w:val="24"/>
          <w:szCs w:val="24"/>
          <w:lang w:eastAsia="zh-CN"/>
        </w:rPr>
        <w:t>本</w:t>
      </w:r>
      <w:r>
        <w:rPr>
          <w:rFonts w:hint="default" w:ascii="Times New Roman" w:hAnsi="Times New Roman" w:cs="Times New Roman"/>
          <w:color w:val="auto"/>
          <w:sz w:val="24"/>
          <w:szCs w:val="24"/>
        </w:rPr>
        <w:t>项目所在区域大气环境为二类区，</w:t>
      </w:r>
      <w:r>
        <w:rPr>
          <w:rFonts w:hint="eastAsia" w:ascii="Times New Roman" w:hAnsi="Times New Roman" w:cs="Times New Roman"/>
          <w:color w:val="auto"/>
          <w:sz w:val="24"/>
          <w:szCs w:val="24"/>
        </w:rPr>
        <w:t>二类功能区为居住区、商业交通居民混合区、文化区、工业区和农村地区。</w:t>
      </w:r>
      <w:r>
        <w:rPr>
          <w:rFonts w:hint="eastAsia" w:ascii="Times New Roman" w:hAnsi="Times New Roman" w:cs="Times New Roman"/>
          <w:color w:val="auto"/>
          <w:sz w:val="24"/>
          <w:szCs w:val="24"/>
          <w:lang w:eastAsia="zh-CN"/>
        </w:rPr>
        <w:t>本项目细颗粒物年均值超标，</w:t>
      </w:r>
      <w:r>
        <w:rPr>
          <w:rFonts w:hint="eastAsia" w:ascii="Times New Roman" w:hAnsi="Times New Roman" w:cs="Times New Roman"/>
          <w:color w:val="auto"/>
          <w:sz w:val="24"/>
          <w:szCs w:val="24"/>
        </w:rPr>
        <w:t>但根据佳木斯大气污染防治计划，</w:t>
      </w:r>
      <w:r>
        <w:rPr>
          <w:rFonts w:hint="eastAsia" w:ascii="Times New Roman" w:hAnsi="Times New Roman" w:cs="Times New Roman"/>
          <w:color w:val="auto"/>
          <w:sz w:val="24"/>
          <w:szCs w:val="24"/>
          <w:lang w:eastAsia="zh-CN"/>
        </w:rPr>
        <w:t>佳木斯市</w:t>
      </w:r>
      <w:r>
        <w:rPr>
          <w:rFonts w:hint="eastAsia" w:ascii="Times New Roman" w:hAnsi="Times New Roman" w:cs="Times New Roman"/>
          <w:color w:val="auto"/>
          <w:sz w:val="24"/>
          <w:szCs w:val="24"/>
        </w:rPr>
        <w:t>政府从多方面改善当地的环境质量。</w:t>
      </w:r>
      <w:r>
        <w:rPr>
          <w:rFonts w:hint="eastAsia" w:ascii="Times New Roman" w:hAnsi="Times New Roman" w:cs="Times New Roman"/>
          <w:color w:val="auto"/>
          <w:sz w:val="24"/>
          <w:szCs w:val="24"/>
          <w:lang w:eastAsia="zh-CN"/>
        </w:rPr>
        <w:t>本项目</w:t>
      </w:r>
      <w:r>
        <w:rPr>
          <w:rFonts w:hint="eastAsia" w:cs="Times New Roman"/>
          <w:color w:val="auto"/>
          <w:sz w:val="24"/>
          <w:szCs w:val="24"/>
          <w:lang w:eastAsia="zh-CN"/>
        </w:rPr>
        <w:t>大气污染物主要为粉尘，但产生量较小，</w:t>
      </w:r>
      <w:r>
        <w:rPr>
          <w:rFonts w:hint="eastAsia" w:eastAsiaTheme="minorEastAsia"/>
          <w:color w:val="auto"/>
          <w:lang w:eastAsia="zh-CN"/>
        </w:rPr>
        <w:t>经过预测，颗粒物</w:t>
      </w:r>
      <w:r>
        <w:rPr>
          <w:rFonts w:eastAsiaTheme="minorEastAsia"/>
          <w:color w:val="auto"/>
        </w:rPr>
        <w:t>占标率低于10%</w:t>
      </w:r>
      <w:r>
        <w:rPr>
          <w:rFonts w:hint="eastAsia" w:eastAsiaTheme="minorEastAsia"/>
          <w:color w:val="auto"/>
          <w:lang w:eastAsia="zh-CN"/>
        </w:rPr>
        <w:t>，对环境空气影响可接受</w:t>
      </w:r>
      <w:r>
        <w:rPr>
          <w:rFonts w:hint="eastAsia" w:ascii="Times New Roman" w:hAnsi="Times New Roman" w:cs="Times New Roman"/>
          <w:color w:val="auto"/>
          <w:sz w:val="24"/>
          <w:szCs w:val="24"/>
        </w:rPr>
        <w:t>。符合当地的大气污染防治计划。</w:t>
      </w:r>
    </w:p>
    <w:p>
      <w:pPr>
        <w:overflowPunct w:val="0"/>
        <w:autoSpaceDE w:val="0"/>
        <w:autoSpaceDN w:val="0"/>
        <w:spacing w:line="500" w:lineRule="exac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3）项目与声环境功能区的相符性分析</w:t>
      </w:r>
    </w:p>
    <w:p>
      <w:pPr>
        <w:overflowPunct w:val="0"/>
        <w:autoSpaceDE w:val="0"/>
        <w:autoSpaceDN w:val="0"/>
        <w:spacing w:line="500" w:lineRule="exact"/>
        <w:ind w:firstLine="480" w:firstLineChars="200"/>
        <w:rPr>
          <w:rFonts w:hint="default" w:ascii="Times New Roman" w:hAnsi="Times New Roman" w:cs="Times New Roman"/>
          <w:color w:val="auto"/>
          <w:sz w:val="24"/>
          <w:highlight w:val="yellow"/>
        </w:rPr>
      </w:pPr>
      <w:r>
        <w:rPr>
          <w:rFonts w:hint="eastAsia"/>
          <w:color w:val="auto"/>
          <w:sz w:val="24"/>
          <w:szCs w:val="20"/>
        </w:rPr>
        <w:t>本项目建设后对周围的声环境影响较小，不会改变周围环境的功能属性，因此，本项目建设符合声环境功能区要求。</w:t>
      </w:r>
    </w:p>
    <w:p>
      <w:pPr>
        <w:overflowPunct w:val="0"/>
        <w:autoSpaceDE w:val="0"/>
        <w:autoSpaceDN w:val="0"/>
        <w:spacing w:line="500" w:lineRule="exac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综上，项目的建设符合环境质量底线相关标准要求。</w:t>
      </w:r>
    </w:p>
    <w:p>
      <w:pPr>
        <w:overflowPunct w:val="0"/>
        <w:autoSpaceDE w:val="0"/>
        <w:autoSpaceDN w:val="0"/>
        <w:spacing w:line="500" w:lineRule="exac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③资源利用上线</w:t>
      </w:r>
    </w:p>
    <w:p>
      <w:pPr>
        <w:overflowPunct w:val="0"/>
        <w:autoSpaceDE w:val="0"/>
        <w:autoSpaceDN w:val="0"/>
        <w:spacing w:line="500" w:lineRule="exac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本项目用水</w:t>
      </w:r>
      <w:r>
        <w:rPr>
          <w:rFonts w:hint="eastAsia" w:cs="Times New Roman"/>
          <w:color w:val="auto"/>
          <w:sz w:val="24"/>
          <w:szCs w:val="24"/>
          <w:lang w:eastAsia="zh-CN"/>
        </w:rPr>
        <w:t>主要为职工用水，</w:t>
      </w:r>
      <w:r>
        <w:rPr>
          <w:rFonts w:hint="default" w:ascii="Times New Roman" w:hAnsi="Times New Roman" w:cs="Times New Roman"/>
          <w:color w:val="auto"/>
          <w:sz w:val="24"/>
          <w:szCs w:val="24"/>
        </w:rPr>
        <w:t>项目用水量很小；项目用电由市政供电管网提供，不会达到资源利用上线；项目</w:t>
      </w:r>
      <w:r>
        <w:rPr>
          <w:rFonts w:hint="eastAsia" w:cs="Times New Roman"/>
          <w:color w:val="auto"/>
          <w:sz w:val="24"/>
          <w:szCs w:val="24"/>
          <w:lang w:eastAsia="zh-CN"/>
        </w:rPr>
        <w:t>占地为采矿用地，本次扩建不新增用地</w:t>
      </w:r>
      <w:r>
        <w:rPr>
          <w:rFonts w:hint="default" w:ascii="Times New Roman" w:hAnsi="Times New Roman" w:cs="Times New Roman"/>
          <w:color w:val="auto"/>
          <w:sz w:val="24"/>
          <w:szCs w:val="24"/>
        </w:rPr>
        <w:t>。因此，以上各方面资源利用均在当地可接受范围内，不会达到资源利用上线。</w:t>
      </w:r>
    </w:p>
    <w:p>
      <w:pPr>
        <w:overflowPunct w:val="0"/>
        <w:autoSpaceDE w:val="0"/>
        <w:autoSpaceDN w:val="0"/>
        <w:spacing w:line="500" w:lineRule="exac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④环境准入负面清单</w:t>
      </w:r>
    </w:p>
    <w:p>
      <w:pPr>
        <w:pStyle w:val="276"/>
        <w:jc w:val="both"/>
        <w:rPr>
          <w:rFonts w:eastAsiaTheme="minorEastAsia"/>
          <w:color w:val="auto"/>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r>
        <w:rPr>
          <w:rFonts w:hint="default" w:ascii="Times New Roman" w:hAnsi="Times New Roman" w:cs="Times New Roman"/>
          <w:color w:val="auto"/>
          <w:sz w:val="24"/>
        </w:rPr>
        <w:t>根据黑发改规〔2017〕4号关于印发《黑龙江省重点生态功能区产业准入负面清单</w:t>
      </w:r>
      <w:r>
        <w:rPr>
          <w:rFonts w:hint="eastAsia" w:ascii="Times New Roman" w:hAnsi="Times New Roman" w:cs="Times New Roman"/>
          <w:color w:val="auto"/>
          <w:sz w:val="24"/>
          <w:lang w:eastAsia="zh-CN"/>
        </w:rPr>
        <w:t>（</w:t>
      </w:r>
      <w:r>
        <w:rPr>
          <w:rFonts w:hint="default" w:ascii="Times New Roman" w:hAnsi="Times New Roman" w:cs="Times New Roman"/>
          <w:color w:val="auto"/>
          <w:sz w:val="24"/>
        </w:rPr>
        <w:t>试行版</w:t>
      </w:r>
      <w:r>
        <w:rPr>
          <w:rFonts w:hint="eastAsia" w:ascii="Times New Roman" w:hAnsi="Times New Roman" w:cs="Times New Roman"/>
          <w:color w:val="auto"/>
          <w:sz w:val="24"/>
          <w:lang w:eastAsia="zh-CN"/>
        </w:rPr>
        <w:t>）</w:t>
      </w:r>
      <w:r>
        <w:rPr>
          <w:rFonts w:hint="default" w:ascii="Times New Roman" w:hAnsi="Times New Roman" w:cs="Times New Roman"/>
          <w:color w:val="auto"/>
          <w:sz w:val="24"/>
        </w:rPr>
        <w:t>》的通知，本项目</w:t>
      </w:r>
      <w:r>
        <w:rPr>
          <w:rFonts w:hint="eastAsia" w:ascii="Times New Roman" w:hAnsi="Times New Roman" w:cs="Times New Roman"/>
          <w:color w:val="auto"/>
          <w:sz w:val="24"/>
          <w:lang w:eastAsia="zh-CN"/>
        </w:rPr>
        <w:t>位于</w:t>
      </w:r>
      <w:r>
        <w:rPr>
          <w:rFonts w:hint="eastAsia"/>
          <w:b w:val="0"/>
          <w:bCs w:val="0"/>
          <w:color w:val="auto"/>
          <w:sz w:val="24"/>
        </w:rPr>
        <w:t>佳木斯</w:t>
      </w:r>
      <w:r>
        <w:rPr>
          <w:rFonts w:hint="eastAsia"/>
          <w:b w:val="0"/>
          <w:bCs w:val="0"/>
          <w:color w:val="auto"/>
          <w:sz w:val="24"/>
          <w:lang w:eastAsia="zh-CN"/>
        </w:rPr>
        <w:t>市郊区</w:t>
      </w:r>
      <w:r>
        <w:rPr>
          <w:rFonts w:hint="eastAsia" w:ascii="Times New Roman" w:hAnsi="Times New Roman" w:cs="Times New Roman"/>
          <w:color w:val="auto"/>
          <w:sz w:val="24"/>
          <w:lang w:eastAsia="zh-CN"/>
        </w:rPr>
        <w:t>，</w:t>
      </w:r>
      <w:r>
        <w:rPr>
          <w:rFonts w:hint="default" w:ascii="Times New Roman" w:hAnsi="Times New Roman" w:cs="Times New Roman"/>
          <w:color w:val="auto"/>
          <w:sz w:val="24"/>
          <w:szCs w:val="24"/>
        </w:rPr>
        <w:t>不在《黑龙江省重点生态功能区产业准入负面清单（试行版）》内，因此，项目符合产业政策要求</w:t>
      </w:r>
    </w:p>
    <w:p>
      <w:pPr>
        <w:pStyle w:val="236"/>
        <w:rPr>
          <w:rFonts w:eastAsiaTheme="minorEastAsia"/>
          <w:color w:val="auto"/>
        </w:rPr>
      </w:pPr>
      <w:bookmarkStart w:id="102" w:name="_Toc519693565"/>
      <w:r>
        <w:rPr>
          <w:rFonts w:eastAsiaTheme="minorEastAsia"/>
          <w:color w:val="auto"/>
        </w:rPr>
        <w:t>3项目概况</w:t>
      </w:r>
      <w:bookmarkEnd w:id="98"/>
      <w:bookmarkEnd w:id="99"/>
      <w:bookmarkEnd w:id="100"/>
      <w:bookmarkEnd w:id="101"/>
      <w:r>
        <w:rPr>
          <w:rFonts w:eastAsiaTheme="minorEastAsia"/>
          <w:color w:val="auto"/>
        </w:rPr>
        <w:t>与工程分析</w:t>
      </w:r>
      <w:bookmarkEnd w:id="102"/>
    </w:p>
    <w:p>
      <w:pPr>
        <w:pStyle w:val="238"/>
        <w:rPr>
          <w:rFonts w:hint="eastAsia" w:hAnsi="Times New Roman" w:eastAsiaTheme="minorEastAsia"/>
          <w:color w:val="auto"/>
          <w:lang w:val="en-US" w:eastAsia="zh-CN"/>
        </w:rPr>
      </w:pPr>
      <w:bookmarkStart w:id="103" w:name="_Toc519693566"/>
      <w:bookmarkStart w:id="104" w:name="_Toc360142531"/>
      <w:bookmarkStart w:id="105" w:name="_Toc440973412"/>
      <w:bookmarkStart w:id="106" w:name="_Toc436406189"/>
      <w:bookmarkStart w:id="107" w:name="_Toc440973678"/>
      <w:r>
        <w:rPr>
          <w:rFonts w:hAnsi="Times New Roman" w:eastAsiaTheme="minorEastAsia"/>
          <w:color w:val="auto"/>
        </w:rPr>
        <w:t>3.1</w:t>
      </w:r>
      <w:bookmarkEnd w:id="103"/>
      <w:r>
        <w:rPr>
          <w:rFonts w:hint="eastAsia" w:hAnsi="Times New Roman" w:eastAsiaTheme="minorEastAsia"/>
          <w:color w:val="auto"/>
          <w:lang w:eastAsia="zh-CN"/>
        </w:rPr>
        <w:t>现有</w:t>
      </w:r>
      <w:r>
        <w:rPr>
          <w:rFonts w:hint="eastAsia" w:hAnsi="Times New Roman" w:eastAsiaTheme="minorEastAsia"/>
          <w:color w:val="auto"/>
          <w:lang w:val="en-US" w:eastAsia="zh-CN"/>
        </w:rPr>
        <w:t>矿山</w:t>
      </w:r>
      <w:r>
        <w:rPr>
          <w:rFonts w:hint="eastAsia" w:hAnsi="Times New Roman" w:eastAsiaTheme="minorEastAsia"/>
          <w:color w:val="auto"/>
          <w:lang w:eastAsia="zh-CN"/>
        </w:rPr>
        <w:t>基本情况</w:t>
      </w:r>
    </w:p>
    <w:p>
      <w:pPr>
        <w:pStyle w:val="238"/>
        <w:rPr>
          <w:rFonts w:hint="eastAsia" w:hAnsi="Times New Roman" w:eastAsiaTheme="minorEastAsia"/>
          <w:color w:val="auto"/>
          <w:lang w:val="en-US" w:eastAsia="zh-CN"/>
        </w:rPr>
      </w:pPr>
      <w:r>
        <w:rPr>
          <w:rFonts w:hint="eastAsia" w:hAnsi="Times New Roman" w:eastAsiaTheme="minorEastAsia"/>
          <w:color w:val="auto"/>
          <w:lang w:val="en-US" w:eastAsia="zh-CN"/>
        </w:rPr>
        <w:t>3.1.1现有矿山基本情况简介</w:t>
      </w:r>
    </w:p>
    <w:p>
      <w:pPr>
        <w:pStyle w:val="276"/>
        <w:spacing w:line="460" w:lineRule="exact"/>
        <w:jc w:val="both"/>
        <w:rPr>
          <w:rFonts w:eastAsiaTheme="minorEastAsia"/>
          <w:color w:val="auto"/>
        </w:rPr>
      </w:pPr>
      <w:r>
        <w:rPr>
          <w:rFonts w:hint="eastAsia" w:eastAsiaTheme="minorEastAsia"/>
          <w:color w:val="auto"/>
          <w:lang w:eastAsia="zh-CN"/>
        </w:rPr>
        <w:t>本项目位于</w:t>
      </w:r>
      <w:r>
        <w:rPr>
          <w:rFonts w:hint="eastAsia" w:eastAsiaTheme="minorEastAsia"/>
          <w:color w:val="auto"/>
          <w:lang w:eastAsia="zh-CN"/>
        </w:rPr>
        <w:t>佳木斯市郊区沿江乡新华村南约450m处</w:t>
      </w:r>
      <w:r>
        <w:rPr>
          <w:rFonts w:hint="eastAsia" w:eastAsiaTheme="minorEastAsia"/>
          <w:color w:val="auto"/>
          <w:lang w:eastAsia="zh-CN"/>
        </w:rPr>
        <w:t>，佳木斯市郊区佳华石料厂是佳木斯市郊区新华采石场多个矿区其中之一，佳木斯市郊区佳华石料厂多个矿区集体办理一个采矿许可证。</w:t>
      </w:r>
      <w:r>
        <w:rPr>
          <w:rFonts w:eastAsiaTheme="minorEastAsia"/>
          <w:color w:val="auto"/>
        </w:rPr>
        <w:t>该矿</w:t>
      </w:r>
      <w:r>
        <w:rPr>
          <w:rFonts w:hint="eastAsia" w:eastAsiaTheme="minorEastAsia"/>
          <w:color w:val="auto"/>
          <w:lang w:eastAsia="zh-CN"/>
        </w:rPr>
        <w:t>已被开采近</w:t>
      </w:r>
      <w:r>
        <w:rPr>
          <w:rFonts w:hint="eastAsia" w:eastAsiaTheme="minorEastAsia"/>
          <w:color w:val="auto"/>
          <w:lang w:val="en-US" w:eastAsia="zh-CN"/>
        </w:rPr>
        <w:t>20年，</w:t>
      </w:r>
      <w:r>
        <w:rPr>
          <w:rFonts w:eastAsiaTheme="minorEastAsia"/>
          <w:color w:val="auto"/>
        </w:rPr>
        <w:t>矿山露天形式开采</w:t>
      </w:r>
      <w:r>
        <w:rPr>
          <w:rFonts w:hint="eastAsia" w:eastAsiaTheme="minorEastAsia"/>
          <w:color w:val="auto"/>
          <w:lang w:eastAsia="zh-CN"/>
        </w:rPr>
        <w:t>。</w:t>
      </w:r>
      <w:r>
        <w:rPr>
          <w:rFonts w:hint="eastAsia" w:eastAsiaTheme="minorEastAsia"/>
          <w:color w:val="auto"/>
          <w:lang w:val="en-US" w:eastAsia="zh-CN"/>
        </w:rPr>
        <w:t>2016年11月，</w:t>
      </w:r>
      <w:r>
        <w:rPr>
          <w:rFonts w:hint="eastAsia" w:eastAsiaTheme="minorEastAsia"/>
          <w:color w:val="auto"/>
          <w:lang w:eastAsia="zh-CN"/>
        </w:rPr>
        <w:t>佳木斯市郊区佳华石料厂做了《建设项目污染现状评估报告》，年产建筑用花岗岩</w:t>
      </w:r>
      <w:r>
        <w:rPr>
          <w:rFonts w:hint="eastAsia" w:eastAsiaTheme="minorEastAsia"/>
          <w:color w:val="auto"/>
          <w:lang w:val="en-US" w:eastAsia="zh-CN"/>
        </w:rPr>
        <w:t>3万立方米，</w:t>
      </w:r>
      <w:r>
        <w:rPr>
          <w:rFonts w:hint="eastAsia" w:eastAsiaTheme="minorEastAsia"/>
          <w:color w:val="auto"/>
          <w:lang w:eastAsia="zh-CN"/>
        </w:rPr>
        <w:t>由于采矿许可证已于</w:t>
      </w:r>
      <w:r>
        <w:rPr>
          <w:rFonts w:hint="eastAsia" w:eastAsiaTheme="minorEastAsia"/>
          <w:color w:val="auto"/>
          <w:lang w:val="en-US" w:eastAsia="zh-CN"/>
        </w:rPr>
        <w:t>2017年9月</w:t>
      </w:r>
      <w:r>
        <w:rPr>
          <w:rFonts w:hint="eastAsia" w:eastAsiaTheme="minorEastAsia"/>
          <w:color w:val="auto"/>
          <w:lang w:eastAsia="zh-CN"/>
        </w:rPr>
        <w:t>到期，目前处于停产状态，现正在办理新的采矿许可证，本次属扩建工程，但不新增用地，在原有矿山开采范围基础上继续向下深挖，工业场地和开采区均利旧，占地类型仍为采矿用地。</w:t>
      </w:r>
      <w:r>
        <w:rPr>
          <w:rFonts w:eastAsiaTheme="minorEastAsia"/>
          <w:color w:val="auto"/>
        </w:rPr>
        <w:t>经资源量估算，截止到20</w:t>
      </w:r>
      <w:r>
        <w:rPr>
          <w:rFonts w:hint="eastAsia" w:eastAsiaTheme="minorEastAsia"/>
          <w:color w:val="auto"/>
        </w:rPr>
        <w:t>18</w:t>
      </w:r>
      <w:r>
        <w:rPr>
          <w:rFonts w:eastAsiaTheme="minorEastAsia"/>
          <w:color w:val="auto"/>
        </w:rPr>
        <w:t>年</w:t>
      </w:r>
      <w:r>
        <w:rPr>
          <w:rFonts w:hint="eastAsia" w:eastAsiaTheme="minorEastAsia"/>
          <w:color w:val="auto"/>
        </w:rPr>
        <w:t>10</w:t>
      </w:r>
      <w:r>
        <w:rPr>
          <w:rFonts w:eastAsiaTheme="minorEastAsia"/>
          <w:color w:val="auto"/>
        </w:rPr>
        <w:t>月，</w:t>
      </w:r>
      <w:r>
        <w:rPr>
          <w:rFonts w:hint="eastAsia" w:eastAsiaTheme="minorEastAsia"/>
          <w:color w:val="auto"/>
        </w:rPr>
        <w:t>拟采矿区</w:t>
      </w:r>
      <w:r>
        <w:rPr>
          <w:rFonts w:eastAsiaTheme="minorEastAsia"/>
          <w:color w:val="auto"/>
        </w:rPr>
        <w:t>范围内该矿的资源量为：推断的内蕴经济资源量为</w:t>
      </w:r>
      <w:r>
        <w:rPr>
          <w:rFonts w:hint="eastAsia" w:eastAsiaTheme="minorEastAsia"/>
          <w:color w:val="auto"/>
        </w:rPr>
        <w:t>279810</w:t>
      </w:r>
      <w:r>
        <w:rPr>
          <w:rFonts w:eastAsiaTheme="minorEastAsia"/>
          <w:color w:val="auto"/>
        </w:rPr>
        <w:t>立方米，综合剥采比0.</w:t>
      </w:r>
      <w:r>
        <w:rPr>
          <w:rFonts w:hint="eastAsia" w:eastAsiaTheme="minorEastAsia"/>
          <w:color w:val="auto"/>
        </w:rPr>
        <w:t>03：</w:t>
      </w:r>
      <w:r>
        <w:rPr>
          <w:rFonts w:eastAsiaTheme="minorEastAsia"/>
          <w:color w:val="auto"/>
        </w:rPr>
        <w:t>1</w:t>
      </w:r>
      <w:r>
        <w:rPr>
          <w:rFonts w:hint="eastAsia" w:eastAsiaTheme="minorEastAsia"/>
          <w:color w:val="auto"/>
          <w:lang w:eastAsia="zh-CN"/>
        </w:rPr>
        <w:t>，则</w:t>
      </w:r>
      <w:r>
        <w:rPr>
          <w:rFonts w:eastAsiaTheme="minorEastAsia"/>
          <w:color w:val="auto"/>
        </w:rPr>
        <w:t>该矿区内保有储量为</w:t>
      </w:r>
      <w:r>
        <w:rPr>
          <w:rFonts w:hint="eastAsia" w:eastAsiaTheme="minorEastAsia"/>
          <w:color w:val="auto"/>
        </w:rPr>
        <w:t>270365</w:t>
      </w:r>
      <w:r>
        <w:rPr>
          <w:rFonts w:eastAsiaTheme="minorEastAsia"/>
          <w:color w:val="auto"/>
        </w:rPr>
        <w:t>立方米。</w:t>
      </w:r>
      <w:r>
        <w:rPr>
          <w:rFonts w:hint="eastAsia" w:eastAsiaTheme="minorEastAsia"/>
          <w:color w:val="auto"/>
          <w:lang w:eastAsia="zh-CN"/>
        </w:rPr>
        <w:t>佳木斯市郊区佳华石料厂</w:t>
      </w:r>
      <w:r>
        <w:rPr>
          <w:rFonts w:hint="eastAsia" w:eastAsiaTheme="minorEastAsia"/>
          <w:color w:val="auto"/>
        </w:rPr>
        <w:t>于2018年</w:t>
      </w:r>
      <w:r>
        <w:rPr>
          <w:rFonts w:hint="eastAsia" w:eastAsiaTheme="minorEastAsia"/>
          <w:color w:val="auto"/>
          <w:lang w:val="en-US" w:eastAsia="zh-CN"/>
        </w:rPr>
        <w:t>11</w:t>
      </w:r>
      <w:r>
        <w:rPr>
          <w:rFonts w:hint="eastAsia" w:eastAsiaTheme="minorEastAsia"/>
          <w:color w:val="auto"/>
        </w:rPr>
        <w:t>月</w:t>
      </w:r>
      <w:r>
        <w:rPr>
          <w:rFonts w:hint="eastAsia" w:eastAsiaTheme="minorEastAsia"/>
          <w:color w:val="auto"/>
          <w:lang w:val="en-US" w:eastAsia="zh-CN"/>
        </w:rPr>
        <w:t>1</w:t>
      </w:r>
      <w:r>
        <w:rPr>
          <w:rFonts w:hint="eastAsia" w:eastAsiaTheme="minorEastAsia"/>
          <w:color w:val="auto"/>
        </w:rPr>
        <w:t>日</w:t>
      </w:r>
      <w:r>
        <w:rPr>
          <w:rFonts w:eastAsiaTheme="minorEastAsia"/>
          <w:color w:val="auto"/>
        </w:rPr>
        <w:t>委托</w:t>
      </w:r>
      <w:r>
        <w:rPr>
          <w:rFonts w:hint="eastAsia" w:eastAsiaTheme="minorEastAsia"/>
          <w:color w:val="auto"/>
          <w:lang w:eastAsia="zh-CN"/>
        </w:rPr>
        <w:t>兴业环保股份有限公司</w:t>
      </w:r>
      <w:r>
        <w:rPr>
          <w:rFonts w:eastAsiaTheme="minorEastAsia"/>
          <w:color w:val="auto"/>
        </w:rPr>
        <w:t>开展本项目的环境影响评价工作</w:t>
      </w:r>
      <w:r>
        <w:rPr>
          <w:rFonts w:hint="eastAsia" w:eastAsiaTheme="minorEastAsia"/>
          <w:color w:val="auto"/>
        </w:rPr>
        <w:t>。</w:t>
      </w:r>
    </w:p>
    <w:p>
      <w:pPr>
        <w:pStyle w:val="276"/>
        <w:spacing w:line="460" w:lineRule="exact"/>
        <w:jc w:val="both"/>
        <w:rPr>
          <w:rFonts w:hint="eastAsia" w:eastAsiaTheme="minorEastAsia"/>
          <w:color w:val="auto"/>
          <w:lang w:eastAsia="zh-CN"/>
        </w:rPr>
      </w:pPr>
      <w:r>
        <w:rPr>
          <w:rFonts w:hint="eastAsia" w:eastAsiaTheme="minorEastAsia"/>
          <w:color w:val="auto"/>
          <w:lang w:eastAsia="zh-CN"/>
        </w:rPr>
        <w:t>本次扩建工程开采规模为</w:t>
      </w:r>
      <w:r>
        <w:rPr>
          <w:rFonts w:hint="eastAsia" w:eastAsiaTheme="minorEastAsia"/>
          <w:color w:val="auto"/>
          <w:lang w:val="en-US" w:eastAsia="zh-CN"/>
        </w:rPr>
        <w:t>3万立方米/年，开采规模</w:t>
      </w:r>
      <w:r>
        <w:rPr>
          <w:rFonts w:hint="eastAsia" w:eastAsiaTheme="minorEastAsia"/>
          <w:color w:val="auto"/>
          <w:lang w:eastAsia="zh-CN"/>
        </w:rPr>
        <w:t>较小，不新增用地，在原有矿山开采范围基础上继续向下深挖，由于矿山已开采多年，矿山表面已无表土，岩石外露，因此，不设置表土</w:t>
      </w:r>
      <w:r>
        <w:rPr>
          <w:rFonts w:eastAsiaTheme="minorEastAsia"/>
          <w:color w:val="auto"/>
        </w:rPr>
        <w:t>暂存</w:t>
      </w:r>
      <w:r>
        <w:rPr>
          <w:rFonts w:hint="eastAsia" w:eastAsiaTheme="minorEastAsia"/>
          <w:color w:val="auto"/>
          <w:lang w:eastAsia="zh-CN"/>
        </w:rPr>
        <w:t>场。</w:t>
      </w:r>
    </w:p>
    <w:p>
      <w:pPr>
        <w:pStyle w:val="238"/>
        <w:rPr>
          <w:rFonts w:hint="eastAsia" w:ascii="Times New Roman" w:hAnsi="Times New Roman" w:cs="Times New Roman" w:eastAsiaTheme="minorEastAsia"/>
          <w:color w:val="auto"/>
          <w:lang w:val="en-US" w:eastAsia="zh-CN"/>
        </w:rPr>
      </w:pPr>
      <w:bookmarkStart w:id="108" w:name="_Toc519693567"/>
      <w:r>
        <w:rPr>
          <w:rFonts w:hint="eastAsia" w:ascii="Times New Roman" w:hAnsi="Times New Roman" w:cs="Times New Roman" w:eastAsiaTheme="minorEastAsia"/>
          <w:color w:val="auto"/>
          <w:lang w:val="en-US" w:eastAsia="zh-CN"/>
        </w:rPr>
        <w:t>3.1.2现有矿山主要污染物及防治措施</w:t>
      </w:r>
    </w:p>
    <w:p>
      <w:pPr>
        <w:pStyle w:val="276"/>
        <w:rPr>
          <w:rFonts w:eastAsiaTheme="minorEastAsia"/>
          <w:color w:val="auto"/>
        </w:rPr>
      </w:pPr>
      <w:r>
        <w:rPr>
          <w:rFonts w:hint="eastAsia" w:eastAsiaTheme="minorEastAsia"/>
          <w:color w:val="auto"/>
          <w:lang w:eastAsia="zh-CN"/>
        </w:rPr>
        <w:t>本项目现有工程已停产，正在办理新的采矿许可证。</w:t>
      </w:r>
      <w:r>
        <w:rPr>
          <w:rFonts w:hint="eastAsia" w:hAnsi="Times New Roman" w:eastAsiaTheme="minorEastAsia"/>
          <w:color w:val="auto"/>
          <w:lang w:eastAsia="zh-CN"/>
        </w:rPr>
        <w:t>根据</w:t>
      </w:r>
      <w:r>
        <w:rPr>
          <w:rFonts w:hint="eastAsia" w:eastAsiaTheme="minorEastAsia"/>
          <w:color w:val="auto"/>
          <w:lang w:eastAsia="zh-CN"/>
        </w:rPr>
        <w:t>佳木斯市郊区佳华石料厂《建设项目污染现状评估报告》（未核算的污染物本次按现有技术规范补充核算）</w:t>
      </w:r>
      <w:r>
        <w:rPr>
          <w:rFonts w:hint="eastAsia" w:hAnsi="Times New Roman" w:eastAsiaTheme="minorEastAsia"/>
          <w:color w:val="auto"/>
          <w:lang w:eastAsia="zh-CN"/>
        </w:rPr>
        <w:t>，</w:t>
      </w:r>
      <w:r>
        <w:rPr>
          <w:rFonts w:hint="eastAsia" w:eastAsiaTheme="minorEastAsia"/>
          <w:color w:val="auto"/>
          <w:lang w:eastAsia="zh-CN"/>
        </w:rPr>
        <w:t>现有</w:t>
      </w:r>
      <w:r>
        <w:rPr>
          <w:rFonts w:hint="eastAsia" w:hAnsi="Times New Roman" w:eastAsiaTheme="minorEastAsia"/>
          <w:color w:val="auto"/>
          <w:lang w:eastAsia="zh-CN"/>
        </w:rPr>
        <w:t>工程主要污染物预计排放量及拟采取的防治措施如下：</w:t>
      </w:r>
      <w:r>
        <w:rPr>
          <w:rFonts w:hAnsi="Times New Roman" w:eastAsiaTheme="minorEastAsia"/>
          <w:color w:val="auto"/>
        </w:rPr>
        <w:br w:type="textWrapping"/>
      </w:r>
      <w:r>
        <w:rPr>
          <w:rFonts w:eastAsiaTheme="minorEastAsia"/>
          <w:color w:val="auto"/>
        </w:rPr>
        <w:t>（1）大气污染物</w:t>
      </w:r>
    </w:p>
    <w:p>
      <w:pPr>
        <w:pStyle w:val="276"/>
        <w:rPr>
          <w:rFonts w:eastAsiaTheme="minorEastAsia"/>
          <w:color w:val="auto"/>
        </w:rPr>
      </w:pPr>
      <w:r>
        <w:rPr>
          <w:rFonts w:hint="eastAsia" w:eastAsiaTheme="minorEastAsia"/>
          <w:color w:val="auto"/>
          <w:lang w:eastAsia="zh-CN"/>
        </w:rPr>
        <w:t>现有工程</w:t>
      </w:r>
      <w:r>
        <w:rPr>
          <w:rFonts w:eastAsiaTheme="minorEastAsia"/>
          <w:color w:val="auto"/>
        </w:rPr>
        <w:t>产生环节主要为凿岩钻孔、爆破、破碎筛分、集堆铲装、</w:t>
      </w:r>
      <w:r>
        <w:rPr>
          <w:rFonts w:hint="eastAsia" w:eastAsiaTheme="minorEastAsia"/>
          <w:color w:val="auto"/>
          <w:lang w:eastAsia="zh-CN"/>
        </w:rPr>
        <w:t>原矿及成品堆场、石粉堆场、</w:t>
      </w:r>
      <w:r>
        <w:rPr>
          <w:rFonts w:eastAsiaTheme="minorEastAsia"/>
          <w:color w:val="auto"/>
        </w:rPr>
        <w:t>运输过程，排放方式</w:t>
      </w:r>
      <w:r>
        <w:rPr>
          <w:rFonts w:hint="eastAsia" w:eastAsiaTheme="minorEastAsia"/>
          <w:color w:val="auto"/>
          <w:lang w:eastAsia="zh-CN"/>
        </w:rPr>
        <w:t>均为</w:t>
      </w:r>
      <w:r>
        <w:rPr>
          <w:rFonts w:eastAsiaTheme="minorEastAsia"/>
          <w:color w:val="auto"/>
        </w:rPr>
        <w:t xml:space="preserve">无组织。 </w:t>
      </w:r>
    </w:p>
    <w:p>
      <w:pPr>
        <w:autoSpaceDE w:val="0"/>
        <w:autoSpaceDN w:val="0"/>
        <w:adjustRightInd w:val="0"/>
        <w:spacing w:line="500" w:lineRule="exact"/>
        <w:ind w:firstLine="480" w:firstLineChars="200"/>
        <w:rPr>
          <w:rFonts w:eastAsiaTheme="minorEastAsia"/>
          <w:color w:val="auto"/>
          <w:kern w:val="0"/>
          <w:szCs w:val="24"/>
        </w:rPr>
      </w:pPr>
      <w:r>
        <w:rPr>
          <w:rFonts w:eastAsiaTheme="minorEastAsia"/>
          <w:color w:val="auto"/>
          <w:kern w:val="0"/>
          <w:szCs w:val="24"/>
        </w:rPr>
        <w:fldChar w:fldCharType="begin"/>
      </w:r>
      <w:r>
        <w:rPr>
          <w:rFonts w:eastAsiaTheme="minorEastAsia"/>
          <w:color w:val="auto"/>
          <w:kern w:val="0"/>
          <w:szCs w:val="24"/>
        </w:rPr>
        <w:instrText xml:space="preserve"> = 1 \* GB3 </w:instrText>
      </w:r>
      <w:r>
        <w:rPr>
          <w:rFonts w:eastAsiaTheme="minorEastAsia"/>
          <w:color w:val="auto"/>
          <w:kern w:val="0"/>
          <w:szCs w:val="24"/>
        </w:rPr>
        <w:fldChar w:fldCharType="separate"/>
      </w:r>
      <w:r>
        <w:rPr>
          <w:rFonts w:hint="eastAsia" w:ascii="宋体" w:hAnsi="宋体" w:cs="宋体"/>
          <w:color w:val="auto"/>
          <w:kern w:val="0"/>
          <w:szCs w:val="24"/>
        </w:rPr>
        <w:t>①</w:t>
      </w:r>
      <w:r>
        <w:rPr>
          <w:rFonts w:eastAsiaTheme="minorEastAsia"/>
          <w:color w:val="auto"/>
          <w:kern w:val="0"/>
          <w:szCs w:val="24"/>
        </w:rPr>
        <w:fldChar w:fldCharType="end"/>
      </w:r>
      <w:r>
        <w:rPr>
          <w:rFonts w:eastAsiaTheme="minorEastAsia"/>
          <w:color w:val="auto"/>
          <w:kern w:val="0"/>
          <w:szCs w:val="24"/>
        </w:rPr>
        <w:t xml:space="preserve">凿岩打孔过程废气 </w:t>
      </w:r>
    </w:p>
    <w:p>
      <w:pPr>
        <w:pStyle w:val="276"/>
        <w:jc w:val="both"/>
        <w:rPr>
          <w:rFonts w:eastAsiaTheme="minorEastAsia"/>
          <w:color w:val="auto"/>
        </w:rPr>
      </w:pPr>
      <w:r>
        <w:rPr>
          <w:rFonts w:eastAsiaTheme="minorEastAsia"/>
          <w:color w:val="auto"/>
        </w:rPr>
        <w:t>本矿山采用深孔台阶爆破，不合格的大块的矿石采用人工击碎，不进行二次爆破，凿岩打孔在工作时产生一定的粉尘污染，会对采场周围的大气环境产生一定影响。根据国家环保总局环境影响评价工程师执业资格登记管理办公室《建材火电教材》（2006年8月）矿山凿岩时的粉尘产生量约为3g/m</w:t>
      </w:r>
      <w:r>
        <w:rPr>
          <w:rFonts w:eastAsiaTheme="minorEastAsia"/>
          <w:color w:val="auto"/>
          <w:vertAlign w:val="superscript"/>
        </w:rPr>
        <w:t>3</w:t>
      </w:r>
      <w:r>
        <w:rPr>
          <w:rFonts w:eastAsiaTheme="minorEastAsia"/>
          <w:color w:val="auto"/>
        </w:rPr>
        <w:t>，本项目生产规模为</w:t>
      </w:r>
      <w:r>
        <w:rPr>
          <w:rFonts w:hint="eastAsia" w:eastAsiaTheme="minorEastAsia"/>
          <w:color w:val="auto"/>
          <w:lang w:val="en-US" w:eastAsia="zh-CN"/>
        </w:rPr>
        <w:t>3</w:t>
      </w:r>
      <w:r>
        <w:rPr>
          <w:rFonts w:eastAsiaTheme="minorEastAsia"/>
          <w:color w:val="auto"/>
        </w:rPr>
        <w:t>×10</w:t>
      </w:r>
      <w:r>
        <w:rPr>
          <w:rFonts w:eastAsiaTheme="minorEastAsia"/>
          <w:color w:val="auto"/>
          <w:vertAlign w:val="superscript"/>
        </w:rPr>
        <w:t>4</w:t>
      </w:r>
      <w:r>
        <w:rPr>
          <w:rFonts w:eastAsiaTheme="minorEastAsia"/>
          <w:color w:val="auto"/>
        </w:rPr>
        <w:t>m</w:t>
      </w:r>
      <w:r>
        <w:rPr>
          <w:rFonts w:eastAsiaTheme="minorEastAsia"/>
          <w:color w:val="auto"/>
          <w:vertAlign w:val="superscript"/>
        </w:rPr>
        <w:t>3</w:t>
      </w:r>
      <w:r>
        <w:rPr>
          <w:rFonts w:eastAsiaTheme="minorEastAsia"/>
          <w:color w:val="auto"/>
        </w:rPr>
        <w:t>/a，因此凿岩时产生的粉尘量为0.</w:t>
      </w:r>
      <w:r>
        <w:rPr>
          <w:rFonts w:hint="eastAsia" w:eastAsiaTheme="minorEastAsia"/>
          <w:color w:val="auto"/>
          <w:lang w:val="en-US" w:eastAsia="zh-CN"/>
        </w:rPr>
        <w:t>09</w:t>
      </w:r>
      <w:r>
        <w:rPr>
          <w:rFonts w:eastAsiaTheme="minorEastAsia"/>
          <w:color w:val="auto"/>
        </w:rPr>
        <w:t>t/a，通过采用临时水管抑尘，可使粉尘排放量降低60%，本项目凿岩穿孔排放的粉尘量为0.</w:t>
      </w:r>
      <w:r>
        <w:rPr>
          <w:rFonts w:hint="eastAsia" w:eastAsiaTheme="minorEastAsia"/>
          <w:color w:val="auto"/>
          <w:lang w:val="en-US" w:eastAsia="zh-CN"/>
        </w:rPr>
        <w:t>04</w:t>
      </w:r>
      <w:r>
        <w:rPr>
          <w:rFonts w:eastAsiaTheme="minorEastAsia"/>
          <w:color w:val="auto"/>
        </w:rPr>
        <w:t>t/a。</w:t>
      </w:r>
    </w:p>
    <w:p>
      <w:pPr>
        <w:pStyle w:val="276"/>
        <w:jc w:val="both"/>
        <w:rPr>
          <w:rFonts w:eastAsiaTheme="minorEastAsia"/>
          <w:color w:val="auto"/>
        </w:rPr>
      </w:pPr>
      <w:r>
        <w:rPr>
          <w:rFonts w:eastAsiaTheme="minorEastAsia"/>
          <w:color w:val="auto"/>
        </w:rPr>
        <w:fldChar w:fldCharType="begin"/>
      </w:r>
      <w:r>
        <w:rPr>
          <w:rFonts w:eastAsiaTheme="minorEastAsia"/>
          <w:color w:val="auto"/>
        </w:rPr>
        <w:instrText xml:space="preserve"> = 2 \* GB3 </w:instrText>
      </w:r>
      <w:r>
        <w:rPr>
          <w:rFonts w:eastAsiaTheme="minorEastAsia"/>
          <w:color w:val="auto"/>
        </w:rPr>
        <w:fldChar w:fldCharType="separate"/>
      </w:r>
      <w:r>
        <w:rPr>
          <w:rFonts w:hint="eastAsia" w:ascii="宋体" w:hAnsi="宋体" w:cs="宋体"/>
          <w:color w:val="auto"/>
        </w:rPr>
        <w:t>②</w:t>
      </w:r>
      <w:r>
        <w:rPr>
          <w:rFonts w:eastAsiaTheme="minorEastAsia"/>
          <w:color w:val="auto"/>
        </w:rPr>
        <w:fldChar w:fldCharType="end"/>
      </w:r>
      <w:r>
        <w:rPr>
          <w:rFonts w:eastAsiaTheme="minorEastAsia"/>
          <w:color w:val="auto"/>
        </w:rPr>
        <w:t xml:space="preserve">爆破过程废气 </w:t>
      </w:r>
    </w:p>
    <w:p>
      <w:pPr>
        <w:pStyle w:val="276"/>
        <w:jc w:val="both"/>
        <w:rPr>
          <w:rFonts w:eastAsiaTheme="minorEastAsia"/>
          <w:color w:val="auto"/>
        </w:rPr>
      </w:pPr>
      <w:r>
        <w:rPr>
          <w:rFonts w:eastAsiaTheme="minorEastAsia"/>
          <w:color w:val="auto"/>
        </w:rPr>
        <w:t>爆破瞬间有大量的粉尘产生，其产生量与爆破方法、爆破技术、炸药种类、炸药量、矿岩理化性质等众多因素有关，爆破作业后一般要通风3～4小时，再进行采矿等作业。根据国家环保总局环境影响评价工程师执业资格登记管理办公室《建材火电教材》（2006年8月），每次爆破相应产尘量约25g/（m</w:t>
      </w:r>
      <w:r>
        <w:rPr>
          <w:rFonts w:eastAsiaTheme="minorEastAsia"/>
          <w:color w:val="auto"/>
          <w:vertAlign w:val="superscript"/>
        </w:rPr>
        <w:t>3</w:t>
      </w:r>
      <w:r>
        <w:rPr>
          <w:rFonts w:eastAsiaTheme="minorEastAsia"/>
          <w:color w:val="auto"/>
        </w:rPr>
        <w:t>石），本项目碎石开采加工的量为</w:t>
      </w:r>
      <w:r>
        <w:rPr>
          <w:rFonts w:hint="eastAsia" w:eastAsiaTheme="minorEastAsia"/>
          <w:color w:val="auto"/>
          <w:lang w:val="en-US" w:eastAsia="zh-CN"/>
        </w:rPr>
        <w:t>3</w:t>
      </w:r>
      <w:r>
        <w:rPr>
          <w:rFonts w:eastAsiaTheme="minorEastAsia"/>
          <w:color w:val="auto"/>
        </w:rPr>
        <w:t>×10</w:t>
      </w:r>
      <w:r>
        <w:rPr>
          <w:rFonts w:eastAsiaTheme="minorEastAsia"/>
          <w:color w:val="auto"/>
          <w:vertAlign w:val="superscript"/>
        </w:rPr>
        <w:t>4</w:t>
      </w:r>
      <w:r>
        <w:rPr>
          <w:rFonts w:eastAsiaTheme="minorEastAsia"/>
          <w:color w:val="auto"/>
        </w:rPr>
        <w:t>m</w:t>
      </w:r>
      <w:r>
        <w:rPr>
          <w:rFonts w:eastAsiaTheme="minorEastAsia"/>
          <w:color w:val="auto"/>
          <w:vertAlign w:val="superscript"/>
        </w:rPr>
        <w:t>3</w:t>
      </w:r>
      <w:r>
        <w:rPr>
          <w:rFonts w:eastAsiaTheme="minorEastAsia"/>
          <w:color w:val="auto"/>
        </w:rPr>
        <w:t>/a，因此本项目爆破过程产生的粉尘的量为0.</w:t>
      </w:r>
      <w:r>
        <w:rPr>
          <w:rFonts w:hint="eastAsia" w:eastAsiaTheme="minorEastAsia"/>
          <w:color w:val="auto"/>
          <w:lang w:val="en-US" w:eastAsia="zh-CN"/>
        </w:rPr>
        <w:t>75</w:t>
      </w:r>
      <w:r>
        <w:rPr>
          <w:rFonts w:eastAsiaTheme="minorEastAsia"/>
          <w:color w:val="auto"/>
        </w:rPr>
        <w:t>t/a，本项目采用中深孔爆破，爆破前通过水封爆破抑尘措施可使粉尘排放量降低80%，因此爆破排放的粉尘量为0.</w:t>
      </w:r>
      <w:r>
        <w:rPr>
          <w:rFonts w:hint="eastAsia" w:eastAsiaTheme="minorEastAsia"/>
          <w:color w:val="auto"/>
          <w:lang w:val="en-US" w:eastAsia="zh-CN"/>
        </w:rPr>
        <w:t>15</w:t>
      </w:r>
      <w:r>
        <w:rPr>
          <w:rFonts w:eastAsiaTheme="minorEastAsia"/>
          <w:color w:val="auto"/>
        </w:rPr>
        <w:t>t/a。</w:t>
      </w:r>
    </w:p>
    <w:p>
      <w:pPr>
        <w:pStyle w:val="276"/>
        <w:jc w:val="both"/>
        <w:rPr>
          <w:rFonts w:eastAsiaTheme="minorEastAsia"/>
          <w:color w:val="auto"/>
        </w:rPr>
      </w:pPr>
      <w:r>
        <w:rPr>
          <w:rFonts w:eastAsiaTheme="minorEastAsia"/>
          <w:color w:val="auto"/>
        </w:rPr>
        <w:fldChar w:fldCharType="begin"/>
      </w:r>
      <w:r>
        <w:rPr>
          <w:rFonts w:eastAsiaTheme="minorEastAsia"/>
          <w:color w:val="auto"/>
        </w:rPr>
        <w:instrText xml:space="preserve"> = 3 \* GB3 </w:instrText>
      </w:r>
      <w:r>
        <w:rPr>
          <w:rFonts w:eastAsiaTheme="minorEastAsia"/>
          <w:color w:val="auto"/>
        </w:rPr>
        <w:fldChar w:fldCharType="separate"/>
      </w:r>
      <w:r>
        <w:rPr>
          <w:rFonts w:hint="eastAsia" w:ascii="宋体" w:hAnsi="宋体" w:cs="宋体"/>
          <w:color w:val="auto"/>
        </w:rPr>
        <w:t>③</w:t>
      </w:r>
      <w:r>
        <w:rPr>
          <w:rFonts w:eastAsiaTheme="minorEastAsia"/>
          <w:color w:val="auto"/>
        </w:rPr>
        <w:fldChar w:fldCharType="end"/>
      </w:r>
      <w:r>
        <w:rPr>
          <w:rFonts w:eastAsiaTheme="minorEastAsia"/>
          <w:color w:val="auto"/>
        </w:rPr>
        <w:t>集堆、铲装粉尘</w:t>
      </w:r>
    </w:p>
    <w:p>
      <w:pPr>
        <w:pStyle w:val="276"/>
        <w:jc w:val="both"/>
        <w:rPr>
          <w:rFonts w:eastAsiaTheme="minorEastAsia"/>
          <w:color w:val="auto"/>
        </w:rPr>
      </w:pPr>
      <w:r>
        <w:rPr>
          <w:rFonts w:eastAsiaTheme="minorEastAsia"/>
          <w:color w:val="auto"/>
        </w:rPr>
        <w:t>集堆、铲装粉尘产生情况采用交通水运研究所武汉水运工程学院提出的装车粉尘经验公式估算，经验公式为：</w:t>
      </w:r>
    </w:p>
    <w:p>
      <w:pPr>
        <w:spacing w:line="240" w:lineRule="auto"/>
        <w:ind w:firstLine="480" w:firstLineChars="200"/>
        <w:jc w:val="center"/>
        <w:rPr>
          <w:rFonts w:eastAsiaTheme="minorEastAsia"/>
          <w:color w:val="auto"/>
        </w:rPr>
      </w:pPr>
      <w:r>
        <w:rPr>
          <w:rFonts w:eastAsiaTheme="minorEastAsia"/>
          <w:color w:val="auto"/>
          <w:position w:val="-24"/>
        </w:rPr>
        <w:object>
          <v:shape id="_x0000_i1028" o:spt="75" type="#_x0000_t75" style="height:28.5pt;width:122.25pt;" o:ole="t" filled="f" o:preferrelative="t" stroked="f" coordsize="21600,21600">
            <v:path/>
            <v:fill on="f" focussize="0,0"/>
            <v:stroke on="f"/>
            <v:imagedata r:id="rId17" o:title=""/>
            <o:lock v:ext="edit" aspectratio="t"/>
            <w10:wrap type="none"/>
            <w10:anchorlock/>
          </v:shape>
          <o:OLEObject Type="Embed" ProgID="Equation.KSEE3" ShapeID="_x0000_i1028" DrawAspect="Content" ObjectID="_1468075728" r:id="rId16">
            <o:LockedField>false</o:LockedField>
          </o:OLEObject>
        </w:object>
      </w:r>
    </w:p>
    <w:p>
      <w:pPr>
        <w:pStyle w:val="276"/>
        <w:adjustRightInd w:val="0"/>
        <w:snapToGrid w:val="0"/>
        <w:rPr>
          <w:rFonts w:eastAsiaTheme="minorEastAsia"/>
          <w:color w:val="auto"/>
        </w:rPr>
      </w:pPr>
      <w:r>
        <w:rPr>
          <w:rFonts w:eastAsiaTheme="minorEastAsia"/>
          <w:color w:val="auto"/>
        </w:rPr>
        <w:t>式中：Q——物料装车时机械落差起尘量，kg/s；</w:t>
      </w:r>
    </w:p>
    <w:p>
      <w:pPr>
        <w:pStyle w:val="276"/>
        <w:adjustRightInd w:val="0"/>
        <w:snapToGrid w:val="0"/>
        <w:rPr>
          <w:rFonts w:eastAsiaTheme="minorEastAsia"/>
          <w:color w:val="auto"/>
        </w:rPr>
      </w:pPr>
      <w:r>
        <w:rPr>
          <w:rFonts w:eastAsiaTheme="minorEastAsia"/>
          <w:color w:val="auto"/>
        </w:rPr>
        <w:t xml:space="preserve">      H——物料落差，m；装载车与自卸车车厢间距，取0.5m；</w:t>
      </w:r>
    </w:p>
    <w:p>
      <w:pPr>
        <w:pStyle w:val="276"/>
        <w:adjustRightInd w:val="0"/>
        <w:snapToGrid w:val="0"/>
        <w:rPr>
          <w:rFonts w:eastAsiaTheme="minorEastAsia"/>
          <w:color w:val="auto"/>
        </w:rPr>
      </w:pPr>
      <w:r>
        <w:rPr>
          <w:rFonts w:eastAsiaTheme="minorEastAsia"/>
          <w:color w:val="auto"/>
        </w:rPr>
        <w:t xml:space="preserve">      u——平均风速，</w:t>
      </w:r>
      <w:r>
        <w:rPr>
          <w:rFonts w:hint="eastAsia" w:eastAsiaTheme="minorEastAsia"/>
          <w:color w:val="auto"/>
          <w:lang w:val="en-US" w:eastAsia="zh-CN"/>
        </w:rPr>
        <w:t>3.3</w:t>
      </w:r>
      <w:r>
        <w:rPr>
          <w:rFonts w:eastAsiaTheme="minorEastAsia"/>
          <w:color w:val="auto"/>
        </w:rPr>
        <w:t>m/s；</w:t>
      </w:r>
    </w:p>
    <w:p>
      <w:pPr>
        <w:pStyle w:val="276"/>
        <w:adjustRightInd w:val="0"/>
        <w:snapToGrid w:val="0"/>
        <w:rPr>
          <w:rFonts w:eastAsiaTheme="minorEastAsia"/>
          <w:color w:val="auto"/>
        </w:rPr>
      </w:pPr>
      <w:r>
        <w:rPr>
          <w:rFonts w:eastAsiaTheme="minorEastAsia"/>
          <w:color w:val="auto"/>
        </w:rPr>
        <w:t xml:space="preserve">      ω——物料含水率，%；取1.5%；</w:t>
      </w:r>
    </w:p>
    <w:p>
      <w:pPr>
        <w:pStyle w:val="276"/>
        <w:adjustRightInd w:val="0"/>
        <w:snapToGrid w:val="0"/>
        <w:ind w:firstLine="1200" w:firstLineChars="500"/>
        <w:rPr>
          <w:rFonts w:eastAsiaTheme="minorEastAsia"/>
          <w:color w:val="auto"/>
        </w:rPr>
      </w:pPr>
      <w:r>
        <w:rPr>
          <w:rFonts w:eastAsiaTheme="minorEastAsia"/>
          <w:color w:val="auto"/>
        </w:rPr>
        <w:t>t——物料装车所需时间，t/s；装载车每铲容量为5t，每铲物料下落时间为1s，则物料装车所需时间为5t/s。</w:t>
      </w:r>
    </w:p>
    <w:p>
      <w:pPr>
        <w:pStyle w:val="276"/>
        <w:ind w:firstLine="600" w:firstLineChars="250"/>
        <w:rPr>
          <w:rFonts w:eastAsiaTheme="minorEastAsia"/>
          <w:color w:val="auto"/>
        </w:rPr>
      </w:pPr>
      <w:r>
        <w:rPr>
          <w:rFonts w:eastAsiaTheme="minorEastAsia"/>
          <w:color w:val="auto"/>
        </w:rPr>
        <w:t>装载机每铲容量为5t，每铲物料下落时间为1s，项目每天装运</w:t>
      </w:r>
      <w:r>
        <w:rPr>
          <w:rFonts w:hint="eastAsia" w:eastAsiaTheme="minorEastAsia"/>
          <w:color w:val="auto"/>
          <w:lang w:val="en-US" w:eastAsia="zh-CN"/>
        </w:rPr>
        <w:t>332.5</w:t>
      </w:r>
      <w:r>
        <w:rPr>
          <w:rFonts w:eastAsiaTheme="minorEastAsia"/>
          <w:color w:val="auto"/>
        </w:rPr>
        <w:t>t物料，相当于物料下落总时间为每天</w:t>
      </w:r>
      <w:r>
        <w:rPr>
          <w:rFonts w:hint="eastAsia" w:eastAsiaTheme="minorEastAsia"/>
          <w:color w:val="auto"/>
          <w:lang w:val="en-US" w:eastAsia="zh-CN"/>
        </w:rPr>
        <w:t>66.5</w:t>
      </w:r>
      <w:r>
        <w:rPr>
          <w:rFonts w:eastAsiaTheme="minorEastAsia"/>
          <w:color w:val="auto"/>
        </w:rPr>
        <w:t>s，全年工作</w:t>
      </w:r>
      <w:r>
        <w:rPr>
          <w:rFonts w:hint="eastAsia" w:eastAsiaTheme="minorEastAsia"/>
          <w:color w:val="auto"/>
          <w:lang w:eastAsia="zh-CN"/>
        </w:rPr>
        <w:t>240天</w:t>
      </w:r>
      <w:r>
        <w:rPr>
          <w:rFonts w:eastAsiaTheme="minorEastAsia"/>
          <w:color w:val="auto"/>
        </w:rPr>
        <w:t>，经计算得出矿区铲装每年产生粉尘量为0.</w:t>
      </w:r>
      <w:r>
        <w:rPr>
          <w:rFonts w:hint="eastAsia" w:eastAsiaTheme="minorEastAsia"/>
          <w:color w:val="auto"/>
          <w:lang w:val="en-US" w:eastAsia="zh-CN"/>
        </w:rPr>
        <w:t>27</w:t>
      </w:r>
      <w:r>
        <w:rPr>
          <w:rFonts w:eastAsiaTheme="minorEastAsia"/>
          <w:color w:val="auto"/>
        </w:rPr>
        <w:t>t/a，通过洒水抑尘可使粉尘排放量降低80%，则集堆铲装排放的粉尘量为0.0</w:t>
      </w:r>
      <w:r>
        <w:rPr>
          <w:rFonts w:hint="eastAsia" w:eastAsiaTheme="minorEastAsia"/>
          <w:color w:val="auto"/>
          <w:lang w:val="en-US" w:eastAsia="zh-CN"/>
        </w:rPr>
        <w:t>5</w:t>
      </w:r>
      <w:r>
        <w:rPr>
          <w:rFonts w:eastAsiaTheme="minorEastAsia"/>
          <w:color w:val="auto"/>
        </w:rPr>
        <w:t>t/a。</w:t>
      </w:r>
    </w:p>
    <w:p>
      <w:pPr>
        <w:pStyle w:val="276"/>
        <w:rPr>
          <w:rFonts w:eastAsiaTheme="minorEastAsia"/>
          <w:color w:val="auto"/>
        </w:rPr>
      </w:pPr>
      <w:r>
        <w:rPr>
          <w:rFonts w:eastAsiaTheme="minorEastAsia"/>
          <w:color w:val="auto"/>
        </w:rPr>
        <w:fldChar w:fldCharType="begin"/>
      </w:r>
      <w:r>
        <w:rPr>
          <w:rFonts w:eastAsiaTheme="minorEastAsia"/>
          <w:color w:val="auto"/>
        </w:rPr>
        <w:instrText xml:space="preserve"> = 4 \* GB3 </w:instrText>
      </w:r>
      <w:r>
        <w:rPr>
          <w:rFonts w:eastAsiaTheme="minorEastAsia"/>
          <w:color w:val="auto"/>
        </w:rPr>
        <w:fldChar w:fldCharType="separate"/>
      </w:r>
      <w:r>
        <w:rPr>
          <w:rFonts w:hint="eastAsia" w:ascii="宋体" w:hAnsi="宋体" w:cs="宋体"/>
          <w:color w:val="auto"/>
        </w:rPr>
        <w:t>④</w:t>
      </w:r>
      <w:r>
        <w:rPr>
          <w:rFonts w:eastAsiaTheme="minorEastAsia"/>
          <w:color w:val="auto"/>
        </w:rPr>
        <w:fldChar w:fldCharType="end"/>
      </w:r>
      <w:r>
        <w:rPr>
          <w:rFonts w:hint="eastAsia" w:eastAsiaTheme="minorEastAsia"/>
          <w:color w:val="auto"/>
          <w:lang w:eastAsia="zh-CN"/>
        </w:rPr>
        <w:t>采场及工业场地</w:t>
      </w:r>
      <w:r>
        <w:rPr>
          <w:rFonts w:eastAsiaTheme="minorEastAsia"/>
          <w:color w:val="auto"/>
        </w:rPr>
        <w:t>运输过程扬尘</w:t>
      </w:r>
    </w:p>
    <w:p>
      <w:pPr>
        <w:pStyle w:val="276"/>
        <w:rPr>
          <w:rFonts w:eastAsiaTheme="minorEastAsia"/>
          <w:color w:val="auto"/>
        </w:rPr>
      </w:pPr>
      <w:r>
        <w:rPr>
          <w:rFonts w:eastAsiaTheme="minorEastAsia"/>
          <w:color w:val="auto"/>
        </w:rPr>
        <w:t>运输场地道路产生的粉尘按照经验公式计算：</w:t>
      </w:r>
    </w:p>
    <w:p>
      <w:pPr>
        <w:pStyle w:val="276"/>
        <w:rPr>
          <w:rFonts w:eastAsiaTheme="minorEastAsia"/>
          <w:color w:val="auto"/>
          <w:vertAlign w:val="superscript"/>
        </w:rPr>
      </w:pPr>
      <w:r>
        <w:rPr>
          <w:rFonts w:eastAsiaTheme="minorEastAsia"/>
          <w:color w:val="auto"/>
        </w:rPr>
        <w:t>Q=0.123（V/5）（W/6.8）</w:t>
      </w:r>
      <w:r>
        <w:rPr>
          <w:rFonts w:eastAsiaTheme="minorEastAsia"/>
          <w:color w:val="auto"/>
          <w:vertAlign w:val="superscript"/>
        </w:rPr>
        <w:t>0.85</w:t>
      </w:r>
      <w:r>
        <w:rPr>
          <w:rFonts w:eastAsiaTheme="minorEastAsia"/>
          <w:color w:val="auto"/>
        </w:rPr>
        <w:t>（P/0.5）</w:t>
      </w:r>
      <w:r>
        <w:rPr>
          <w:rFonts w:eastAsiaTheme="minorEastAsia"/>
          <w:color w:val="auto"/>
          <w:vertAlign w:val="superscript"/>
        </w:rPr>
        <w:t>0.75</w:t>
      </w:r>
    </w:p>
    <w:p>
      <w:pPr>
        <w:pStyle w:val="276"/>
        <w:ind w:left="1200" w:leftChars="200" w:hanging="720" w:hangingChars="300"/>
        <w:rPr>
          <w:rFonts w:eastAsiaTheme="minorEastAsia"/>
          <w:color w:val="auto"/>
        </w:rPr>
      </w:pPr>
      <w:r>
        <w:rPr>
          <w:rFonts w:eastAsiaTheme="minorEastAsia"/>
          <w:color w:val="auto"/>
        </w:rPr>
        <w:t>式中：Q—汽车行驶的扬尘，kg/ km·辆；</w:t>
      </w:r>
      <w:r>
        <w:rPr>
          <w:rFonts w:eastAsiaTheme="minorEastAsia"/>
          <w:color w:val="auto"/>
        </w:rPr>
        <w:br w:type="textWrapping"/>
      </w:r>
      <w:r>
        <w:rPr>
          <w:rFonts w:eastAsiaTheme="minorEastAsia"/>
          <w:color w:val="auto"/>
        </w:rPr>
        <w:t>V—汽车速度，km/h，本项目为15km/h；</w:t>
      </w:r>
      <w:r>
        <w:rPr>
          <w:rFonts w:eastAsiaTheme="minorEastAsia"/>
          <w:color w:val="auto"/>
        </w:rPr>
        <w:br w:type="textWrapping"/>
      </w:r>
      <w:r>
        <w:rPr>
          <w:rFonts w:eastAsiaTheme="minorEastAsia"/>
          <w:color w:val="auto"/>
        </w:rPr>
        <w:t>W—汽车载重量，吨，本项目采用32t载重汽车；</w:t>
      </w:r>
      <w:r>
        <w:rPr>
          <w:rFonts w:eastAsiaTheme="minorEastAsia"/>
          <w:color w:val="auto"/>
        </w:rPr>
        <w:br w:type="textWrapping"/>
      </w:r>
      <w:r>
        <w:rPr>
          <w:rFonts w:eastAsiaTheme="minorEastAsia"/>
          <w:color w:val="auto"/>
        </w:rPr>
        <w:t>P—道路表面粉尘量，kg/m</w:t>
      </w:r>
      <w:r>
        <w:rPr>
          <w:rFonts w:eastAsiaTheme="minorEastAsia"/>
          <w:color w:val="auto"/>
          <w:vertAlign w:val="superscript"/>
        </w:rPr>
        <w:t>2</w:t>
      </w:r>
      <w:r>
        <w:rPr>
          <w:rFonts w:eastAsiaTheme="minorEastAsia"/>
          <w:color w:val="auto"/>
        </w:rPr>
        <w:t>，本项目按0.5kg/m</w:t>
      </w:r>
      <w:r>
        <w:rPr>
          <w:rFonts w:eastAsiaTheme="minorEastAsia"/>
          <w:color w:val="auto"/>
          <w:vertAlign w:val="superscript"/>
        </w:rPr>
        <w:t>2</w:t>
      </w:r>
      <w:r>
        <w:rPr>
          <w:rFonts w:eastAsiaTheme="minorEastAsia"/>
          <w:color w:val="auto"/>
        </w:rPr>
        <w:t>计</w:t>
      </w:r>
    </w:p>
    <w:p>
      <w:pPr>
        <w:pStyle w:val="276"/>
        <w:jc w:val="both"/>
        <w:rPr>
          <w:rFonts w:eastAsiaTheme="minorEastAsia"/>
          <w:color w:val="auto"/>
        </w:rPr>
      </w:pPr>
      <w:r>
        <w:rPr>
          <w:rFonts w:eastAsiaTheme="minorEastAsia"/>
          <w:color w:val="auto"/>
        </w:rPr>
        <w:t>经计算，汽车形式扬尘产生源强为1.38kg/km·辆，矿区运输次数约为3125次/a，本项目</w:t>
      </w:r>
      <w:r>
        <w:rPr>
          <w:rFonts w:hint="eastAsia" w:eastAsiaTheme="minorEastAsia"/>
          <w:color w:val="auto"/>
          <w:lang w:eastAsia="zh-CN"/>
        </w:rPr>
        <w:t>采场</w:t>
      </w:r>
      <w:r>
        <w:rPr>
          <w:rFonts w:eastAsiaTheme="minorEastAsia"/>
          <w:color w:val="auto"/>
        </w:rPr>
        <w:t>道路长约为</w:t>
      </w:r>
      <w:r>
        <w:rPr>
          <w:rFonts w:hint="eastAsia" w:eastAsiaTheme="minorEastAsia"/>
          <w:color w:val="auto"/>
          <w:lang w:val="en-US" w:eastAsia="zh-CN"/>
        </w:rPr>
        <w:t>0.26</w:t>
      </w:r>
      <w:r>
        <w:rPr>
          <w:rFonts w:eastAsiaTheme="minorEastAsia"/>
          <w:color w:val="auto"/>
        </w:rPr>
        <w:t>km，产生道路扬尘</w:t>
      </w:r>
      <w:r>
        <w:rPr>
          <w:rFonts w:hint="eastAsia" w:eastAsiaTheme="minorEastAsia"/>
          <w:color w:val="auto"/>
          <w:lang w:val="en-US" w:eastAsia="zh-CN"/>
        </w:rPr>
        <w:t>1.12</w:t>
      </w:r>
      <w:r>
        <w:rPr>
          <w:rFonts w:eastAsiaTheme="minorEastAsia"/>
          <w:color w:val="auto"/>
        </w:rPr>
        <w:t>t/a</w:t>
      </w:r>
      <w:r>
        <w:rPr>
          <w:rFonts w:hint="eastAsia" w:eastAsiaTheme="minorEastAsia"/>
          <w:color w:val="auto"/>
          <w:lang w:eastAsia="zh-CN"/>
        </w:rPr>
        <w:t>；工业场地</w:t>
      </w:r>
      <w:r>
        <w:rPr>
          <w:rFonts w:eastAsiaTheme="minorEastAsia"/>
          <w:color w:val="auto"/>
        </w:rPr>
        <w:t>道路长约为</w:t>
      </w:r>
      <w:r>
        <w:rPr>
          <w:rFonts w:hint="eastAsia" w:eastAsiaTheme="minorEastAsia"/>
          <w:color w:val="auto"/>
          <w:lang w:val="en-US" w:eastAsia="zh-CN"/>
        </w:rPr>
        <w:t>0.12</w:t>
      </w:r>
      <w:r>
        <w:rPr>
          <w:rFonts w:eastAsiaTheme="minorEastAsia"/>
          <w:color w:val="auto"/>
        </w:rPr>
        <w:t>km，产生道路扬尘</w:t>
      </w:r>
      <w:r>
        <w:rPr>
          <w:rFonts w:hint="eastAsia" w:eastAsiaTheme="minorEastAsia"/>
          <w:color w:val="auto"/>
          <w:lang w:val="en-US" w:eastAsia="zh-CN"/>
        </w:rPr>
        <w:t>0.52</w:t>
      </w:r>
      <w:r>
        <w:rPr>
          <w:rFonts w:eastAsiaTheme="minorEastAsia"/>
          <w:color w:val="auto"/>
        </w:rPr>
        <w:t>t/a。通过洒水车向地面洒水抑尘、运输车辆加盖苫布、限速行驶等措施，可使粉尘排放量降低80%，因此</w:t>
      </w:r>
      <w:r>
        <w:rPr>
          <w:rFonts w:hint="eastAsia" w:eastAsiaTheme="minorEastAsia"/>
          <w:color w:val="auto"/>
          <w:lang w:eastAsia="zh-CN"/>
        </w:rPr>
        <w:t>采场</w:t>
      </w:r>
      <w:r>
        <w:rPr>
          <w:rFonts w:eastAsiaTheme="minorEastAsia"/>
          <w:color w:val="auto"/>
        </w:rPr>
        <w:t>运输过程中无组织排放的粉尘量为</w:t>
      </w:r>
      <w:r>
        <w:rPr>
          <w:rFonts w:hint="eastAsia" w:eastAsiaTheme="minorEastAsia"/>
          <w:color w:val="auto"/>
          <w:lang w:val="en-US" w:eastAsia="zh-CN"/>
        </w:rPr>
        <w:t>0.22</w:t>
      </w:r>
      <w:r>
        <w:rPr>
          <w:rFonts w:eastAsiaTheme="minorEastAsia"/>
          <w:color w:val="auto"/>
        </w:rPr>
        <w:t>t/a</w:t>
      </w:r>
      <w:r>
        <w:rPr>
          <w:rFonts w:hint="eastAsia" w:eastAsiaTheme="minorEastAsia"/>
          <w:color w:val="auto"/>
          <w:lang w:eastAsia="zh-CN"/>
        </w:rPr>
        <w:t>，工业场地道路</w:t>
      </w:r>
      <w:r>
        <w:rPr>
          <w:rFonts w:eastAsiaTheme="minorEastAsia"/>
          <w:color w:val="auto"/>
        </w:rPr>
        <w:t>运输过程中无组织排放的粉尘量为</w:t>
      </w:r>
      <w:r>
        <w:rPr>
          <w:rFonts w:hint="eastAsia" w:eastAsiaTheme="minorEastAsia"/>
          <w:color w:val="auto"/>
          <w:lang w:val="en-US" w:eastAsia="zh-CN"/>
        </w:rPr>
        <w:t>0.10</w:t>
      </w:r>
      <w:r>
        <w:rPr>
          <w:rFonts w:eastAsiaTheme="minorEastAsia"/>
          <w:color w:val="auto"/>
        </w:rPr>
        <w:t>t/a。</w:t>
      </w:r>
    </w:p>
    <w:p>
      <w:pPr>
        <w:pStyle w:val="276"/>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eastAsiaTheme="minorEastAsia"/>
          <w:color w:val="auto"/>
          <w:lang w:val="en-US" w:eastAsia="zh-CN"/>
        </w:rPr>
      </w:pPr>
      <w:r>
        <w:rPr>
          <w:rFonts w:hint="eastAsia" w:eastAsiaTheme="minorEastAsia"/>
          <w:color w:val="auto"/>
          <w:lang w:eastAsia="zh-CN"/>
        </w:rPr>
        <w:t>④</w:t>
      </w:r>
      <w:r>
        <w:rPr>
          <w:rFonts w:eastAsiaTheme="minorEastAsia"/>
          <w:color w:val="auto"/>
        </w:rPr>
        <w:t>破碎筛分过程会有大量粉尘产生，本项目破碎筛分设备的粉尘源强类比</w:t>
      </w:r>
      <w:r>
        <w:rPr>
          <w:rFonts w:hint="eastAsia" w:eastAsiaTheme="minorEastAsia"/>
          <w:color w:val="auto"/>
          <w:lang w:eastAsia="zh-CN"/>
        </w:rPr>
        <w:t>《</w:t>
      </w:r>
      <w:r>
        <w:rPr>
          <w:rFonts w:hint="eastAsia" w:eastAsiaTheme="minorEastAsia"/>
          <w:color w:val="auto"/>
        </w:rPr>
        <w:t>哈尔滨市阿城区兴泉采石有限公司30</w:t>
      </w:r>
      <w:r>
        <w:rPr>
          <w:rFonts w:hint="eastAsia" w:eastAsiaTheme="minorEastAsia"/>
          <w:color w:val="auto"/>
          <w:lang w:eastAsia="zh-CN"/>
        </w:rPr>
        <w:t>万</w:t>
      </w:r>
      <w:r>
        <w:rPr>
          <w:rFonts w:hint="eastAsia" w:eastAsiaTheme="minorEastAsia"/>
          <w:color w:val="auto"/>
        </w:rPr>
        <w:t>立方米/年碎石开采加工项目竣工环境保护验收调查报告》</w:t>
      </w:r>
      <w:r>
        <w:rPr>
          <w:rFonts w:hint="eastAsia" w:eastAsiaTheme="minorEastAsia"/>
          <w:color w:val="auto"/>
          <w:lang w:eastAsia="zh-CN"/>
        </w:rPr>
        <w:t>中的监测数据</w:t>
      </w:r>
      <w:r>
        <w:rPr>
          <w:rFonts w:hint="eastAsia" w:eastAsiaTheme="minorEastAsia"/>
          <w:color w:val="auto"/>
        </w:rPr>
        <w:t>，运行工况为100%满负荷运行，</w:t>
      </w:r>
      <w:r>
        <w:rPr>
          <w:rFonts w:hint="eastAsia" w:eastAsiaTheme="minorEastAsia"/>
          <w:color w:val="auto"/>
          <w:lang w:eastAsia="zh-CN"/>
        </w:rPr>
        <w:t>开采建筑用碎石</w:t>
      </w:r>
      <w:r>
        <w:rPr>
          <w:rFonts w:hint="eastAsia" w:eastAsiaTheme="minorEastAsia"/>
          <w:color w:val="auto"/>
          <w:lang w:val="en-US" w:eastAsia="zh-CN"/>
        </w:rPr>
        <w:t>456.25m</w:t>
      </w:r>
      <w:r>
        <w:rPr>
          <w:rFonts w:hint="eastAsia" w:eastAsiaTheme="minorEastAsia"/>
          <w:color w:val="auto"/>
          <w:vertAlign w:val="superscript"/>
          <w:lang w:val="en-US" w:eastAsia="zh-CN"/>
        </w:rPr>
        <w:t>3</w:t>
      </w:r>
      <w:r>
        <w:rPr>
          <w:rFonts w:hint="eastAsia" w:eastAsiaTheme="minorEastAsia"/>
          <w:color w:val="auto"/>
          <w:lang w:val="en-US" w:eastAsia="zh-CN"/>
        </w:rPr>
        <w:t>/h</w:t>
      </w:r>
      <w:r>
        <w:rPr>
          <w:rFonts w:hint="eastAsia" w:eastAsiaTheme="minorEastAsia"/>
          <w:color w:val="auto"/>
          <w:lang w:eastAsia="zh-CN"/>
        </w:rPr>
        <w:t>，破碎及筛分工艺采用布袋除尘器，原有工程开采建筑用碎石</w:t>
      </w:r>
      <w:r>
        <w:rPr>
          <w:rFonts w:hint="eastAsia" w:eastAsiaTheme="minorEastAsia"/>
          <w:color w:val="auto"/>
          <w:lang w:val="en-US" w:eastAsia="zh-CN"/>
        </w:rPr>
        <w:t>11.36m</w:t>
      </w:r>
      <w:r>
        <w:rPr>
          <w:rFonts w:hint="eastAsia" w:eastAsiaTheme="minorEastAsia"/>
          <w:color w:val="auto"/>
          <w:vertAlign w:val="superscript"/>
          <w:lang w:val="en-US" w:eastAsia="zh-CN"/>
        </w:rPr>
        <w:t>3</w:t>
      </w:r>
      <w:r>
        <w:rPr>
          <w:rFonts w:hint="eastAsia" w:eastAsiaTheme="minorEastAsia"/>
          <w:color w:val="auto"/>
          <w:lang w:val="en-US" w:eastAsia="zh-CN"/>
        </w:rPr>
        <w:t>/h</w:t>
      </w:r>
      <w:r>
        <w:rPr>
          <w:rFonts w:hint="eastAsia" w:eastAsiaTheme="minorEastAsia"/>
          <w:color w:val="auto"/>
          <w:lang w:eastAsia="zh-CN"/>
        </w:rPr>
        <w:t>，生产工艺与类比项目相同，生产设备相近，类比其污染物产生量，粗碎、细碎、筛分粉尘产生量分别为</w:t>
      </w:r>
      <w:r>
        <w:rPr>
          <w:rFonts w:hint="eastAsia" w:eastAsiaTheme="minorEastAsia"/>
          <w:color w:val="auto"/>
          <w:lang w:val="en-US" w:eastAsia="zh-CN"/>
        </w:rPr>
        <w:t>4.65t/a、4.78t/a、4.88t/a。</w:t>
      </w:r>
      <w:r>
        <w:rPr>
          <w:rFonts w:hint="eastAsia" w:eastAsiaTheme="minorEastAsia"/>
          <w:color w:val="auto"/>
          <w:lang w:eastAsia="zh-CN"/>
        </w:rPr>
        <w:t>原有工程只有细碎工序安装了布袋除尘器（除尘效率按</w:t>
      </w:r>
      <w:r>
        <w:rPr>
          <w:rFonts w:hint="eastAsia" w:eastAsiaTheme="minorEastAsia"/>
          <w:color w:val="auto"/>
          <w:lang w:val="en-US" w:eastAsia="zh-CN"/>
        </w:rPr>
        <w:t>99%计</w:t>
      </w:r>
      <w:r>
        <w:rPr>
          <w:rFonts w:hint="eastAsia" w:eastAsiaTheme="minorEastAsia"/>
          <w:color w:val="auto"/>
          <w:lang w:eastAsia="zh-CN"/>
        </w:rPr>
        <w:t>），但无排气筒，破碎筛分工序无除尘器，因此，粗碎、细碎、筛分粉尘排放量分别为</w:t>
      </w:r>
      <w:r>
        <w:rPr>
          <w:rFonts w:hint="eastAsia" w:eastAsiaTheme="minorEastAsia"/>
          <w:color w:val="auto"/>
          <w:lang w:val="en-US" w:eastAsia="zh-CN"/>
        </w:rPr>
        <w:t>4.64t/a、0.05t/a、4.88t/a。</w:t>
      </w:r>
    </w:p>
    <w:p>
      <w:pPr>
        <w:pStyle w:val="299"/>
        <w:spacing w:line="500" w:lineRule="exact"/>
        <w:ind w:firstLine="480"/>
        <w:rPr>
          <w:rFonts w:eastAsiaTheme="minorEastAsia"/>
          <w:color w:val="auto"/>
        </w:rPr>
      </w:pPr>
      <w:r>
        <w:rPr>
          <w:rFonts w:hint="eastAsia" w:eastAsiaTheme="minorEastAsia"/>
          <w:color w:val="auto"/>
          <w:lang w:eastAsia="zh-CN"/>
        </w:rPr>
        <w:t>⑤</w:t>
      </w:r>
      <w:r>
        <w:rPr>
          <w:rFonts w:eastAsiaTheme="minorEastAsia"/>
          <w:color w:val="auto"/>
        </w:rPr>
        <w:t>原矿堆场</w:t>
      </w:r>
      <w:r>
        <w:rPr>
          <w:rFonts w:hint="eastAsia" w:eastAsiaTheme="minorEastAsia"/>
          <w:color w:val="auto"/>
          <w:lang w:eastAsia="zh-CN"/>
        </w:rPr>
        <w:t>、</w:t>
      </w:r>
      <w:r>
        <w:rPr>
          <w:rFonts w:eastAsiaTheme="minorEastAsia"/>
          <w:color w:val="auto"/>
        </w:rPr>
        <w:t>成品料场粉尘</w:t>
      </w:r>
    </w:p>
    <w:p>
      <w:pPr>
        <w:pStyle w:val="299"/>
        <w:spacing w:line="500" w:lineRule="exact"/>
        <w:ind w:firstLine="480"/>
        <w:rPr>
          <w:rFonts w:eastAsiaTheme="minorEastAsia"/>
          <w:color w:val="auto"/>
        </w:rPr>
      </w:pPr>
      <w:r>
        <w:rPr>
          <w:rFonts w:eastAsiaTheme="minorEastAsia"/>
          <w:color w:val="auto"/>
        </w:rPr>
        <w:t>粉尘计算公式参照临时堆土场，从矿山运来原矿石堆入原矿堆场，原矿堆场面积取500</w:t>
      </w:r>
      <w:r>
        <w:rPr>
          <w:rFonts w:eastAsiaTheme="minorEastAsia"/>
          <w:color w:val="auto"/>
          <w:szCs w:val="21"/>
        </w:rPr>
        <w:t xml:space="preserve"> m</w:t>
      </w:r>
      <w:r>
        <w:rPr>
          <w:rFonts w:eastAsiaTheme="minorEastAsia"/>
          <w:color w:val="auto"/>
          <w:szCs w:val="21"/>
          <w:vertAlign w:val="superscript"/>
        </w:rPr>
        <w:t>2</w:t>
      </w:r>
      <w:r>
        <w:rPr>
          <w:rFonts w:eastAsiaTheme="minorEastAsia"/>
          <w:color w:val="auto"/>
          <w:szCs w:val="21"/>
        </w:rPr>
        <w:t>。</w:t>
      </w:r>
      <w:r>
        <w:rPr>
          <w:rFonts w:eastAsiaTheme="minorEastAsia"/>
          <w:color w:val="auto"/>
        </w:rPr>
        <w:t>粉尘产生量为0.</w:t>
      </w:r>
      <w:r>
        <w:rPr>
          <w:rFonts w:hint="eastAsia" w:eastAsiaTheme="minorEastAsia"/>
          <w:color w:val="auto"/>
          <w:lang w:val="en-US" w:eastAsia="zh-CN"/>
        </w:rPr>
        <w:t>05</w:t>
      </w:r>
      <w:r>
        <w:rPr>
          <w:rFonts w:eastAsiaTheme="minorEastAsia"/>
          <w:color w:val="auto"/>
        </w:rPr>
        <w:t>t/a，通过在原矿堆场洒水抑尘，可使起尘量降低80%，成品料场产生的扬尘量为0.0</w:t>
      </w:r>
      <w:r>
        <w:rPr>
          <w:rFonts w:hint="eastAsia" w:eastAsiaTheme="minorEastAsia"/>
          <w:color w:val="auto"/>
          <w:lang w:val="en-US" w:eastAsia="zh-CN"/>
        </w:rPr>
        <w:t>1</w:t>
      </w:r>
      <w:r>
        <w:rPr>
          <w:rFonts w:eastAsiaTheme="minorEastAsia"/>
          <w:color w:val="auto"/>
        </w:rPr>
        <w:t>t/a。</w:t>
      </w:r>
    </w:p>
    <w:p>
      <w:pPr>
        <w:pStyle w:val="276"/>
        <w:adjustRightInd w:val="0"/>
        <w:snapToGrid w:val="0"/>
        <w:jc w:val="both"/>
        <w:rPr>
          <w:rFonts w:eastAsiaTheme="minorEastAsia"/>
          <w:color w:val="auto"/>
        </w:rPr>
      </w:pPr>
      <w:r>
        <w:rPr>
          <w:rFonts w:eastAsiaTheme="minorEastAsia"/>
          <w:color w:val="auto"/>
        </w:rPr>
        <w:t>成品堆场料堆面积取</w:t>
      </w:r>
      <w:r>
        <w:rPr>
          <w:rFonts w:hint="eastAsia" w:eastAsiaTheme="minorEastAsia"/>
          <w:color w:val="auto"/>
          <w:lang w:val="en-US" w:eastAsia="zh-CN"/>
        </w:rPr>
        <w:t>800</w:t>
      </w:r>
      <w:r>
        <w:rPr>
          <w:rFonts w:eastAsiaTheme="minorEastAsia"/>
          <w:color w:val="auto"/>
        </w:rPr>
        <w:t>m</w:t>
      </w:r>
      <w:r>
        <w:rPr>
          <w:rFonts w:eastAsiaTheme="minorEastAsia"/>
          <w:color w:val="auto"/>
          <w:vertAlign w:val="superscript"/>
        </w:rPr>
        <w:t>2</w:t>
      </w:r>
      <w:r>
        <w:rPr>
          <w:rFonts w:eastAsiaTheme="minorEastAsia"/>
          <w:color w:val="auto"/>
        </w:rPr>
        <w:t>，粉尘产生量为0.</w:t>
      </w:r>
      <w:r>
        <w:rPr>
          <w:rFonts w:hint="eastAsia" w:eastAsiaTheme="minorEastAsia"/>
          <w:color w:val="auto"/>
          <w:lang w:val="en-US" w:eastAsia="zh-CN"/>
        </w:rPr>
        <w:t>08</w:t>
      </w:r>
      <w:r>
        <w:rPr>
          <w:rFonts w:eastAsiaTheme="minorEastAsia"/>
          <w:color w:val="auto"/>
        </w:rPr>
        <w:t>t/a，通过在成品料场洒水抑尘，可使起尘量降低80%，成品料场排放粉尘量为0.</w:t>
      </w:r>
      <w:r>
        <w:rPr>
          <w:rFonts w:hint="eastAsia" w:eastAsiaTheme="minorEastAsia"/>
          <w:color w:val="auto"/>
          <w:lang w:val="en-US" w:eastAsia="zh-CN"/>
        </w:rPr>
        <w:t>02</w:t>
      </w:r>
      <w:r>
        <w:rPr>
          <w:rFonts w:eastAsiaTheme="minorEastAsia"/>
          <w:color w:val="auto"/>
        </w:rPr>
        <w:t>t/a。</w:t>
      </w:r>
    </w:p>
    <w:p>
      <w:pPr>
        <w:pStyle w:val="276"/>
        <w:rPr>
          <w:rFonts w:eastAsiaTheme="minorEastAsia"/>
          <w:color w:val="auto"/>
        </w:rPr>
      </w:pPr>
      <w:r>
        <w:rPr>
          <w:rFonts w:eastAsiaTheme="minorEastAsia"/>
          <w:color w:val="auto"/>
        </w:rPr>
        <w:fldChar w:fldCharType="begin"/>
      </w:r>
      <w:r>
        <w:rPr>
          <w:rFonts w:eastAsiaTheme="minorEastAsia"/>
          <w:color w:val="auto"/>
        </w:rPr>
        <w:instrText xml:space="preserve"> = 6 \* GB3 </w:instrText>
      </w:r>
      <w:r>
        <w:rPr>
          <w:rFonts w:eastAsiaTheme="minorEastAsia"/>
          <w:color w:val="auto"/>
        </w:rPr>
        <w:fldChar w:fldCharType="separate"/>
      </w:r>
      <w:r>
        <w:rPr>
          <w:rFonts w:hint="eastAsia" w:ascii="宋体" w:hAnsi="宋体" w:cs="宋体"/>
          <w:color w:val="auto"/>
        </w:rPr>
        <w:t>⑥</w:t>
      </w:r>
      <w:r>
        <w:rPr>
          <w:rFonts w:eastAsiaTheme="minorEastAsia"/>
          <w:color w:val="auto"/>
        </w:rPr>
        <w:fldChar w:fldCharType="end"/>
      </w:r>
      <w:r>
        <w:rPr>
          <w:rFonts w:eastAsiaTheme="minorEastAsia"/>
          <w:color w:val="auto"/>
        </w:rPr>
        <w:t>石粉</w:t>
      </w:r>
      <w:r>
        <w:rPr>
          <w:rFonts w:hint="eastAsia" w:eastAsiaTheme="minorEastAsia"/>
          <w:color w:val="auto"/>
          <w:lang w:eastAsia="zh-CN"/>
        </w:rPr>
        <w:t>堆放</w:t>
      </w:r>
      <w:r>
        <w:rPr>
          <w:rFonts w:eastAsiaTheme="minorEastAsia"/>
          <w:color w:val="auto"/>
        </w:rPr>
        <w:t>粉尘</w:t>
      </w:r>
    </w:p>
    <w:p>
      <w:pPr>
        <w:pStyle w:val="276"/>
        <w:rPr>
          <w:rFonts w:eastAsiaTheme="minorEastAsia"/>
          <w:color w:val="auto"/>
        </w:rPr>
      </w:pPr>
      <w:r>
        <w:rPr>
          <w:rFonts w:eastAsiaTheme="minorEastAsia"/>
          <w:color w:val="auto"/>
        </w:rPr>
        <w:t>厂区现堆存少量石粉，有简单遮挡</w:t>
      </w:r>
      <w:r>
        <w:rPr>
          <w:rFonts w:hint="eastAsia" w:eastAsiaTheme="minorEastAsia"/>
          <w:color w:val="auto"/>
          <w:lang w:eastAsia="zh-CN"/>
        </w:rPr>
        <w:t>，无封闭</w:t>
      </w:r>
      <w:r>
        <w:rPr>
          <w:rFonts w:eastAsiaTheme="minorEastAsia"/>
          <w:color w:val="auto"/>
        </w:rPr>
        <w:t>石粉仓</w:t>
      </w:r>
      <w:r>
        <w:rPr>
          <w:rFonts w:hint="eastAsia" w:eastAsiaTheme="minorEastAsia"/>
          <w:color w:val="auto"/>
          <w:lang w:eastAsia="zh-CN"/>
        </w:rPr>
        <w:t>，</w:t>
      </w:r>
      <w:r>
        <w:rPr>
          <w:rFonts w:eastAsiaTheme="minorEastAsia"/>
          <w:color w:val="auto"/>
        </w:rPr>
        <w:t>粉尘的产生量类比《逸散性工业粉尘控制技术》中水泥生产的逸散尘排放因子中，石膏、铁矿石、粘土、石灰石、砂、煤等原料的卸料，排放因子为0.2kg/t，</w:t>
      </w:r>
      <w:r>
        <w:rPr>
          <w:rFonts w:hint="eastAsia" w:eastAsiaTheme="minorEastAsia"/>
          <w:color w:val="auto"/>
          <w:lang w:eastAsia="zh-CN"/>
        </w:rPr>
        <w:t>原有工程</w:t>
      </w:r>
      <w:r>
        <w:rPr>
          <w:rFonts w:eastAsiaTheme="minorEastAsia"/>
          <w:color w:val="auto"/>
        </w:rPr>
        <w:t>石粉</w:t>
      </w:r>
      <w:r>
        <w:rPr>
          <w:rFonts w:hint="eastAsia" w:eastAsiaTheme="minorEastAsia"/>
          <w:color w:val="auto"/>
          <w:lang w:eastAsia="zh-CN"/>
        </w:rPr>
        <w:t>产生量</w:t>
      </w:r>
      <w:r>
        <w:rPr>
          <w:rFonts w:eastAsiaTheme="minorEastAsia"/>
          <w:color w:val="auto"/>
        </w:rPr>
        <w:t>为</w:t>
      </w:r>
      <w:r>
        <w:rPr>
          <w:rFonts w:hint="eastAsia" w:eastAsiaTheme="minorEastAsia"/>
          <w:color w:val="auto"/>
          <w:lang w:val="en-US" w:eastAsia="zh-CN"/>
        </w:rPr>
        <w:t>101</w:t>
      </w:r>
      <w:r>
        <w:rPr>
          <w:rFonts w:eastAsiaTheme="minorEastAsia"/>
          <w:color w:val="auto"/>
        </w:rPr>
        <w:t>t/a</w:t>
      </w:r>
      <w:r>
        <w:rPr>
          <w:rFonts w:hint="eastAsia" w:eastAsiaTheme="minorEastAsia"/>
          <w:color w:val="auto"/>
          <w:lang w:val="en-US" w:eastAsia="zh-CN"/>
        </w:rPr>
        <w:t>，布袋除尘器收集的粉尘2.5</w:t>
      </w:r>
      <w:r>
        <w:rPr>
          <w:rFonts w:eastAsiaTheme="minorEastAsia"/>
          <w:color w:val="auto"/>
        </w:rPr>
        <w:t>t/a</w:t>
      </w:r>
      <w:r>
        <w:rPr>
          <w:rFonts w:hint="eastAsia" w:eastAsiaTheme="minorEastAsia"/>
          <w:color w:val="auto"/>
          <w:lang w:val="en-US" w:eastAsia="zh-CN"/>
        </w:rPr>
        <w:t>，石粉合计103.9</w:t>
      </w:r>
      <w:r>
        <w:rPr>
          <w:rFonts w:eastAsiaTheme="minorEastAsia"/>
          <w:color w:val="auto"/>
        </w:rPr>
        <w:t>t/a，因此</w:t>
      </w:r>
      <w:r>
        <w:rPr>
          <w:rFonts w:hint="eastAsia" w:eastAsiaTheme="minorEastAsia"/>
          <w:color w:val="auto"/>
          <w:lang w:eastAsia="zh-CN"/>
        </w:rPr>
        <w:t>，</w:t>
      </w:r>
      <w:r>
        <w:rPr>
          <w:rFonts w:eastAsiaTheme="minorEastAsia"/>
          <w:color w:val="auto"/>
        </w:rPr>
        <w:t>产生的粉尘的量为0.</w:t>
      </w:r>
      <w:r>
        <w:rPr>
          <w:rFonts w:hint="eastAsia" w:eastAsiaTheme="minorEastAsia"/>
          <w:color w:val="auto"/>
          <w:lang w:val="en-US" w:eastAsia="zh-CN"/>
        </w:rPr>
        <w:t>02</w:t>
      </w:r>
      <w:r>
        <w:rPr>
          <w:rFonts w:eastAsiaTheme="minorEastAsia"/>
          <w:color w:val="auto"/>
        </w:rPr>
        <w:t>t/a。</w:t>
      </w:r>
    </w:p>
    <w:p>
      <w:pPr>
        <w:pStyle w:val="276"/>
        <w:rPr>
          <w:rFonts w:eastAsiaTheme="minorEastAsia"/>
          <w:color w:val="auto"/>
        </w:rPr>
      </w:pPr>
      <w:r>
        <w:rPr>
          <w:rFonts w:eastAsiaTheme="minorEastAsia"/>
          <w:color w:val="auto"/>
        </w:rPr>
        <w:t>（2）废水</w:t>
      </w:r>
    </w:p>
    <w:p>
      <w:pPr>
        <w:ind w:firstLine="480"/>
        <w:rPr>
          <w:rFonts w:eastAsiaTheme="minorEastAsia"/>
          <w:color w:val="auto"/>
        </w:rPr>
      </w:pPr>
      <w:r>
        <w:rPr>
          <w:rFonts w:eastAsiaTheme="minorEastAsia"/>
          <w:color w:val="auto"/>
        </w:rPr>
        <w:t>凿岩钻孔过程中，需要用水来为钻机降温及抑尘；另外爆破、集堆铲装过程及临时堆土场和运输道路，也需洒水抑尘。</w:t>
      </w:r>
      <w:r>
        <w:rPr>
          <w:rFonts w:hint="eastAsia" w:eastAsiaTheme="minorEastAsia"/>
          <w:color w:val="auto"/>
          <w:lang w:eastAsia="zh-CN"/>
        </w:rPr>
        <w:t>原有工程</w:t>
      </w:r>
      <w:r>
        <w:rPr>
          <w:rFonts w:eastAsiaTheme="minorEastAsia"/>
          <w:color w:val="auto"/>
        </w:rPr>
        <w:t>采剥钻孔抑尘用水为6m</w:t>
      </w:r>
      <w:r>
        <w:rPr>
          <w:rFonts w:eastAsiaTheme="minorEastAsia"/>
          <w:color w:val="auto"/>
          <w:vertAlign w:val="superscript"/>
        </w:rPr>
        <w:t>3</w:t>
      </w:r>
      <w:r>
        <w:rPr>
          <w:rFonts w:eastAsiaTheme="minorEastAsia"/>
          <w:color w:val="auto"/>
        </w:rPr>
        <w:t>/次，每年约为20次；爆破抑尘用水9m</w:t>
      </w:r>
      <w:r>
        <w:rPr>
          <w:rFonts w:eastAsiaTheme="minorEastAsia"/>
          <w:color w:val="auto"/>
          <w:vertAlign w:val="superscript"/>
        </w:rPr>
        <w:t>3</w:t>
      </w:r>
      <w:r>
        <w:rPr>
          <w:rFonts w:eastAsiaTheme="minorEastAsia"/>
          <w:color w:val="auto"/>
        </w:rPr>
        <w:t>/次，每年约为20次；</w:t>
      </w:r>
      <w:r>
        <w:rPr>
          <w:rFonts w:hint="eastAsia" w:eastAsiaTheme="minorEastAsia"/>
          <w:color w:val="auto"/>
          <w:lang w:eastAsia="zh-CN"/>
        </w:rPr>
        <w:t>各料场</w:t>
      </w:r>
      <w:r>
        <w:rPr>
          <w:rFonts w:eastAsiaTheme="minorEastAsia"/>
          <w:color w:val="auto"/>
        </w:rPr>
        <w:t>抑尘用水为1.5m</w:t>
      </w:r>
      <w:r>
        <w:rPr>
          <w:rFonts w:eastAsiaTheme="minorEastAsia"/>
          <w:color w:val="auto"/>
          <w:vertAlign w:val="superscript"/>
        </w:rPr>
        <w:t>3</w:t>
      </w:r>
      <w:r>
        <w:rPr>
          <w:rFonts w:eastAsiaTheme="minorEastAsia"/>
          <w:color w:val="auto"/>
        </w:rPr>
        <w:t>/次，每年为240次；破碎筛分工序抑尘用水为3m</w:t>
      </w:r>
      <w:r>
        <w:rPr>
          <w:rFonts w:eastAsiaTheme="minorEastAsia"/>
          <w:color w:val="auto"/>
          <w:vertAlign w:val="superscript"/>
        </w:rPr>
        <w:t>3</w:t>
      </w:r>
      <w:r>
        <w:rPr>
          <w:rFonts w:eastAsiaTheme="minorEastAsia"/>
          <w:color w:val="auto"/>
        </w:rPr>
        <w:t>/d，每年240d；集堆铲装及道路喷洒抑尘用水为2m</w:t>
      </w:r>
      <w:r>
        <w:rPr>
          <w:rFonts w:eastAsiaTheme="minorEastAsia"/>
          <w:color w:val="auto"/>
          <w:vertAlign w:val="superscript"/>
        </w:rPr>
        <w:t>3</w:t>
      </w:r>
      <w:r>
        <w:rPr>
          <w:rFonts w:eastAsiaTheme="minorEastAsia"/>
          <w:color w:val="auto"/>
        </w:rPr>
        <w:t>/d，每年约为240d，因此</w:t>
      </w:r>
      <w:r>
        <w:rPr>
          <w:rFonts w:hint="eastAsia" w:eastAsiaTheme="minorEastAsia"/>
          <w:color w:val="auto"/>
          <w:lang w:eastAsia="zh-CN"/>
        </w:rPr>
        <w:t>原有工程</w:t>
      </w:r>
      <w:r>
        <w:rPr>
          <w:rFonts w:eastAsiaTheme="minorEastAsia"/>
          <w:color w:val="auto"/>
        </w:rPr>
        <w:t>生产用水量约为1860m</w:t>
      </w:r>
      <w:r>
        <w:rPr>
          <w:rFonts w:eastAsiaTheme="minorEastAsia"/>
          <w:color w:val="auto"/>
          <w:vertAlign w:val="superscript"/>
        </w:rPr>
        <w:t>3</w:t>
      </w:r>
      <w:r>
        <w:rPr>
          <w:rFonts w:eastAsiaTheme="minorEastAsia"/>
          <w:color w:val="auto"/>
        </w:rPr>
        <w:t>/a，</w:t>
      </w:r>
      <w:r>
        <w:rPr>
          <w:rFonts w:hint="eastAsia" w:eastAsiaTheme="minorEastAsia"/>
          <w:color w:val="auto"/>
          <w:lang w:eastAsia="zh-CN"/>
        </w:rPr>
        <w:t>原有工程没有设置沉淀池，无法收集</w:t>
      </w:r>
      <w:r>
        <w:rPr>
          <w:rFonts w:eastAsiaTheme="minorEastAsia"/>
          <w:color w:val="auto"/>
        </w:rPr>
        <w:t>矿区汇水，</w:t>
      </w:r>
      <w:r>
        <w:rPr>
          <w:rFonts w:hint="eastAsia" w:eastAsiaTheme="minorEastAsia"/>
          <w:color w:val="auto"/>
          <w:lang w:eastAsia="zh-CN"/>
        </w:rPr>
        <w:t>生产用水及生活用水均由</w:t>
      </w:r>
      <w:r>
        <w:rPr>
          <w:rFonts w:eastAsiaTheme="minorEastAsia"/>
          <w:color w:val="auto"/>
        </w:rPr>
        <w:t>井水</w:t>
      </w:r>
      <w:r>
        <w:rPr>
          <w:rFonts w:hint="eastAsia" w:eastAsiaTheme="minorEastAsia"/>
          <w:color w:val="auto"/>
          <w:lang w:eastAsia="zh-CN"/>
        </w:rPr>
        <w:t>提供</w:t>
      </w:r>
      <w:r>
        <w:rPr>
          <w:rFonts w:eastAsiaTheme="minorEastAsia"/>
          <w:color w:val="auto"/>
        </w:rPr>
        <w:t>，生产抑尘或降尘用水，绝大多是蒸发消耗掉。</w:t>
      </w:r>
    </w:p>
    <w:p>
      <w:pPr>
        <w:pStyle w:val="276"/>
        <w:jc w:val="both"/>
        <w:rPr>
          <w:rFonts w:eastAsiaTheme="minorEastAsia"/>
          <w:color w:val="auto"/>
        </w:rPr>
      </w:pPr>
      <w:r>
        <w:rPr>
          <w:rFonts w:eastAsiaTheme="minorEastAsia"/>
          <w:color w:val="auto"/>
        </w:rPr>
        <w:t>本项目生活污水约为48m</w:t>
      </w:r>
      <w:r>
        <w:rPr>
          <w:rFonts w:eastAsiaTheme="minorEastAsia"/>
          <w:color w:val="auto"/>
          <w:vertAlign w:val="superscript"/>
        </w:rPr>
        <w:t>3</w:t>
      </w:r>
      <w:r>
        <w:rPr>
          <w:rFonts w:eastAsiaTheme="minorEastAsia"/>
          <w:color w:val="auto"/>
        </w:rPr>
        <w:t>/a，经防渗旱厕，定期清掏，外运堆肥。其给排水情况见</w:t>
      </w:r>
      <w:r>
        <w:rPr>
          <w:rFonts w:hint="eastAsia" w:eastAsiaTheme="minorEastAsia"/>
          <w:color w:val="auto"/>
          <w:lang w:eastAsia="zh-CN"/>
        </w:rPr>
        <w:t>下表</w:t>
      </w:r>
      <w:r>
        <w:rPr>
          <w:rFonts w:eastAsiaTheme="minorEastAsia"/>
          <w:color w:val="auto"/>
        </w:rPr>
        <w:t>。</w:t>
      </w:r>
    </w:p>
    <w:p>
      <w:pPr>
        <w:pStyle w:val="276"/>
        <w:jc w:val="center"/>
        <w:rPr>
          <w:rFonts w:eastAsiaTheme="minorEastAsia"/>
          <w:color w:val="auto"/>
        </w:rPr>
      </w:pPr>
      <w:r>
        <w:rPr>
          <w:rFonts w:eastAsiaTheme="minorEastAsia"/>
          <w:color w:val="auto"/>
        </w:rPr>
        <w:t>表3-</w:t>
      </w:r>
      <w:r>
        <w:rPr>
          <w:rFonts w:hint="eastAsia" w:eastAsiaTheme="minorEastAsia"/>
          <w:color w:val="auto"/>
          <w:lang w:val="en-US" w:eastAsia="zh-CN"/>
        </w:rPr>
        <w:t>1</w:t>
      </w:r>
      <w:r>
        <w:rPr>
          <w:rFonts w:eastAsiaTheme="minorEastAsia"/>
          <w:color w:val="auto"/>
        </w:rPr>
        <w:t>-</w:t>
      </w:r>
      <w:r>
        <w:rPr>
          <w:rFonts w:hint="eastAsia" w:eastAsiaTheme="minorEastAsia"/>
          <w:color w:val="auto"/>
          <w:lang w:val="en-US" w:eastAsia="zh-CN"/>
        </w:rPr>
        <w:t>1</w:t>
      </w:r>
      <w:r>
        <w:rPr>
          <w:rFonts w:eastAsiaTheme="minorEastAsia"/>
          <w:color w:val="auto"/>
        </w:rPr>
        <w:t>项目给排水情况</w:t>
      </w:r>
    </w:p>
    <w:tbl>
      <w:tblPr>
        <w:tblStyle w:val="54"/>
        <w:tblW w:w="8296" w:type="dxa"/>
        <w:jc w:val="center"/>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2074"/>
        <w:gridCol w:w="2074"/>
        <w:gridCol w:w="2074"/>
        <w:gridCol w:w="2074"/>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074"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项目</w:t>
            </w:r>
          </w:p>
        </w:tc>
        <w:tc>
          <w:tcPr>
            <w:tcW w:w="2074"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水量（m</w:t>
            </w:r>
            <w:r>
              <w:rPr>
                <w:rFonts w:ascii="Times New Roman" w:hAnsi="Times New Roman" w:eastAsiaTheme="minorEastAsia"/>
                <w:color w:val="auto"/>
                <w:sz w:val="21"/>
                <w:szCs w:val="21"/>
                <w:vertAlign w:val="superscript"/>
              </w:rPr>
              <w:t>3</w:t>
            </w:r>
            <w:r>
              <w:rPr>
                <w:rFonts w:ascii="Times New Roman" w:hAnsi="Times New Roman" w:eastAsiaTheme="minorEastAsia"/>
                <w:color w:val="auto"/>
                <w:sz w:val="21"/>
                <w:szCs w:val="21"/>
              </w:rPr>
              <w:t>/a）</w:t>
            </w:r>
          </w:p>
        </w:tc>
        <w:tc>
          <w:tcPr>
            <w:tcW w:w="2074"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蒸发损（m</w:t>
            </w:r>
            <w:r>
              <w:rPr>
                <w:rFonts w:ascii="Times New Roman" w:hAnsi="Times New Roman" w:eastAsiaTheme="minorEastAsia"/>
                <w:color w:val="auto"/>
                <w:sz w:val="21"/>
                <w:szCs w:val="21"/>
                <w:vertAlign w:val="superscript"/>
              </w:rPr>
              <w:t>3</w:t>
            </w:r>
            <w:r>
              <w:rPr>
                <w:rFonts w:ascii="Times New Roman" w:hAnsi="Times New Roman" w:eastAsiaTheme="minorEastAsia"/>
                <w:color w:val="auto"/>
                <w:sz w:val="21"/>
                <w:szCs w:val="21"/>
              </w:rPr>
              <w:t>/a）</w:t>
            </w:r>
          </w:p>
        </w:tc>
        <w:tc>
          <w:tcPr>
            <w:tcW w:w="2074"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废水量（m</w:t>
            </w:r>
            <w:r>
              <w:rPr>
                <w:rFonts w:ascii="Times New Roman" w:hAnsi="Times New Roman" w:eastAsiaTheme="minorEastAsia"/>
                <w:color w:val="auto"/>
                <w:sz w:val="21"/>
                <w:szCs w:val="21"/>
                <w:vertAlign w:val="superscript"/>
              </w:rPr>
              <w:t>3</w:t>
            </w:r>
            <w:r>
              <w:rPr>
                <w:rFonts w:ascii="Times New Roman" w:hAnsi="Times New Roman" w:eastAsiaTheme="minorEastAsia"/>
                <w:color w:val="auto"/>
                <w:sz w:val="21"/>
                <w:szCs w:val="21"/>
              </w:rPr>
              <w:t>/a）</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074"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生产用水</w:t>
            </w:r>
          </w:p>
        </w:tc>
        <w:tc>
          <w:tcPr>
            <w:tcW w:w="2074"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1860</w:t>
            </w:r>
          </w:p>
        </w:tc>
        <w:tc>
          <w:tcPr>
            <w:tcW w:w="2074"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1860</w:t>
            </w:r>
          </w:p>
        </w:tc>
        <w:tc>
          <w:tcPr>
            <w:tcW w:w="2074"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074"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生活用水</w:t>
            </w:r>
          </w:p>
        </w:tc>
        <w:tc>
          <w:tcPr>
            <w:tcW w:w="2074"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60</w:t>
            </w:r>
          </w:p>
        </w:tc>
        <w:tc>
          <w:tcPr>
            <w:tcW w:w="2074"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12</w:t>
            </w:r>
          </w:p>
        </w:tc>
        <w:tc>
          <w:tcPr>
            <w:tcW w:w="2074"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48</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074"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合计</w:t>
            </w:r>
          </w:p>
        </w:tc>
        <w:tc>
          <w:tcPr>
            <w:tcW w:w="2074"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1920</w:t>
            </w:r>
          </w:p>
        </w:tc>
        <w:tc>
          <w:tcPr>
            <w:tcW w:w="2074"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1872</w:t>
            </w:r>
          </w:p>
        </w:tc>
        <w:tc>
          <w:tcPr>
            <w:tcW w:w="2074"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48</w:t>
            </w:r>
          </w:p>
        </w:tc>
      </w:tr>
    </w:tbl>
    <w:p>
      <w:pPr>
        <w:pStyle w:val="276"/>
        <w:rPr>
          <w:rFonts w:eastAsiaTheme="minorEastAsia"/>
          <w:color w:val="auto"/>
        </w:rPr>
      </w:pPr>
      <w:r>
        <w:rPr>
          <w:rFonts w:eastAsiaTheme="minorEastAsia"/>
          <w:color w:val="auto"/>
        </w:rPr>
        <w:t>（3）噪声</w:t>
      </w:r>
    </w:p>
    <w:p>
      <w:pPr>
        <w:pStyle w:val="276"/>
        <w:rPr>
          <w:rFonts w:eastAsiaTheme="minorEastAsia"/>
          <w:color w:val="auto"/>
        </w:rPr>
      </w:pPr>
      <w:r>
        <w:rPr>
          <w:rFonts w:eastAsiaTheme="minorEastAsia"/>
          <w:color w:val="auto"/>
        </w:rPr>
        <w:t>1）采石过程</w:t>
      </w:r>
    </w:p>
    <w:p>
      <w:pPr>
        <w:pStyle w:val="276"/>
        <w:rPr>
          <w:rFonts w:eastAsiaTheme="minorEastAsia"/>
          <w:color w:val="auto"/>
        </w:rPr>
      </w:pPr>
      <w:r>
        <w:rPr>
          <w:rFonts w:eastAsiaTheme="minorEastAsia"/>
          <w:color w:val="auto"/>
        </w:rPr>
        <w:t>采石过程产生的噪声主要是爆破噪声和</w:t>
      </w:r>
      <w:r>
        <w:rPr>
          <w:rFonts w:hint="eastAsia" w:eastAsiaTheme="minorEastAsia"/>
          <w:color w:val="auto"/>
          <w:lang w:eastAsia="zh-CN"/>
        </w:rPr>
        <w:t>凿岩机</w:t>
      </w:r>
      <w:r>
        <w:rPr>
          <w:rFonts w:eastAsiaTheme="minorEastAsia"/>
          <w:color w:val="auto"/>
        </w:rPr>
        <w:t>、空压机产生的设备噪声。爆破噪声特征为瞬时性，25m处噪声源强为1</w:t>
      </w:r>
      <w:r>
        <w:rPr>
          <w:rFonts w:hint="eastAsia" w:eastAsiaTheme="minorEastAsia"/>
          <w:color w:val="auto"/>
          <w:lang w:val="en-US" w:eastAsia="zh-CN"/>
        </w:rPr>
        <w:t>00~115</w:t>
      </w:r>
      <w:r>
        <w:rPr>
          <w:rFonts w:eastAsiaTheme="minorEastAsia"/>
          <w:color w:val="auto"/>
        </w:rPr>
        <w:t>dB（A）。凿岩机产生的噪声源强为</w:t>
      </w:r>
      <w:r>
        <w:rPr>
          <w:rFonts w:hint="eastAsia" w:eastAsiaTheme="minorEastAsia"/>
          <w:color w:val="auto"/>
          <w:lang w:val="en-US" w:eastAsia="zh-CN"/>
        </w:rPr>
        <w:t>90~115</w:t>
      </w:r>
      <w:r>
        <w:rPr>
          <w:rFonts w:eastAsiaTheme="minorEastAsia"/>
          <w:color w:val="auto"/>
        </w:rPr>
        <w:t>dB（A），空压机产生的噪声源强为</w:t>
      </w:r>
      <w:r>
        <w:rPr>
          <w:rFonts w:hint="eastAsia" w:eastAsiaTheme="minorEastAsia"/>
          <w:color w:val="auto"/>
          <w:lang w:val="en-US" w:eastAsia="zh-CN"/>
        </w:rPr>
        <w:t>75~90</w:t>
      </w:r>
      <w:r>
        <w:rPr>
          <w:rFonts w:eastAsiaTheme="minorEastAsia"/>
          <w:color w:val="auto"/>
        </w:rPr>
        <w:t>dB（A）。挖掘机产生的噪声源强为80~90dB（A）。</w:t>
      </w:r>
    </w:p>
    <w:p>
      <w:pPr>
        <w:pStyle w:val="276"/>
        <w:rPr>
          <w:rFonts w:eastAsiaTheme="minorEastAsia"/>
          <w:color w:val="auto"/>
        </w:rPr>
      </w:pPr>
      <w:r>
        <w:rPr>
          <w:rFonts w:eastAsiaTheme="minorEastAsia"/>
          <w:color w:val="auto"/>
        </w:rPr>
        <w:t xml:space="preserve">2）破碎、筛分加工过程 </w:t>
      </w:r>
    </w:p>
    <w:p>
      <w:pPr>
        <w:pStyle w:val="276"/>
        <w:jc w:val="both"/>
        <w:rPr>
          <w:rFonts w:eastAsiaTheme="minorEastAsia"/>
          <w:color w:val="auto"/>
        </w:rPr>
      </w:pPr>
      <w:r>
        <w:rPr>
          <w:rFonts w:eastAsiaTheme="minorEastAsia"/>
          <w:color w:val="auto"/>
        </w:rPr>
        <w:t>破碎加工过程是本项目产生噪声的主要污染源，噪声源强为95~105dB（A），</w:t>
      </w:r>
      <w:r>
        <w:rPr>
          <w:rFonts w:hint="eastAsia" w:eastAsiaTheme="minorEastAsia"/>
          <w:color w:val="auto"/>
          <w:lang w:eastAsia="zh-CN"/>
        </w:rPr>
        <w:t>筛分过程</w:t>
      </w:r>
      <w:r>
        <w:rPr>
          <w:rFonts w:eastAsiaTheme="minorEastAsia"/>
          <w:color w:val="auto"/>
        </w:rPr>
        <w:t>噪声源强</w:t>
      </w:r>
      <w:r>
        <w:rPr>
          <w:rFonts w:hint="eastAsia" w:eastAsiaTheme="minorEastAsia"/>
          <w:color w:val="auto"/>
          <w:lang w:eastAsia="zh-CN"/>
        </w:rPr>
        <w:t>约为</w:t>
      </w:r>
      <w:r>
        <w:rPr>
          <w:rFonts w:eastAsiaTheme="minorEastAsia"/>
          <w:color w:val="auto"/>
        </w:rPr>
        <w:t>85~95dB（A）。</w:t>
      </w:r>
    </w:p>
    <w:p>
      <w:pPr>
        <w:pStyle w:val="276"/>
        <w:jc w:val="both"/>
        <w:rPr>
          <w:rFonts w:eastAsiaTheme="minorEastAsia"/>
          <w:color w:val="auto"/>
        </w:rPr>
      </w:pPr>
      <w:r>
        <w:rPr>
          <w:rFonts w:eastAsiaTheme="minorEastAsia"/>
          <w:color w:val="auto"/>
        </w:rPr>
        <w:t>3）集堆、铲装、运输过程</w:t>
      </w:r>
    </w:p>
    <w:p>
      <w:pPr>
        <w:pStyle w:val="55"/>
        <w:spacing w:line="500" w:lineRule="exact"/>
        <w:jc w:val="both"/>
        <w:rPr>
          <w:rFonts w:ascii="Times New Roman" w:hAnsi="Times New Roman" w:cs="Times New Roman" w:eastAsiaTheme="minorEastAsia"/>
          <w:color w:val="auto"/>
        </w:rPr>
      </w:pPr>
      <w:r>
        <w:rPr>
          <w:rFonts w:ascii="Times New Roman" w:hAnsi="Times New Roman" w:cs="Times New Roman" w:eastAsiaTheme="minorEastAsia"/>
          <w:color w:val="auto"/>
        </w:rPr>
        <w:t>剥离的土岩及爆破后的岩石用挖掘机、装载机等设备进行铲装集运，集堆、铲装时不要把石料举起太高，轻装轻放，尽量减少在铲装过程中产生的噪声，本项目挖掘机、装载机噪声强度约</w:t>
      </w:r>
      <w:r>
        <w:rPr>
          <w:rFonts w:hint="eastAsia" w:ascii="Times New Roman" w:hAnsi="Times New Roman" w:cs="Times New Roman" w:eastAsiaTheme="minorEastAsia"/>
          <w:color w:val="auto"/>
          <w:lang w:val="en-US" w:eastAsia="zh-CN"/>
        </w:rPr>
        <w:t>80~100</w:t>
      </w:r>
      <w:r>
        <w:rPr>
          <w:rFonts w:ascii="Times New Roman" w:hAnsi="Times New Roman" w:cs="Times New Roman" w:eastAsiaTheme="minorEastAsia"/>
          <w:color w:val="auto"/>
        </w:rPr>
        <w:t>dB（A）。</w:t>
      </w:r>
    </w:p>
    <w:p>
      <w:pPr>
        <w:pStyle w:val="276"/>
        <w:jc w:val="both"/>
        <w:rPr>
          <w:rFonts w:eastAsiaTheme="minorEastAsia"/>
          <w:color w:val="auto"/>
        </w:rPr>
      </w:pPr>
      <w:r>
        <w:rPr>
          <w:rFonts w:eastAsiaTheme="minorEastAsia"/>
          <w:color w:val="auto"/>
        </w:rPr>
        <w:t>对运输交通噪声，</w:t>
      </w:r>
      <w:r>
        <w:rPr>
          <w:rFonts w:hint="eastAsia" w:eastAsiaTheme="minorEastAsia"/>
          <w:color w:val="auto"/>
          <w:lang w:eastAsia="zh-CN"/>
        </w:rPr>
        <w:t>建设单位不</w:t>
      </w:r>
      <w:r>
        <w:rPr>
          <w:rFonts w:eastAsiaTheme="minorEastAsia"/>
          <w:color w:val="auto"/>
        </w:rPr>
        <w:t>使用超过噪声限值的运输车辆，汽车运输机械设备安装</w:t>
      </w:r>
      <w:r>
        <w:rPr>
          <w:rFonts w:hint="eastAsia" w:eastAsiaTheme="minorEastAsia"/>
          <w:color w:val="auto"/>
          <w:lang w:eastAsia="zh-CN"/>
        </w:rPr>
        <w:t>了</w:t>
      </w:r>
      <w:r>
        <w:rPr>
          <w:rFonts w:eastAsiaTheme="minorEastAsia"/>
          <w:color w:val="auto"/>
        </w:rPr>
        <w:t>消声器和禁用高音喇叭，机动车辆加强维修和保养，保持技术性能良好，在经过运输道路沿途村落时，低速行驶，限制鸣笛，合理安排运输车辆工作时间，不在夜间、休息时间运输，避免交通噪声对沿途村庄产生影响。</w:t>
      </w:r>
    </w:p>
    <w:p>
      <w:pPr>
        <w:pStyle w:val="244"/>
        <w:rPr>
          <w:rFonts w:eastAsiaTheme="minorEastAsia"/>
          <w:color w:val="auto"/>
        </w:rPr>
      </w:pPr>
      <w:r>
        <w:rPr>
          <w:rFonts w:eastAsiaTheme="minorEastAsia"/>
          <w:color w:val="auto"/>
        </w:rPr>
        <w:t>表3-</w:t>
      </w:r>
      <w:r>
        <w:rPr>
          <w:rFonts w:hint="eastAsia" w:eastAsiaTheme="minorEastAsia"/>
          <w:color w:val="auto"/>
          <w:lang w:val="en-US" w:eastAsia="zh-CN"/>
        </w:rPr>
        <w:t>1</w:t>
      </w:r>
      <w:r>
        <w:rPr>
          <w:rFonts w:eastAsiaTheme="minorEastAsia"/>
          <w:color w:val="auto"/>
        </w:rPr>
        <w:t>-</w:t>
      </w:r>
      <w:r>
        <w:rPr>
          <w:rFonts w:hint="eastAsia" w:eastAsiaTheme="minorEastAsia"/>
          <w:color w:val="auto"/>
          <w:lang w:val="en-US" w:eastAsia="zh-CN"/>
        </w:rPr>
        <w:t>2</w:t>
      </w:r>
      <w:r>
        <w:rPr>
          <w:rFonts w:eastAsiaTheme="minorEastAsia"/>
          <w:color w:val="auto"/>
        </w:rPr>
        <w:t xml:space="preserve">  主要设备噪声值</w:t>
      </w:r>
    </w:p>
    <w:tbl>
      <w:tblPr>
        <w:tblStyle w:val="53"/>
        <w:tblW w:w="8532"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81"/>
        <w:gridCol w:w="2016"/>
        <w:gridCol w:w="1722"/>
        <w:gridCol w:w="1722"/>
        <w:gridCol w:w="169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1381" w:type="dxa"/>
            <w:noWrap w:val="0"/>
            <w:vAlign w:val="center"/>
          </w:tcPr>
          <w:p>
            <w:pPr>
              <w:adjustRightInd w:val="0"/>
              <w:snapToGrid w:val="0"/>
              <w:spacing w:line="360" w:lineRule="exact"/>
              <w:jc w:val="center"/>
              <w:rPr>
                <w:color w:val="auto"/>
                <w:sz w:val="18"/>
                <w:szCs w:val="18"/>
              </w:rPr>
            </w:pPr>
            <w:r>
              <w:rPr>
                <w:color w:val="auto"/>
                <w:sz w:val="18"/>
                <w:szCs w:val="18"/>
              </w:rPr>
              <w:t>序号</w:t>
            </w:r>
          </w:p>
        </w:tc>
        <w:tc>
          <w:tcPr>
            <w:tcW w:w="2016" w:type="dxa"/>
            <w:noWrap w:val="0"/>
            <w:vAlign w:val="center"/>
          </w:tcPr>
          <w:p>
            <w:pPr>
              <w:adjustRightInd w:val="0"/>
              <w:snapToGrid w:val="0"/>
              <w:spacing w:line="360" w:lineRule="exact"/>
              <w:jc w:val="center"/>
              <w:rPr>
                <w:color w:val="auto"/>
                <w:sz w:val="18"/>
                <w:szCs w:val="18"/>
              </w:rPr>
            </w:pPr>
            <w:r>
              <w:rPr>
                <w:color w:val="auto"/>
                <w:sz w:val="18"/>
                <w:szCs w:val="18"/>
              </w:rPr>
              <w:t>噪声源</w:t>
            </w:r>
          </w:p>
        </w:tc>
        <w:tc>
          <w:tcPr>
            <w:tcW w:w="1722" w:type="dxa"/>
            <w:noWrap w:val="0"/>
            <w:vAlign w:val="center"/>
          </w:tcPr>
          <w:p>
            <w:pPr>
              <w:adjustRightInd w:val="0"/>
              <w:snapToGrid w:val="0"/>
              <w:spacing w:line="360" w:lineRule="exact"/>
              <w:jc w:val="center"/>
              <w:rPr>
                <w:rFonts w:hint="eastAsia" w:eastAsia="宋体"/>
                <w:color w:val="auto"/>
                <w:sz w:val="18"/>
                <w:szCs w:val="18"/>
                <w:lang w:eastAsia="zh-CN"/>
              </w:rPr>
            </w:pPr>
            <w:r>
              <w:rPr>
                <w:color w:val="auto"/>
                <w:sz w:val="18"/>
                <w:szCs w:val="18"/>
              </w:rPr>
              <w:t>数量（台）</w:t>
            </w:r>
          </w:p>
        </w:tc>
        <w:tc>
          <w:tcPr>
            <w:tcW w:w="1722" w:type="dxa"/>
            <w:noWrap w:val="0"/>
            <w:vAlign w:val="center"/>
          </w:tcPr>
          <w:p>
            <w:pPr>
              <w:adjustRightInd w:val="0"/>
              <w:snapToGrid w:val="0"/>
              <w:spacing w:line="360" w:lineRule="exact"/>
              <w:jc w:val="center"/>
              <w:rPr>
                <w:color w:val="auto"/>
                <w:sz w:val="18"/>
                <w:szCs w:val="18"/>
              </w:rPr>
            </w:pPr>
            <w:r>
              <w:rPr>
                <w:color w:val="auto"/>
                <w:sz w:val="18"/>
                <w:szCs w:val="18"/>
              </w:rPr>
              <w:t>噪声级dB（A）</w:t>
            </w:r>
          </w:p>
        </w:tc>
        <w:tc>
          <w:tcPr>
            <w:tcW w:w="1691" w:type="dxa"/>
            <w:noWrap w:val="0"/>
            <w:vAlign w:val="center"/>
          </w:tcPr>
          <w:p>
            <w:pPr>
              <w:adjustRightInd w:val="0"/>
              <w:snapToGrid w:val="0"/>
              <w:spacing w:line="360" w:lineRule="exact"/>
              <w:jc w:val="center"/>
              <w:rPr>
                <w:color w:val="auto"/>
                <w:sz w:val="18"/>
                <w:szCs w:val="18"/>
              </w:rPr>
            </w:pPr>
            <w:r>
              <w:rPr>
                <w:color w:val="auto"/>
                <w:sz w:val="18"/>
                <w:szCs w:val="18"/>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1381" w:type="dxa"/>
            <w:noWrap w:val="0"/>
            <w:vAlign w:val="center"/>
          </w:tcPr>
          <w:p>
            <w:pPr>
              <w:adjustRightInd w:val="0"/>
              <w:snapToGrid w:val="0"/>
              <w:spacing w:line="360" w:lineRule="exact"/>
              <w:jc w:val="center"/>
              <w:rPr>
                <w:color w:val="auto"/>
                <w:sz w:val="18"/>
                <w:szCs w:val="18"/>
              </w:rPr>
            </w:pPr>
            <w:r>
              <w:rPr>
                <w:color w:val="auto"/>
                <w:sz w:val="18"/>
                <w:szCs w:val="18"/>
              </w:rPr>
              <w:t>1</w:t>
            </w:r>
          </w:p>
        </w:tc>
        <w:tc>
          <w:tcPr>
            <w:tcW w:w="2016" w:type="dxa"/>
            <w:noWrap w:val="0"/>
            <w:vAlign w:val="center"/>
          </w:tcPr>
          <w:p>
            <w:pPr>
              <w:adjustRightInd w:val="0"/>
              <w:snapToGrid w:val="0"/>
              <w:spacing w:line="360" w:lineRule="exact"/>
              <w:jc w:val="center"/>
              <w:rPr>
                <w:color w:val="auto"/>
                <w:sz w:val="18"/>
                <w:szCs w:val="18"/>
              </w:rPr>
            </w:pPr>
            <w:r>
              <w:rPr>
                <w:color w:val="auto"/>
                <w:sz w:val="18"/>
                <w:szCs w:val="18"/>
              </w:rPr>
              <w:t>凿岩机</w:t>
            </w:r>
          </w:p>
        </w:tc>
        <w:tc>
          <w:tcPr>
            <w:tcW w:w="1722" w:type="dxa"/>
            <w:noWrap w:val="0"/>
            <w:vAlign w:val="center"/>
          </w:tcPr>
          <w:p>
            <w:pPr>
              <w:adjustRightInd w:val="0"/>
              <w:snapToGrid w:val="0"/>
              <w:spacing w:line="360" w:lineRule="exact"/>
              <w:jc w:val="center"/>
              <w:rPr>
                <w:rFonts w:hint="eastAsia" w:eastAsia="宋体"/>
                <w:color w:val="auto"/>
                <w:sz w:val="18"/>
                <w:szCs w:val="18"/>
                <w:lang w:val="en-US" w:eastAsia="zh-CN"/>
              </w:rPr>
            </w:pPr>
            <w:r>
              <w:rPr>
                <w:rFonts w:hint="eastAsia"/>
                <w:color w:val="auto"/>
                <w:sz w:val="18"/>
                <w:szCs w:val="18"/>
                <w:lang w:val="en-US" w:eastAsia="zh-CN"/>
              </w:rPr>
              <w:t>1</w:t>
            </w:r>
          </w:p>
        </w:tc>
        <w:tc>
          <w:tcPr>
            <w:tcW w:w="1722" w:type="dxa"/>
            <w:noWrap w:val="0"/>
            <w:vAlign w:val="center"/>
          </w:tcPr>
          <w:p>
            <w:pPr>
              <w:adjustRightInd w:val="0"/>
              <w:snapToGrid w:val="0"/>
              <w:spacing w:line="360" w:lineRule="exact"/>
              <w:jc w:val="center"/>
              <w:rPr>
                <w:color w:val="auto"/>
                <w:sz w:val="18"/>
                <w:szCs w:val="18"/>
              </w:rPr>
            </w:pPr>
            <w:r>
              <w:rPr>
                <w:color w:val="auto"/>
                <w:sz w:val="18"/>
                <w:szCs w:val="18"/>
              </w:rPr>
              <w:t>90~115</w:t>
            </w:r>
          </w:p>
        </w:tc>
        <w:tc>
          <w:tcPr>
            <w:tcW w:w="1691" w:type="dxa"/>
            <w:noWrap w:val="0"/>
            <w:vAlign w:val="center"/>
          </w:tcPr>
          <w:p>
            <w:pPr>
              <w:adjustRightInd w:val="0"/>
              <w:snapToGrid w:val="0"/>
              <w:spacing w:line="360" w:lineRule="exact"/>
              <w:jc w:val="center"/>
              <w:rPr>
                <w:color w:val="auto"/>
                <w:sz w:val="18"/>
                <w:szCs w:val="18"/>
              </w:rPr>
            </w:pPr>
            <w:r>
              <w:rPr>
                <w:color w:val="auto"/>
                <w:sz w:val="18"/>
                <w:szCs w:val="18"/>
              </w:rPr>
              <w:t>间断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1381" w:type="dxa"/>
            <w:noWrap w:val="0"/>
            <w:vAlign w:val="center"/>
          </w:tcPr>
          <w:p>
            <w:pPr>
              <w:adjustRightInd w:val="0"/>
              <w:snapToGrid w:val="0"/>
              <w:spacing w:line="360" w:lineRule="exact"/>
              <w:jc w:val="center"/>
              <w:rPr>
                <w:color w:val="auto"/>
                <w:sz w:val="18"/>
                <w:szCs w:val="18"/>
              </w:rPr>
            </w:pPr>
            <w:r>
              <w:rPr>
                <w:color w:val="auto"/>
                <w:sz w:val="18"/>
                <w:szCs w:val="18"/>
              </w:rPr>
              <w:t>2</w:t>
            </w:r>
          </w:p>
        </w:tc>
        <w:tc>
          <w:tcPr>
            <w:tcW w:w="2016" w:type="dxa"/>
            <w:noWrap w:val="0"/>
            <w:vAlign w:val="center"/>
          </w:tcPr>
          <w:p>
            <w:pPr>
              <w:adjustRightInd w:val="0"/>
              <w:snapToGrid w:val="0"/>
              <w:spacing w:line="360" w:lineRule="exact"/>
              <w:jc w:val="center"/>
              <w:rPr>
                <w:color w:val="auto"/>
                <w:sz w:val="18"/>
                <w:szCs w:val="18"/>
              </w:rPr>
            </w:pPr>
            <w:r>
              <w:rPr>
                <w:color w:val="auto"/>
                <w:sz w:val="18"/>
                <w:szCs w:val="18"/>
              </w:rPr>
              <w:t>空压机</w:t>
            </w:r>
          </w:p>
        </w:tc>
        <w:tc>
          <w:tcPr>
            <w:tcW w:w="1722" w:type="dxa"/>
            <w:noWrap w:val="0"/>
            <w:vAlign w:val="center"/>
          </w:tcPr>
          <w:p>
            <w:pPr>
              <w:adjustRightInd w:val="0"/>
              <w:snapToGrid w:val="0"/>
              <w:spacing w:line="360" w:lineRule="exact"/>
              <w:jc w:val="center"/>
              <w:rPr>
                <w:rFonts w:hint="eastAsia" w:eastAsia="宋体"/>
                <w:color w:val="auto"/>
                <w:sz w:val="18"/>
                <w:szCs w:val="18"/>
                <w:lang w:val="en-US" w:eastAsia="zh-CN"/>
              </w:rPr>
            </w:pPr>
            <w:r>
              <w:rPr>
                <w:rFonts w:hint="eastAsia"/>
                <w:color w:val="auto"/>
                <w:sz w:val="18"/>
                <w:szCs w:val="18"/>
                <w:lang w:val="en-US" w:eastAsia="zh-CN"/>
              </w:rPr>
              <w:t>1</w:t>
            </w:r>
          </w:p>
        </w:tc>
        <w:tc>
          <w:tcPr>
            <w:tcW w:w="1722" w:type="dxa"/>
            <w:noWrap w:val="0"/>
            <w:vAlign w:val="center"/>
          </w:tcPr>
          <w:p>
            <w:pPr>
              <w:adjustRightInd w:val="0"/>
              <w:snapToGrid w:val="0"/>
              <w:spacing w:line="360" w:lineRule="exact"/>
              <w:jc w:val="center"/>
              <w:rPr>
                <w:color w:val="auto"/>
                <w:sz w:val="18"/>
                <w:szCs w:val="18"/>
              </w:rPr>
            </w:pPr>
            <w:r>
              <w:rPr>
                <w:color w:val="auto"/>
                <w:sz w:val="18"/>
                <w:szCs w:val="18"/>
              </w:rPr>
              <w:t>75~90</w:t>
            </w:r>
          </w:p>
        </w:tc>
        <w:tc>
          <w:tcPr>
            <w:tcW w:w="1691" w:type="dxa"/>
            <w:noWrap w:val="0"/>
            <w:vAlign w:val="center"/>
          </w:tcPr>
          <w:p>
            <w:pPr>
              <w:adjustRightInd w:val="0"/>
              <w:snapToGrid w:val="0"/>
              <w:spacing w:line="360" w:lineRule="exact"/>
              <w:jc w:val="center"/>
              <w:rPr>
                <w:color w:val="auto"/>
                <w:sz w:val="18"/>
                <w:szCs w:val="18"/>
              </w:rPr>
            </w:pPr>
            <w:r>
              <w:rPr>
                <w:color w:val="auto"/>
                <w:sz w:val="18"/>
                <w:szCs w:val="18"/>
              </w:rPr>
              <w:t>间断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1381" w:type="dxa"/>
            <w:noWrap w:val="0"/>
            <w:vAlign w:val="center"/>
          </w:tcPr>
          <w:p>
            <w:pPr>
              <w:adjustRightInd w:val="0"/>
              <w:snapToGrid w:val="0"/>
              <w:spacing w:line="360" w:lineRule="exact"/>
              <w:jc w:val="center"/>
              <w:rPr>
                <w:color w:val="auto"/>
                <w:sz w:val="18"/>
                <w:szCs w:val="18"/>
              </w:rPr>
            </w:pPr>
            <w:r>
              <w:rPr>
                <w:color w:val="auto"/>
                <w:sz w:val="18"/>
                <w:szCs w:val="18"/>
              </w:rPr>
              <w:t>3</w:t>
            </w:r>
          </w:p>
        </w:tc>
        <w:tc>
          <w:tcPr>
            <w:tcW w:w="2016" w:type="dxa"/>
            <w:noWrap w:val="0"/>
            <w:vAlign w:val="center"/>
          </w:tcPr>
          <w:p>
            <w:pPr>
              <w:adjustRightInd w:val="0"/>
              <w:snapToGrid w:val="0"/>
              <w:spacing w:line="360" w:lineRule="exact"/>
              <w:jc w:val="center"/>
              <w:rPr>
                <w:color w:val="auto"/>
                <w:sz w:val="18"/>
                <w:szCs w:val="18"/>
              </w:rPr>
            </w:pPr>
            <w:r>
              <w:rPr>
                <w:color w:val="auto"/>
                <w:sz w:val="18"/>
                <w:szCs w:val="18"/>
              </w:rPr>
              <w:t>挖掘机</w:t>
            </w:r>
          </w:p>
        </w:tc>
        <w:tc>
          <w:tcPr>
            <w:tcW w:w="1722" w:type="dxa"/>
            <w:noWrap w:val="0"/>
            <w:vAlign w:val="center"/>
          </w:tcPr>
          <w:p>
            <w:pPr>
              <w:adjustRightInd w:val="0"/>
              <w:snapToGrid w:val="0"/>
              <w:spacing w:line="360" w:lineRule="exact"/>
              <w:jc w:val="center"/>
              <w:rPr>
                <w:rFonts w:hint="eastAsia" w:eastAsia="宋体"/>
                <w:color w:val="auto"/>
                <w:sz w:val="18"/>
                <w:szCs w:val="18"/>
                <w:lang w:val="en-US" w:eastAsia="zh-CN"/>
              </w:rPr>
            </w:pPr>
            <w:r>
              <w:rPr>
                <w:rFonts w:hint="eastAsia"/>
                <w:color w:val="auto"/>
                <w:sz w:val="18"/>
                <w:szCs w:val="18"/>
                <w:lang w:val="en-US" w:eastAsia="zh-CN"/>
              </w:rPr>
              <w:t>1</w:t>
            </w:r>
          </w:p>
        </w:tc>
        <w:tc>
          <w:tcPr>
            <w:tcW w:w="1722" w:type="dxa"/>
            <w:noWrap w:val="0"/>
            <w:vAlign w:val="center"/>
          </w:tcPr>
          <w:p>
            <w:pPr>
              <w:adjustRightInd w:val="0"/>
              <w:snapToGrid w:val="0"/>
              <w:spacing w:line="360" w:lineRule="exact"/>
              <w:jc w:val="center"/>
              <w:rPr>
                <w:color w:val="auto"/>
                <w:sz w:val="18"/>
                <w:szCs w:val="18"/>
              </w:rPr>
            </w:pPr>
            <w:r>
              <w:rPr>
                <w:color w:val="auto"/>
                <w:sz w:val="18"/>
                <w:szCs w:val="18"/>
              </w:rPr>
              <w:t>80~90</w:t>
            </w:r>
          </w:p>
        </w:tc>
        <w:tc>
          <w:tcPr>
            <w:tcW w:w="1691" w:type="dxa"/>
            <w:noWrap w:val="0"/>
            <w:vAlign w:val="center"/>
          </w:tcPr>
          <w:p>
            <w:pPr>
              <w:adjustRightInd w:val="0"/>
              <w:snapToGrid w:val="0"/>
              <w:spacing w:line="360" w:lineRule="exact"/>
              <w:jc w:val="center"/>
              <w:rPr>
                <w:color w:val="auto"/>
                <w:sz w:val="18"/>
                <w:szCs w:val="18"/>
              </w:rPr>
            </w:pPr>
            <w:r>
              <w:rPr>
                <w:color w:val="auto"/>
                <w:sz w:val="18"/>
                <w:szCs w:val="18"/>
              </w:rPr>
              <w:t>连续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1381" w:type="dxa"/>
            <w:noWrap w:val="0"/>
            <w:vAlign w:val="center"/>
          </w:tcPr>
          <w:p>
            <w:pPr>
              <w:adjustRightInd w:val="0"/>
              <w:snapToGrid w:val="0"/>
              <w:spacing w:line="360" w:lineRule="exact"/>
              <w:jc w:val="center"/>
              <w:rPr>
                <w:color w:val="auto"/>
                <w:sz w:val="18"/>
                <w:szCs w:val="18"/>
              </w:rPr>
            </w:pPr>
            <w:r>
              <w:rPr>
                <w:color w:val="auto"/>
                <w:sz w:val="18"/>
                <w:szCs w:val="18"/>
              </w:rPr>
              <w:t>4</w:t>
            </w:r>
          </w:p>
        </w:tc>
        <w:tc>
          <w:tcPr>
            <w:tcW w:w="2016" w:type="dxa"/>
            <w:noWrap w:val="0"/>
            <w:vAlign w:val="center"/>
          </w:tcPr>
          <w:p>
            <w:pPr>
              <w:adjustRightInd w:val="0"/>
              <w:snapToGrid w:val="0"/>
              <w:spacing w:line="360" w:lineRule="exact"/>
              <w:jc w:val="center"/>
              <w:rPr>
                <w:color w:val="auto"/>
                <w:sz w:val="18"/>
                <w:szCs w:val="18"/>
              </w:rPr>
            </w:pPr>
            <w:r>
              <w:rPr>
                <w:color w:val="auto"/>
                <w:sz w:val="18"/>
                <w:szCs w:val="18"/>
              </w:rPr>
              <w:t>推土机</w:t>
            </w:r>
          </w:p>
        </w:tc>
        <w:tc>
          <w:tcPr>
            <w:tcW w:w="1722" w:type="dxa"/>
            <w:noWrap w:val="0"/>
            <w:vAlign w:val="center"/>
          </w:tcPr>
          <w:p>
            <w:pPr>
              <w:adjustRightInd w:val="0"/>
              <w:snapToGrid w:val="0"/>
              <w:spacing w:line="360" w:lineRule="exact"/>
              <w:jc w:val="center"/>
              <w:rPr>
                <w:rFonts w:hint="eastAsia" w:eastAsia="宋体"/>
                <w:color w:val="auto"/>
                <w:sz w:val="18"/>
                <w:szCs w:val="18"/>
                <w:lang w:val="en-US" w:eastAsia="zh-CN"/>
              </w:rPr>
            </w:pPr>
            <w:r>
              <w:rPr>
                <w:rFonts w:hint="eastAsia"/>
                <w:color w:val="auto"/>
                <w:sz w:val="18"/>
                <w:szCs w:val="18"/>
                <w:lang w:val="en-US" w:eastAsia="zh-CN"/>
              </w:rPr>
              <w:t>1</w:t>
            </w:r>
          </w:p>
        </w:tc>
        <w:tc>
          <w:tcPr>
            <w:tcW w:w="1722" w:type="dxa"/>
            <w:noWrap w:val="0"/>
            <w:vAlign w:val="center"/>
          </w:tcPr>
          <w:p>
            <w:pPr>
              <w:adjustRightInd w:val="0"/>
              <w:snapToGrid w:val="0"/>
              <w:spacing w:line="360" w:lineRule="exact"/>
              <w:jc w:val="center"/>
              <w:rPr>
                <w:color w:val="auto"/>
                <w:sz w:val="18"/>
                <w:szCs w:val="18"/>
              </w:rPr>
            </w:pPr>
            <w:r>
              <w:rPr>
                <w:color w:val="auto"/>
                <w:sz w:val="18"/>
                <w:szCs w:val="18"/>
              </w:rPr>
              <w:t>90~100</w:t>
            </w:r>
          </w:p>
        </w:tc>
        <w:tc>
          <w:tcPr>
            <w:tcW w:w="1691" w:type="dxa"/>
            <w:noWrap w:val="0"/>
            <w:vAlign w:val="center"/>
          </w:tcPr>
          <w:p>
            <w:pPr>
              <w:adjustRightInd w:val="0"/>
              <w:snapToGrid w:val="0"/>
              <w:spacing w:line="360" w:lineRule="exact"/>
              <w:jc w:val="center"/>
              <w:rPr>
                <w:color w:val="auto"/>
                <w:sz w:val="18"/>
                <w:szCs w:val="18"/>
              </w:rPr>
            </w:pPr>
            <w:r>
              <w:rPr>
                <w:color w:val="auto"/>
                <w:sz w:val="18"/>
                <w:szCs w:val="18"/>
              </w:rPr>
              <w:t>连续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1381" w:type="dxa"/>
            <w:noWrap w:val="0"/>
            <w:vAlign w:val="center"/>
          </w:tcPr>
          <w:p>
            <w:pPr>
              <w:adjustRightInd w:val="0"/>
              <w:snapToGrid w:val="0"/>
              <w:spacing w:line="360" w:lineRule="exact"/>
              <w:jc w:val="center"/>
              <w:rPr>
                <w:color w:val="auto"/>
                <w:sz w:val="18"/>
                <w:szCs w:val="18"/>
              </w:rPr>
            </w:pPr>
            <w:r>
              <w:rPr>
                <w:color w:val="auto"/>
                <w:sz w:val="18"/>
                <w:szCs w:val="18"/>
              </w:rPr>
              <w:t>5</w:t>
            </w:r>
          </w:p>
        </w:tc>
        <w:tc>
          <w:tcPr>
            <w:tcW w:w="2016" w:type="dxa"/>
            <w:noWrap w:val="0"/>
            <w:vAlign w:val="center"/>
          </w:tcPr>
          <w:p>
            <w:pPr>
              <w:adjustRightInd w:val="0"/>
              <w:snapToGrid w:val="0"/>
              <w:spacing w:line="360" w:lineRule="exact"/>
              <w:jc w:val="center"/>
              <w:rPr>
                <w:color w:val="auto"/>
                <w:sz w:val="18"/>
                <w:szCs w:val="18"/>
              </w:rPr>
            </w:pPr>
            <w:r>
              <w:rPr>
                <w:color w:val="auto"/>
                <w:sz w:val="18"/>
                <w:szCs w:val="18"/>
              </w:rPr>
              <w:t>破碎机</w:t>
            </w:r>
          </w:p>
        </w:tc>
        <w:tc>
          <w:tcPr>
            <w:tcW w:w="1722" w:type="dxa"/>
            <w:noWrap w:val="0"/>
            <w:vAlign w:val="center"/>
          </w:tcPr>
          <w:p>
            <w:pPr>
              <w:spacing w:line="360" w:lineRule="exact"/>
              <w:jc w:val="center"/>
              <w:rPr>
                <w:rFonts w:hint="eastAsia" w:eastAsia="宋体"/>
                <w:color w:val="auto"/>
                <w:sz w:val="18"/>
                <w:szCs w:val="18"/>
                <w:lang w:val="en-US" w:eastAsia="zh-CN"/>
              </w:rPr>
            </w:pPr>
            <w:r>
              <w:rPr>
                <w:rFonts w:hint="eastAsia"/>
                <w:color w:val="auto"/>
                <w:sz w:val="18"/>
                <w:szCs w:val="18"/>
                <w:lang w:val="en-US" w:eastAsia="zh-CN"/>
              </w:rPr>
              <w:t>2</w:t>
            </w:r>
          </w:p>
        </w:tc>
        <w:tc>
          <w:tcPr>
            <w:tcW w:w="1722" w:type="dxa"/>
            <w:noWrap w:val="0"/>
            <w:vAlign w:val="center"/>
          </w:tcPr>
          <w:p>
            <w:pPr>
              <w:spacing w:line="360" w:lineRule="exact"/>
              <w:jc w:val="center"/>
              <w:rPr>
                <w:color w:val="auto"/>
                <w:sz w:val="18"/>
                <w:szCs w:val="18"/>
              </w:rPr>
            </w:pPr>
            <w:r>
              <w:rPr>
                <w:color w:val="auto"/>
                <w:sz w:val="18"/>
                <w:szCs w:val="18"/>
              </w:rPr>
              <w:t>95~105</w:t>
            </w:r>
          </w:p>
        </w:tc>
        <w:tc>
          <w:tcPr>
            <w:tcW w:w="1691" w:type="dxa"/>
            <w:noWrap w:val="0"/>
            <w:vAlign w:val="center"/>
          </w:tcPr>
          <w:p>
            <w:pPr>
              <w:adjustRightInd w:val="0"/>
              <w:snapToGrid w:val="0"/>
              <w:spacing w:line="360" w:lineRule="exact"/>
              <w:jc w:val="center"/>
              <w:rPr>
                <w:color w:val="auto"/>
                <w:sz w:val="18"/>
                <w:szCs w:val="18"/>
              </w:rPr>
            </w:pPr>
            <w:r>
              <w:rPr>
                <w:color w:val="auto"/>
                <w:sz w:val="18"/>
                <w:szCs w:val="18"/>
              </w:rPr>
              <w:t>连续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1381" w:type="dxa"/>
            <w:noWrap w:val="0"/>
            <w:vAlign w:val="center"/>
          </w:tcPr>
          <w:p>
            <w:pPr>
              <w:adjustRightInd w:val="0"/>
              <w:snapToGrid w:val="0"/>
              <w:spacing w:line="360" w:lineRule="exact"/>
              <w:jc w:val="center"/>
              <w:rPr>
                <w:color w:val="auto"/>
                <w:sz w:val="18"/>
                <w:szCs w:val="18"/>
              </w:rPr>
            </w:pPr>
            <w:r>
              <w:rPr>
                <w:color w:val="auto"/>
                <w:sz w:val="18"/>
                <w:szCs w:val="18"/>
              </w:rPr>
              <w:t>6</w:t>
            </w:r>
          </w:p>
        </w:tc>
        <w:tc>
          <w:tcPr>
            <w:tcW w:w="2016" w:type="dxa"/>
            <w:noWrap w:val="0"/>
            <w:vAlign w:val="center"/>
          </w:tcPr>
          <w:p>
            <w:pPr>
              <w:adjustRightInd w:val="0"/>
              <w:snapToGrid w:val="0"/>
              <w:spacing w:line="360" w:lineRule="exact"/>
              <w:jc w:val="center"/>
              <w:rPr>
                <w:color w:val="auto"/>
                <w:sz w:val="18"/>
                <w:szCs w:val="18"/>
              </w:rPr>
            </w:pPr>
            <w:r>
              <w:rPr>
                <w:color w:val="auto"/>
                <w:sz w:val="18"/>
                <w:szCs w:val="18"/>
              </w:rPr>
              <w:t>振动筛</w:t>
            </w:r>
          </w:p>
        </w:tc>
        <w:tc>
          <w:tcPr>
            <w:tcW w:w="1722" w:type="dxa"/>
            <w:noWrap w:val="0"/>
            <w:vAlign w:val="center"/>
          </w:tcPr>
          <w:p>
            <w:pPr>
              <w:spacing w:line="360" w:lineRule="exact"/>
              <w:jc w:val="center"/>
              <w:rPr>
                <w:rFonts w:hint="eastAsia" w:eastAsia="宋体"/>
                <w:color w:val="auto"/>
                <w:sz w:val="18"/>
                <w:szCs w:val="18"/>
                <w:lang w:val="en-US" w:eastAsia="zh-CN"/>
              </w:rPr>
            </w:pPr>
            <w:r>
              <w:rPr>
                <w:rFonts w:hint="eastAsia"/>
                <w:color w:val="auto"/>
                <w:sz w:val="18"/>
                <w:szCs w:val="18"/>
                <w:lang w:val="en-US" w:eastAsia="zh-CN"/>
              </w:rPr>
              <w:t>1</w:t>
            </w:r>
          </w:p>
        </w:tc>
        <w:tc>
          <w:tcPr>
            <w:tcW w:w="1722" w:type="dxa"/>
            <w:noWrap w:val="0"/>
            <w:vAlign w:val="center"/>
          </w:tcPr>
          <w:p>
            <w:pPr>
              <w:spacing w:line="360" w:lineRule="exact"/>
              <w:jc w:val="center"/>
              <w:rPr>
                <w:color w:val="auto"/>
                <w:sz w:val="18"/>
                <w:szCs w:val="18"/>
              </w:rPr>
            </w:pPr>
            <w:r>
              <w:rPr>
                <w:color w:val="auto"/>
                <w:sz w:val="18"/>
                <w:szCs w:val="18"/>
              </w:rPr>
              <w:t>85~95</w:t>
            </w:r>
          </w:p>
        </w:tc>
        <w:tc>
          <w:tcPr>
            <w:tcW w:w="1691" w:type="dxa"/>
            <w:noWrap w:val="0"/>
            <w:vAlign w:val="center"/>
          </w:tcPr>
          <w:p>
            <w:pPr>
              <w:adjustRightInd w:val="0"/>
              <w:snapToGrid w:val="0"/>
              <w:spacing w:line="360" w:lineRule="exact"/>
              <w:jc w:val="center"/>
              <w:rPr>
                <w:color w:val="auto"/>
                <w:sz w:val="18"/>
                <w:szCs w:val="18"/>
              </w:rPr>
            </w:pPr>
            <w:r>
              <w:rPr>
                <w:color w:val="auto"/>
                <w:sz w:val="18"/>
                <w:szCs w:val="18"/>
              </w:rPr>
              <w:t>连续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381" w:type="dxa"/>
            <w:noWrap w:val="0"/>
            <w:vAlign w:val="center"/>
          </w:tcPr>
          <w:p>
            <w:pPr>
              <w:adjustRightInd w:val="0"/>
              <w:snapToGrid w:val="0"/>
              <w:spacing w:line="360" w:lineRule="exact"/>
              <w:jc w:val="center"/>
              <w:rPr>
                <w:color w:val="auto"/>
                <w:sz w:val="18"/>
                <w:szCs w:val="18"/>
              </w:rPr>
            </w:pPr>
            <w:r>
              <w:rPr>
                <w:color w:val="auto"/>
                <w:sz w:val="18"/>
                <w:szCs w:val="18"/>
              </w:rPr>
              <w:t>7</w:t>
            </w:r>
          </w:p>
        </w:tc>
        <w:tc>
          <w:tcPr>
            <w:tcW w:w="2016" w:type="dxa"/>
            <w:noWrap w:val="0"/>
            <w:vAlign w:val="center"/>
          </w:tcPr>
          <w:p>
            <w:pPr>
              <w:adjustRightInd w:val="0"/>
              <w:snapToGrid w:val="0"/>
              <w:spacing w:line="360" w:lineRule="exact"/>
              <w:jc w:val="center"/>
              <w:rPr>
                <w:color w:val="auto"/>
                <w:sz w:val="18"/>
                <w:szCs w:val="18"/>
              </w:rPr>
            </w:pPr>
            <w:r>
              <w:rPr>
                <w:rFonts w:hint="eastAsia"/>
                <w:snapToGrid w:val="0"/>
                <w:color w:val="auto"/>
                <w:sz w:val="18"/>
                <w:szCs w:val="18"/>
                <w:lang w:eastAsia="zh-CN"/>
              </w:rPr>
              <w:t>深孔</w:t>
            </w:r>
            <w:r>
              <w:rPr>
                <w:color w:val="auto"/>
                <w:sz w:val="18"/>
                <w:szCs w:val="18"/>
              </w:rPr>
              <w:t>爆破</w:t>
            </w:r>
          </w:p>
        </w:tc>
        <w:tc>
          <w:tcPr>
            <w:tcW w:w="1722" w:type="dxa"/>
            <w:noWrap w:val="0"/>
            <w:vAlign w:val="center"/>
          </w:tcPr>
          <w:p>
            <w:pPr>
              <w:spacing w:line="360" w:lineRule="exact"/>
              <w:jc w:val="center"/>
              <w:rPr>
                <w:rFonts w:hint="eastAsia"/>
                <w:color w:val="auto"/>
                <w:sz w:val="18"/>
                <w:szCs w:val="18"/>
                <w:lang w:val="en-US" w:eastAsia="zh-CN"/>
              </w:rPr>
            </w:pPr>
            <w:r>
              <w:rPr>
                <w:rFonts w:hint="eastAsia"/>
                <w:color w:val="auto"/>
                <w:sz w:val="18"/>
                <w:szCs w:val="18"/>
                <w:lang w:val="en-US" w:eastAsia="zh-CN"/>
              </w:rPr>
              <w:t>1</w:t>
            </w:r>
          </w:p>
        </w:tc>
        <w:tc>
          <w:tcPr>
            <w:tcW w:w="1722" w:type="dxa"/>
            <w:noWrap w:val="0"/>
            <w:vAlign w:val="center"/>
          </w:tcPr>
          <w:p>
            <w:pPr>
              <w:spacing w:line="360" w:lineRule="exact"/>
              <w:jc w:val="center"/>
              <w:rPr>
                <w:rFonts w:hint="eastAsia"/>
                <w:color w:val="auto"/>
                <w:sz w:val="18"/>
                <w:szCs w:val="18"/>
                <w:lang w:val="en-US" w:eastAsia="zh-CN"/>
              </w:rPr>
            </w:pPr>
            <w:r>
              <w:rPr>
                <w:color w:val="auto"/>
                <w:sz w:val="18"/>
                <w:szCs w:val="18"/>
              </w:rPr>
              <w:t>100~115</w:t>
            </w:r>
          </w:p>
        </w:tc>
        <w:tc>
          <w:tcPr>
            <w:tcW w:w="1691" w:type="dxa"/>
            <w:noWrap w:val="0"/>
            <w:vAlign w:val="center"/>
          </w:tcPr>
          <w:p>
            <w:pPr>
              <w:adjustRightInd w:val="0"/>
              <w:snapToGrid w:val="0"/>
              <w:spacing w:line="360" w:lineRule="exact"/>
              <w:jc w:val="center"/>
              <w:rPr>
                <w:color w:val="auto"/>
                <w:sz w:val="18"/>
                <w:szCs w:val="18"/>
              </w:rPr>
            </w:pPr>
            <w:r>
              <w:rPr>
                <w:color w:val="auto"/>
                <w:sz w:val="18"/>
                <w:szCs w:val="18"/>
              </w:rPr>
              <w:t>间断</w:t>
            </w:r>
          </w:p>
        </w:tc>
      </w:tr>
    </w:tbl>
    <w:p>
      <w:pPr>
        <w:pStyle w:val="276"/>
        <w:rPr>
          <w:rFonts w:eastAsiaTheme="minorEastAsia"/>
          <w:color w:val="auto"/>
        </w:rPr>
      </w:pPr>
      <w:r>
        <w:rPr>
          <w:rFonts w:eastAsiaTheme="minorEastAsia"/>
          <w:color w:val="auto"/>
        </w:rPr>
        <w:t>（4）固体废物</w:t>
      </w:r>
    </w:p>
    <w:p>
      <w:pPr>
        <w:autoSpaceDE w:val="0"/>
        <w:autoSpaceDN w:val="0"/>
        <w:adjustRightInd w:val="0"/>
        <w:spacing w:line="500" w:lineRule="exact"/>
        <w:ind w:firstLine="480" w:firstLineChars="200"/>
        <w:jc w:val="left"/>
        <w:rPr>
          <w:rFonts w:eastAsiaTheme="minorEastAsia"/>
          <w:color w:val="auto"/>
          <w:kern w:val="0"/>
          <w:szCs w:val="24"/>
        </w:rPr>
      </w:pPr>
      <w:r>
        <w:rPr>
          <w:rFonts w:hint="eastAsia" w:eastAsiaTheme="minorEastAsia"/>
          <w:color w:val="auto"/>
          <w:kern w:val="0"/>
          <w:szCs w:val="24"/>
          <w:lang w:eastAsia="zh-CN"/>
        </w:rPr>
        <w:t>原有工程</w:t>
      </w:r>
      <w:r>
        <w:rPr>
          <w:rFonts w:eastAsiaTheme="minorEastAsia"/>
          <w:color w:val="auto"/>
          <w:kern w:val="0"/>
          <w:szCs w:val="24"/>
        </w:rPr>
        <w:t xml:space="preserve">固体废物主要产生在剥离时的土岩、炸药包装物、职工生活垃圾、除尘器收集到的粉尘、筛分下来的石粉及设备废机油。 </w:t>
      </w:r>
    </w:p>
    <w:p>
      <w:pPr>
        <w:pStyle w:val="276"/>
        <w:jc w:val="both"/>
        <w:rPr>
          <w:rFonts w:hint="eastAsia" w:eastAsiaTheme="minorEastAsia"/>
          <w:color w:val="auto"/>
          <w:lang w:eastAsia="zh-CN"/>
        </w:rPr>
      </w:pPr>
      <w:r>
        <w:rPr>
          <w:rFonts w:hint="eastAsia" w:eastAsiaTheme="minorEastAsia"/>
          <w:color w:val="auto"/>
          <w:lang w:eastAsia="zh-CN"/>
        </w:rPr>
        <w:t>原有工程</w:t>
      </w:r>
      <w:r>
        <w:rPr>
          <w:rFonts w:eastAsiaTheme="minorEastAsia"/>
          <w:color w:val="auto"/>
        </w:rPr>
        <w:t>职工产生的生活垃圾量很少，生活垃圾产生量为1.2t/a，经集中收集后由当地环卫部门统一处理</w:t>
      </w:r>
      <w:r>
        <w:rPr>
          <w:rFonts w:hint="eastAsia" w:eastAsiaTheme="minorEastAsia"/>
          <w:color w:val="auto"/>
          <w:lang w:eastAsia="zh-CN"/>
        </w:rPr>
        <w:t>，</w:t>
      </w:r>
      <w:r>
        <w:rPr>
          <w:rFonts w:eastAsiaTheme="minorEastAsia"/>
          <w:color w:val="auto"/>
        </w:rPr>
        <w:t>不会对环境产生不利的影响</w:t>
      </w:r>
      <w:r>
        <w:rPr>
          <w:rFonts w:hint="eastAsia" w:eastAsiaTheme="minorEastAsia"/>
          <w:color w:val="auto"/>
          <w:lang w:eastAsia="zh-CN"/>
        </w:rPr>
        <w:t>。</w:t>
      </w:r>
    </w:p>
    <w:p>
      <w:pPr>
        <w:pStyle w:val="276"/>
        <w:jc w:val="both"/>
        <w:rPr>
          <w:rFonts w:eastAsiaTheme="minorEastAsia"/>
          <w:color w:val="auto"/>
        </w:rPr>
      </w:pPr>
      <w:r>
        <w:rPr>
          <w:rFonts w:hint="eastAsia" w:eastAsiaTheme="minorEastAsia"/>
          <w:color w:val="auto"/>
          <w:lang w:eastAsia="zh-CN"/>
        </w:rPr>
        <w:t>原有工程</w:t>
      </w:r>
      <w:r>
        <w:rPr>
          <w:rFonts w:eastAsiaTheme="minorEastAsia"/>
          <w:color w:val="auto"/>
        </w:rPr>
        <w:t>剥离的土岩产生</w:t>
      </w:r>
      <w:r>
        <w:rPr>
          <w:rFonts w:hint="eastAsia" w:eastAsiaTheme="minorEastAsia"/>
          <w:color w:val="auto"/>
          <w:lang w:eastAsia="zh-CN"/>
        </w:rPr>
        <w:t>量3.87</w:t>
      </w:r>
      <w:r>
        <w:rPr>
          <w:rFonts w:eastAsiaTheme="minorEastAsia"/>
          <w:color w:val="auto"/>
        </w:rPr>
        <w:t>m</w:t>
      </w:r>
      <w:r>
        <w:rPr>
          <w:rFonts w:eastAsiaTheme="minorEastAsia"/>
          <w:color w:val="auto"/>
          <w:vertAlign w:val="superscript"/>
        </w:rPr>
        <w:t>3</w:t>
      </w:r>
      <w:r>
        <w:rPr>
          <w:rFonts w:eastAsiaTheme="minorEastAsia"/>
          <w:color w:val="auto"/>
        </w:rPr>
        <w:t>/d，</w:t>
      </w:r>
      <w:r>
        <w:rPr>
          <w:rFonts w:hint="eastAsia" w:eastAsiaTheme="minorEastAsia"/>
          <w:color w:val="auto"/>
          <w:lang w:eastAsia="zh-CN"/>
        </w:rPr>
        <w:t>9</w:t>
      </w:r>
      <w:r>
        <w:rPr>
          <w:rFonts w:hint="eastAsia" w:eastAsiaTheme="minorEastAsia"/>
          <w:color w:val="auto"/>
          <w:lang w:val="en-US" w:eastAsia="zh-CN"/>
        </w:rPr>
        <w:t>29</w:t>
      </w:r>
      <w:r>
        <w:rPr>
          <w:rFonts w:eastAsiaTheme="minorEastAsia"/>
          <w:color w:val="auto"/>
        </w:rPr>
        <w:t>m</w:t>
      </w:r>
      <w:r>
        <w:rPr>
          <w:rFonts w:eastAsiaTheme="minorEastAsia"/>
          <w:color w:val="auto"/>
          <w:vertAlign w:val="superscript"/>
        </w:rPr>
        <w:t>3</w:t>
      </w:r>
      <w:r>
        <w:rPr>
          <w:rFonts w:eastAsiaTheme="minorEastAsia"/>
          <w:color w:val="auto"/>
        </w:rPr>
        <w:t>/a，</w:t>
      </w:r>
      <w:r>
        <w:rPr>
          <w:rFonts w:hint="eastAsia" w:eastAsiaTheme="minorEastAsia"/>
          <w:color w:val="auto"/>
          <w:lang w:eastAsia="zh-CN"/>
        </w:rPr>
        <w:t>由于产生量不大，因此建设单位未设置临时堆土场，产生即外售，本次工程补充设置一座临时堆土场</w:t>
      </w:r>
      <w:r>
        <w:rPr>
          <w:rFonts w:eastAsiaTheme="minorEastAsia"/>
          <w:color w:val="auto"/>
        </w:rPr>
        <w:t>。</w:t>
      </w:r>
    </w:p>
    <w:p>
      <w:pPr>
        <w:pStyle w:val="276"/>
        <w:rPr>
          <w:rFonts w:eastAsiaTheme="minorEastAsia"/>
          <w:color w:val="auto"/>
        </w:rPr>
      </w:pPr>
      <w:r>
        <w:rPr>
          <w:rFonts w:eastAsiaTheme="minorEastAsia"/>
          <w:color w:val="auto"/>
        </w:rPr>
        <w:t>炸药包装物主要是板纸和塑料袋，产生量0.4t/a（1kg/箱炸药×20箱/次×20次），包装物统一收集，由爆破部门统一回收利用。</w:t>
      </w:r>
    </w:p>
    <w:p>
      <w:pPr>
        <w:autoSpaceDE w:val="0"/>
        <w:autoSpaceDN w:val="0"/>
        <w:adjustRightInd w:val="0"/>
        <w:spacing w:line="500" w:lineRule="exact"/>
        <w:ind w:firstLine="480" w:firstLineChars="200"/>
        <w:jc w:val="left"/>
        <w:rPr>
          <w:rFonts w:hint="eastAsia" w:ascii="Times New Roman" w:hAnsi="Times New Roman" w:cs="Times New Roman" w:eastAsiaTheme="minorEastAsia"/>
          <w:color w:val="auto"/>
          <w:kern w:val="0"/>
          <w:szCs w:val="24"/>
          <w:lang w:val="en-US" w:eastAsia="zh-CN"/>
        </w:rPr>
      </w:pPr>
      <w:r>
        <w:rPr>
          <w:rFonts w:hint="eastAsia" w:ascii="Times New Roman" w:hAnsi="Times New Roman" w:cs="Times New Roman" w:eastAsiaTheme="minorEastAsia"/>
          <w:color w:val="auto"/>
          <w:kern w:val="0"/>
          <w:szCs w:val="24"/>
          <w:lang w:val="en-US" w:eastAsia="zh-CN"/>
        </w:rPr>
        <w:t>布袋除尘器收集的粉尘量约为2.5t/a，筛分下来石粉约101t/a，原有工程产生的少量石粉堆在厂区，有简单遮挡，无封闭仓，石粉定期外售。</w:t>
      </w:r>
    </w:p>
    <w:p>
      <w:pPr>
        <w:autoSpaceDE w:val="0"/>
        <w:autoSpaceDN w:val="0"/>
        <w:adjustRightInd w:val="0"/>
        <w:spacing w:line="500" w:lineRule="exact"/>
        <w:ind w:firstLine="480" w:firstLineChars="200"/>
        <w:jc w:val="left"/>
        <w:rPr>
          <w:rFonts w:hint="eastAsia" w:ascii="Times New Roman" w:hAnsi="Times New Roman" w:cs="Times New Roman" w:eastAsiaTheme="minorEastAsia"/>
          <w:color w:val="auto"/>
          <w:kern w:val="0"/>
          <w:szCs w:val="24"/>
          <w:lang w:eastAsia="zh-CN"/>
        </w:rPr>
      </w:pPr>
      <w:r>
        <w:rPr>
          <w:rFonts w:hint="eastAsia" w:ascii="Times New Roman" w:hAnsi="Times New Roman" w:cs="Times New Roman" w:eastAsiaTheme="minorEastAsia"/>
          <w:color w:val="auto"/>
          <w:kern w:val="0"/>
          <w:szCs w:val="24"/>
          <w:lang w:eastAsia="zh-CN"/>
        </w:rPr>
        <w:t>机械设备定期更换废机油0.5t/a，属于危险废物，废机油交由有资质单位处置，但未设置专门的危险废物暂存间。</w:t>
      </w:r>
    </w:p>
    <w:p>
      <w:pPr>
        <w:pStyle w:val="276"/>
        <w:rPr>
          <w:rFonts w:eastAsiaTheme="minorEastAsia"/>
          <w:color w:val="auto"/>
        </w:rPr>
      </w:pPr>
      <w:r>
        <w:rPr>
          <w:rFonts w:eastAsiaTheme="minorEastAsia"/>
          <w:color w:val="auto"/>
        </w:rPr>
        <w:t>本项目污染物产生情况见</w:t>
      </w:r>
      <w:r>
        <w:rPr>
          <w:rFonts w:hint="eastAsia" w:eastAsiaTheme="minorEastAsia"/>
          <w:color w:val="auto"/>
          <w:lang w:eastAsia="zh-CN"/>
        </w:rPr>
        <w:t>下表</w:t>
      </w:r>
      <w:r>
        <w:rPr>
          <w:rFonts w:eastAsiaTheme="minorEastAsia"/>
          <w:color w:val="auto"/>
        </w:rPr>
        <w:t>。</w:t>
      </w:r>
    </w:p>
    <w:p>
      <w:pPr>
        <w:pStyle w:val="244"/>
        <w:rPr>
          <w:rFonts w:eastAsiaTheme="minorEastAsia"/>
          <w:b/>
          <w:bCs/>
          <w:color w:val="auto"/>
        </w:rPr>
      </w:pPr>
      <w:r>
        <w:rPr>
          <w:rFonts w:eastAsiaTheme="minorEastAsia"/>
          <w:b/>
          <w:bCs/>
          <w:color w:val="auto"/>
        </w:rPr>
        <w:t>表3-</w:t>
      </w:r>
      <w:r>
        <w:rPr>
          <w:rFonts w:hint="eastAsia" w:eastAsiaTheme="minorEastAsia"/>
          <w:b/>
          <w:bCs/>
          <w:color w:val="auto"/>
          <w:lang w:val="en-US" w:eastAsia="zh-CN"/>
        </w:rPr>
        <w:t>1</w:t>
      </w:r>
      <w:r>
        <w:rPr>
          <w:rFonts w:eastAsiaTheme="minorEastAsia"/>
          <w:b/>
          <w:bCs/>
          <w:color w:val="auto"/>
        </w:rPr>
        <w:t>-</w:t>
      </w:r>
      <w:r>
        <w:rPr>
          <w:rFonts w:hint="eastAsia" w:eastAsiaTheme="minorEastAsia"/>
          <w:b/>
          <w:bCs/>
          <w:color w:val="auto"/>
          <w:lang w:val="en-US" w:eastAsia="zh-CN"/>
        </w:rPr>
        <w:t>3</w:t>
      </w:r>
      <w:r>
        <w:rPr>
          <w:rFonts w:eastAsiaTheme="minorEastAsia"/>
          <w:b/>
          <w:bCs/>
          <w:color w:val="auto"/>
        </w:rPr>
        <w:t xml:space="preserve"> 本项目污染物排放情况汇总</w:t>
      </w:r>
    </w:p>
    <w:tbl>
      <w:tblPr>
        <w:tblStyle w:val="53"/>
        <w:tblW w:w="8306" w:type="dxa"/>
        <w:tblInd w:w="0" w:type="dxa"/>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756"/>
        <w:gridCol w:w="1799"/>
        <w:gridCol w:w="1834"/>
        <w:gridCol w:w="1658"/>
        <w:gridCol w:w="2259"/>
      </w:tblGrid>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756" w:type="dxa"/>
            <w:vAlign w:val="center"/>
          </w:tcPr>
          <w:p>
            <w:pPr>
              <w:pStyle w:val="246"/>
              <w:rPr>
                <w:rFonts w:eastAsiaTheme="minorEastAsia"/>
                <w:color w:val="auto"/>
              </w:rPr>
            </w:pPr>
            <w:r>
              <w:rPr>
                <w:rFonts w:eastAsiaTheme="minorEastAsia"/>
                <w:color w:val="auto"/>
              </w:rPr>
              <w:t>类别</w:t>
            </w:r>
          </w:p>
        </w:tc>
        <w:tc>
          <w:tcPr>
            <w:tcW w:w="1799" w:type="dxa"/>
            <w:vAlign w:val="center"/>
          </w:tcPr>
          <w:p>
            <w:pPr>
              <w:pStyle w:val="246"/>
              <w:rPr>
                <w:rFonts w:eastAsiaTheme="minorEastAsia"/>
                <w:color w:val="auto"/>
              </w:rPr>
            </w:pPr>
            <w:r>
              <w:rPr>
                <w:rFonts w:eastAsiaTheme="minorEastAsia"/>
                <w:color w:val="auto"/>
              </w:rPr>
              <w:t>污染源名称</w:t>
            </w:r>
          </w:p>
        </w:tc>
        <w:tc>
          <w:tcPr>
            <w:tcW w:w="1834" w:type="dxa"/>
            <w:vAlign w:val="center"/>
          </w:tcPr>
          <w:p>
            <w:pPr>
              <w:pStyle w:val="246"/>
              <w:rPr>
                <w:rFonts w:eastAsiaTheme="minorEastAsia"/>
                <w:color w:val="auto"/>
              </w:rPr>
            </w:pPr>
            <w:r>
              <w:rPr>
                <w:rFonts w:eastAsiaTheme="minorEastAsia"/>
                <w:color w:val="auto"/>
              </w:rPr>
              <w:t>污染物名称</w:t>
            </w:r>
          </w:p>
        </w:tc>
        <w:tc>
          <w:tcPr>
            <w:tcW w:w="1658" w:type="dxa"/>
            <w:vAlign w:val="center"/>
          </w:tcPr>
          <w:p>
            <w:pPr>
              <w:pStyle w:val="246"/>
              <w:rPr>
                <w:rFonts w:eastAsiaTheme="minorEastAsia"/>
                <w:color w:val="auto"/>
              </w:rPr>
            </w:pPr>
            <w:r>
              <w:rPr>
                <w:rFonts w:eastAsiaTheme="minorEastAsia"/>
                <w:color w:val="auto"/>
              </w:rPr>
              <w:t>排放量</w:t>
            </w:r>
          </w:p>
        </w:tc>
        <w:tc>
          <w:tcPr>
            <w:tcW w:w="2259" w:type="dxa"/>
            <w:vAlign w:val="center"/>
          </w:tcPr>
          <w:p>
            <w:pPr>
              <w:pStyle w:val="246"/>
              <w:rPr>
                <w:rFonts w:eastAsiaTheme="minorEastAsia"/>
                <w:color w:val="auto"/>
              </w:rPr>
            </w:pPr>
            <w:r>
              <w:rPr>
                <w:rFonts w:eastAsiaTheme="minorEastAsia"/>
                <w:color w:val="auto"/>
              </w:rPr>
              <w:t>排放去向</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756" w:type="dxa"/>
            <w:vMerge w:val="restart"/>
            <w:vAlign w:val="center"/>
          </w:tcPr>
          <w:p>
            <w:pPr>
              <w:pStyle w:val="246"/>
              <w:rPr>
                <w:rFonts w:eastAsiaTheme="minorEastAsia"/>
                <w:color w:val="auto"/>
              </w:rPr>
            </w:pPr>
            <w:r>
              <w:rPr>
                <w:rFonts w:eastAsiaTheme="minorEastAsia"/>
                <w:color w:val="auto"/>
              </w:rPr>
              <w:t>废气</w:t>
            </w:r>
          </w:p>
        </w:tc>
        <w:tc>
          <w:tcPr>
            <w:tcW w:w="1799" w:type="dxa"/>
            <w:vAlign w:val="center"/>
          </w:tcPr>
          <w:p>
            <w:pPr>
              <w:pStyle w:val="246"/>
              <w:rPr>
                <w:rFonts w:eastAsiaTheme="minorEastAsia"/>
                <w:color w:val="auto"/>
              </w:rPr>
            </w:pPr>
            <w:r>
              <w:rPr>
                <w:rFonts w:eastAsiaTheme="minorEastAsia"/>
                <w:color w:val="auto"/>
              </w:rPr>
              <w:t>钻孔</w:t>
            </w:r>
          </w:p>
        </w:tc>
        <w:tc>
          <w:tcPr>
            <w:tcW w:w="1834" w:type="dxa"/>
            <w:vAlign w:val="center"/>
          </w:tcPr>
          <w:p>
            <w:pPr>
              <w:pStyle w:val="246"/>
              <w:rPr>
                <w:rFonts w:eastAsiaTheme="minorEastAsia"/>
                <w:color w:val="auto"/>
              </w:rPr>
            </w:pPr>
            <w:r>
              <w:rPr>
                <w:rFonts w:eastAsiaTheme="minorEastAsia"/>
                <w:color w:val="auto"/>
              </w:rPr>
              <w:t>粉尘</w:t>
            </w:r>
          </w:p>
        </w:tc>
        <w:tc>
          <w:tcPr>
            <w:tcW w:w="1658" w:type="dxa"/>
            <w:vAlign w:val="center"/>
          </w:tcPr>
          <w:p>
            <w:pPr>
              <w:pStyle w:val="246"/>
              <w:rPr>
                <w:rFonts w:eastAsiaTheme="minorEastAsia"/>
                <w:color w:val="auto"/>
              </w:rPr>
            </w:pPr>
            <w:r>
              <w:rPr>
                <w:rFonts w:eastAsiaTheme="minorEastAsia"/>
                <w:color w:val="auto"/>
              </w:rPr>
              <w:t>0.</w:t>
            </w:r>
            <w:r>
              <w:rPr>
                <w:rFonts w:hint="eastAsia" w:eastAsiaTheme="minorEastAsia"/>
                <w:color w:val="auto"/>
                <w:lang w:val="en-US" w:eastAsia="zh-CN"/>
              </w:rPr>
              <w:t>04</w:t>
            </w:r>
            <w:r>
              <w:rPr>
                <w:rFonts w:eastAsiaTheme="minorEastAsia"/>
                <w:color w:val="auto"/>
              </w:rPr>
              <w:t>t/a</w:t>
            </w:r>
          </w:p>
        </w:tc>
        <w:tc>
          <w:tcPr>
            <w:tcW w:w="2259" w:type="dxa"/>
            <w:vAlign w:val="center"/>
          </w:tcPr>
          <w:p>
            <w:pPr>
              <w:pStyle w:val="246"/>
              <w:rPr>
                <w:rFonts w:eastAsiaTheme="minorEastAsia"/>
                <w:color w:val="auto"/>
              </w:rPr>
            </w:pPr>
            <w:r>
              <w:rPr>
                <w:rFonts w:eastAsiaTheme="minorEastAsia"/>
                <w:color w:val="auto"/>
              </w:rPr>
              <w:t>无组织排放</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756" w:type="dxa"/>
            <w:vMerge w:val="continue"/>
            <w:vAlign w:val="center"/>
          </w:tcPr>
          <w:p>
            <w:pPr>
              <w:pStyle w:val="246"/>
              <w:rPr>
                <w:rFonts w:eastAsiaTheme="minorEastAsia"/>
                <w:color w:val="auto"/>
              </w:rPr>
            </w:pPr>
          </w:p>
        </w:tc>
        <w:tc>
          <w:tcPr>
            <w:tcW w:w="1799" w:type="dxa"/>
            <w:vAlign w:val="center"/>
          </w:tcPr>
          <w:p>
            <w:pPr>
              <w:pStyle w:val="246"/>
              <w:rPr>
                <w:rFonts w:eastAsiaTheme="minorEastAsia"/>
                <w:color w:val="auto"/>
              </w:rPr>
            </w:pPr>
            <w:r>
              <w:rPr>
                <w:rFonts w:eastAsiaTheme="minorEastAsia"/>
                <w:color w:val="auto"/>
              </w:rPr>
              <w:t>爆破</w:t>
            </w:r>
          </w:p>
        </w:tc>
        <w:tc>
          <w:tcPr>
            <w:tcW w:w="1834" w:type="dxa"/>
            <w:vAlign w:val="center"/>
          </w:tcPr>
          <w:p>
            <w:pPr>
              <w:pStyle w:val="246"/>
              <w:rPr>
                <w:rFonts w:eastAsiaTheme="minorEastAsia"/>
                <w:color w:val="auto"/>
              </w:rPr>
            </w:pPr>
            <w:r>
              <w:rPr>
                <w:rFonts w:eastAsiaTheme="minorEastAsia"/>
                <w:color w:val="auto"/>
              </w:rPr>
              <w:t>粉尘</w:t>
            </w:r>
          </w:p>
        </w:tc>
        <w:tc>
          <w:tcPr>
            <w:tcW w:w="1658" w:type="dxa"/>
            <w:vAlign w:val="center"/>
          </w:tcPr>
          <w:p>
            <w:pPr>
              <w:pStyle w:val="246"/>
              <w:rPr>
                <w:rFonts w:eastAsiaTheme="minorEastAsia"/>
                <w:color w:val="auto"/>
              </w:rPr>
            </w:pPr>
            <w:r>
              <w:rPr>
                <w:rFonts w:eastAsiaTheme="minorEastAsia"/>
                <w:color w:val="auto"/>
              </w:rPr>
              <w:t>0.</w:t>
            </w:r>
            <w:r>
              <w:rPr>
                <w:rFonts w:hint="eastAsia" w:eastAsiaTheme="minorEastAsia"/>
                <w:color w:val="auto"/>
                <w:lang w:val="en-US" w:eastAsia="zh-CN"/>
              </w:rPr>
              <w:t>1</w:t>
            </w:r>
            <w:r>
              <w:rPr>
                <w:rFonts w:eastAsiaTheme="minorEastAsia"/>
                <w:color w:val="auto"/>
              </w:rPr>
              <w:t>5t/a</w:t>
            </w:r>
          </w:p>
        </w:tc>
        <w:tc>
          <w:tcPr>
            <w:tcW w:w="2259" w:type="dxa"/>
            <w:vAlign w:val="center"/>
          </w:tcPr>
          <w:p>
            <w:pPr>
              <w:pStyle w:val="246"/>
              <w:rPr>
                <w:rFonts w:eastAsiaTheme="minorEastAsia"/>
                <w:color w:val="auto"/>
              </w:rPr>
            </w:pPr>
            <w:r>
              <w:rPr>
                <w:rFonts w:eastAsiaTheme="minorEastAsia"/>
                <w:color w:val="auto"/>
              </w:rPr>
              <w:t>无组织排放</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756" w:type="dxa"/>
            <w:vMerge w:val="continue"/>
            <w:vAlign w:val="center"/>
          </w:tcPr>
          <w:p>
            <w:pPr>
              <w:pStyle w:val="246"/>
              <w:rPr>
                <w:rFonts w:eastAsiaTheme="minorEastAsia"/>
                <w:color w:val="auto"/>
              </w:rPr>
            </w:pPr>
          </w:p>
        </w:tc>
        <w:tc>
          <w:tcPr>
            <w:tcW w:w="1799" w:type="dxa"/>
            <w:vAlign w:val="center"/>
          </w:tcPr>
          <w:p>
            <w:pPr>
              <w:pStyle w:val="246"/>
              <w:rPr>
                <w:rFonts w:eastAsiaTheme="minorEastAsia"/>
                <w:color w:val="auto"/>
              </w:rPr>
            </w:pPr>
            <w:r>
              <w:rPr>
                <w:rFonts w:eastAsiaTheme="minorEastAsia"/>
                <w:color w:val="auto"/>
              </w:rPr>
              <w:t>集堆、铲装</w:t>
            </w:r>
          </w:p>
        </w:tc>
        <w:tc>
          <w:tcPr>
            <w:tcW w:w="1834" w:type="dxa"/>
            <w:vAlign w:val="center"/>
          </w:tcPr>
          <w:p>
            <w:pPr>
              <w:pStyle w:val="246"/>
              <w:rPr>
                <w:rFonts w:eastAsiaTheme="minorEastAsia"/>
                <w:color w:val="auto"/>
              </w:rPr>
            </w:pPr>
            <w:r>
              <w:rPr>
                <w:rFonts w:eastAsiaTheme="minorEastAsia"/>
                <w:color w:val="auto"/>
              </w:rPr>
              <w:t>粉尘</w:t>
            </w:r>
          </w:p>
        </w:tc>
        <w:tc>
          <w:tcPr>
            <w:tcW w:w="1658" w:type="dxa"/>
            <w:vAlign w:val="center"/>
          </w:tcPr>
          <w:p>
            <w:pPr>
              <w:pStyle w:val="246"/>
              <w:rPr>
                <w:rFonts w:eastAsiaTheme="minorEastAsia"/>
                <w:color w:val="auto"/>
              </w:rPr>
            </w:pPr>
            <w:r>
              <w:rPr>
                <w:rFonts w:eastAsiaTheme="minorEastAsia"/>
                <w:color w:val="auto"/>
              </w:rPr>
              <w:t>0.0</w:t>
            </w:r>
            <w:r>
              <w:rPr>
                <w:rFonts w:hint="eastAsia" w:eastAsiaTheme="minorEastAsia"/>
                <w:color w:val="auto"/>
                <w:lang w:val="en-US" w:eastAsia="zh-CN"/>
              </w:rPr>
              <w:t>5</w:t>
            </w:r>
            <w:r>
              <w:rPr>
                <w:rFonts w:eastAsiaTheme="minorEastAsia"/>
                <w:color w:val="auto"/>
              </w:rPr>
              <w:t>t/a</w:t>
            </w:r>
          </w:p>
        </w:tc>
        <w:tc>
          <w:tcPr>
            <w:tcW w:w="2259" w:type="dxa"/>
            <w:vAlign w:val="center"/>
          </w:tcPr>
          <w:p>
            <w:pPr>
              <w:pStyle w:val="246"/>
              <w:rPr>
                <w:rFonts w:eastAsiaTheme="minorEastAsia"/>
                <w:color w:val="auto"/>
              </w:rPr>
            </w:pPr>
            <w:r>
              <w:rPr>
                <w:rFonts w:eastAsiaTheme="minorEastAsia"/>
                <w:color w:val="auto"/>
              </w:rPr>
              <w:t>无组织排放</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756" w:type="dxa"/>
            <w:vMerge w:val="continue"/>
            <w:vAlign w:val="center"/>
          </w:tcPr>
          <w:p>
            <w:pPr>
              <w:pStyle w:val="246"/>
              <w:rPr>
                <w:rFonts w:eastAsiaTheme="minorEastAsia"/>
                <w:color w:val="auto"/>
              </w:rPr>
            </w:pPr>
          </w:p>
        </w:tc>
        <w:tc>
          <w:tcPr>
            <w:tcW w:w="1799" w:type="dxa"/>
            <w:vAlign w:val="center"/>
          </w:tcPr>
          <w:p>
            <w:pPr>
              <w:pStyle w:val="246"/>
              <w:rPr>
                <w:rFonts w:eastAsiaTheme="minorEastAsia"/>
                <w:color w:val="auto"/>
              </w:rPr>
            </w:pPr>
            <w:r>
              <w:rPr>
                <w:rFonts w:eastAsiaTheme="minorEastAsia"/>
                <w:color w:val="auto"/>
              </w:rPr>
              <w:t>道路运输</w:t>
            </w:r>
          </w:p>
        </w:tc>
        <w:tc>
          <w:tcPr>
            <w:tcW w:w="1834" w:type="dxa"/>
            <w:vAlign w:val="center"/>
          </w:tcPr>
          <w:p>
            <w:pPr>
              <w:pStyle w:val="246"/>
              <w:rPr>
                <w:rFonts w:eastAsiaTheme="minorEastAsia"/>
                <w:color w:val="auto"/>
              </w:rPr>
            </w:pPr>
            <w:r>
              <w:rPr>
                <w:rFonts w:eastAsiaTheme="minorEastAsia"/>
                <w:color w:val="auto"/>
              </w:rPr>
              <w:t>粉尘</w:t>
            </w:r>
          </w:p>
        </w:tc>
        <w:tc>
          <w:tcPr>
            <w:tcW w:w="1658" w:type="dxa"/>
            <w:vAlign w:val="center"/>
          </w:tcPr>
          <w:p>
            <w:pPr>
              <w:pStyle w:val="246"/>
              <w:rPr>
                <w:rFonts w:eastAsiaTheme="minorEastAsia"/>
                <w:color w:val="auto"/>
              </w:rPr>
            </w:pPr>
            <w:r>
              <w:rPr>
                <w:rFonts w:hint="eastAsia" w:eastAsiaTheme="minorEastAsia"/>
                <w:color w:val="auto"/>
                <w:lang w:val="en-US" w:eastAsia="zh-CN"/>
              </w:rPr>
              <w:t>0.32</w:t>
            </w:r>
            <w:r>
              <w:rPr>
                <w:rFonts w:eastAsiaTheme="minorEastAsia"/>
                <w:color w:val="auto"/>
              </w:rPr>
              <w:t>t/a</w:t>
            </w:r>
          </w:p>
        </w:tc>
        <w:tc>
          <w:tcPr>
            <w:tcW w:w="2259" w:type="dxa"/>
            <w:vAlign w:val="center"/>
          </w:tcPr>
          <w:p>
            <w:pPr>
              <w:pStyle w:val="246"/>
              <w:rPr>
                <w:rFonts w:eastAsiaTheme="minorEastAsia"/>
                <w:color w:val="auto"/>
              </w:rPr>
            </w:pPr>
            <w:r>
              <w:rPr>
                <w:rFonts w:eastAsiaTheme="minorEastAsia"/>
                <w:color w:val="auto"/>
              </w:rPr>
              <w:t>无组织排放</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756" w:type="dxa"/>
            <w:vMerge w:val="continue"/>
            <w:vAlign w:val="center"/>
          </w:tcPr>
          <w:p>
            <w:pPr>
              <w:pStyle w:val="246"/>
              <w:rPr>
                <w:rFonts w:eastAsiaTheme="minorEastAsia"/>
                <w:color w:val="auto"/>
              </w:rPr>
            </w:pPr>
          </w:p>
        </w:tc>
        <w:tc>
          <w:tcPr>
            <w:tcW w:w="1799" w:type="dxa"/>
            <w:vAlign w:val="center"/>
          </w:tcPr>
          <w:p>
            <w:pPr>
              <w:pStyle w:val="246"/>
              <w:rPr>
                <w:rFonts w:eastAsiaTheme="minorEastAsia"/>
                <w:color w:val="auto"/>
              </w:rPr>
            </w:pPr>
            <w:r>
              <w:rPr>
                <w:rFonts w:eastAsiaTheme="minorEastAsia"/>
                <w:color w:val="auto"/>
              </w:rPr>
              <w:t>成品料场</w:t>
            </w:r>
          </w:p>
        </w:tc>
        <w:tc>
          <w:tcPr>
            <w:tcW w:w="1834" w:type="dxa"/>
            <w:vAlign w:val="center"/>
          </w:tcPr>
          <w:p>
            <w:pPr>
              <w:pStyle w:val="246"/>
              <w:rPr>
                <w:rFonts w:eastAsiaTheme="minorEastAsia"/>
                <w:color w:val="auto"/>
              </w:rPr>
            </w:pPr>
            <w:r>
              <w:rPr>
                <w:rFonts w:eastAsiaTheme="minorEastAsia"/>
                <w:color w:val="auto"/>
              </w:rPr>
              <w:t>粉尘</w:t>
            </w:r>
          </w:p>
        </w:tc>
        <w:tc>
          <w:tcPr>
            <w:tcW w:w="1658" w:type="dxa"/>
            <w:vAlign w:val="center"/>
          </w:tcPr>
          <w:p>
            <w:pPr>
              <w:pStyle w:val="246"/>
              <w:rPr>
                <w:rFonts w:eastAsiaTheme="minorEastAsia"/>
                <w:color w:val="auto"/>
              </w:rPr>
            </w:pPr>
            <w:r>
              <w:rPr>
                <w:rFonts w:eastAsiaTheme="minorEastAsia"/>
                <w:color w:val="auto"/>
              </w:rPr>
              <w:t>0.</w:t>
            </w:r>
            <w:r>
              <w:rPr>
                <w:rFonts w:hint="eastAsia" w:eastAsiaTheme="minorEastAsia"/>
                <w:color w:val="auto"/>
                <w:lang w:val="en-US" w:eastAsia="zh-CN"/>
              </w:rPr>
              <w:t>02</w:t>
            </w:r>
            <w:r>
              <w:rPr>
                <w:rFonts w:eastAsiaTheme="minorEastAsia"/>
                <w:color w:val="auto"/>
              </w:rPr>
              <w:t>t/a</w:t>
            </w:r>
          </w:p>
        </w:tc>
        <w:tc>
          <w:tcPr>
            <w:tcW w:w="2259" w:type="dxa"/>
            <w:vAlign w:val="center"/>
          </w:tcPr>
          <w:p>
            <w:pPr>
              <w:pStyle w:val="246"/>
              <w:rPr>
                <w:rFonts w:eastAsiaTheme="minorEastAsia"/>
                <w:color w:val="auto"/>
              </w:rPr>
            </w:pPr>
            <w:r>
              <w:rPr>
                <w:rFonts w:eastAsiaTheme="minorEastAsia"/>
                <w:color w:val="auto"/>
              </w:rPr>
              <w:t>无组织排放</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756" w:type="dxa"/>
            <w:vMerge w:val="continue"/>
            <w:vAlign w:val="center"/>
          </w:tcPr>
          <w:p>
            <w:pPr>
              <w:pStyle w:val="246"/>
              <w:rPr>
                <w:rFonts w:eastAsiaTheme="minorEastAsia"/>
                <w:color w:val="auto"/>
              </w:rPr>
            </w:pPr>
          </w:p>
        </w:tc>
        <w:tc>
          <w:tcPr>
            <w:tcW w:w="1799" w:type="dxa"/>
            <w:vAlign w:val="center"/>
          </w:tcPr>
          <w:p>
            <w:pPr>
              <w:pStyle w:val="246"/>
              <w:rPr>
                <w:rFonts w:hint="eastAsia" w:eastAsiaTheme="minorEastAsia"/>
                <w:color w:val="auto"/>
                <w:lang w:eastAsia="zh-CN"/>
              </w:rPr>
            </w:pPr>
            <w:r>
              <w:rPr>
                <w:rFonts w:eastAsiaTheme="minorEastAsia"/>
                <w:color w:val="auto"/>
              </w:rPr>
              <w:t>石粉</w:t>
            </w:r>
            <w:r>
              <w:rPr>
                <w:rFonts w:hint="eastAsia" w:eastAsiaTheme="minorEastAsia"/>
                <w:color w:val="auto"/>
                <w:lang w:eastAsia="zh-CN"/>
              </w:rPr>
              <w:t>堆场</w:t>
            </w:r>
          </w:p>
        </w:tc>
        <w:tc>
          <w:tcPr>
            <w:tcW w:w="1834" w:type="dxa"/>
            <w:vAlign w:val="center"/>
          </w:tcPr>
          <w:p>
            <w:pPr>
              <w:pStyle w:val="246"/>
              <w:rPr>
                <w:rFonts w:eastAsiaTheme="minorEastAsia"/>
                <w:color w:val="auto"/>
              </w:rPr>
            </w:pPr>
            <w:r>
              <w:rPr>
                <w:rFonts w:eastAsiaTheme="minorEastAsia"/>
                <w:color w:val="auto"/>
              </w:rPr>
              <w:t>粉尘</w:t>
            </w:r>
          </w:p>
        </w:tc>
        <w:tc>
          <w:tcPr>
            <w:tcW w:w="1658" w:type="dxa"/>
            <w:vAlign w:val="center"/>
          </w:tcPr>
          <w:p>
            <w:pPr>
              <w:pStyle w:val="246"/>
              <w:rPr>
                <w:rFonts w:eastAsiaTheme="minorEastAsia"/>
                <w:color w:val="auto"/>
              </w:rPr>
            </w:pPr>
            <w:r>
              <w:rPr>
                <w:rFonts w:eastAsiaTheme="minorEastAsia"/>
                <w:color w:val="auto"/>
              </w:rPr>
              <w:t>0.</w:t>
            </w:r>
            <w:r>
              <w:rPr>
                <w:rFonts w:hint="eastAsia" w:eastAsiaTheme="minorEastAsia"/>
                <w:color w:val="auto"/>
                <w:lang w:val="en-US" w:eastAsia="zh-CN"/>
              </w:rPr>
              <w:t>021</w:t>
            </w:r>
            <w:r>
              <w:rPr>
                <w:rFonts w:eastAsiaTheme="minorEastAsia"/>
                <w:color w:val="auto"/>
              </w:rPr>
              <w:t>t/a</w:t>
            </w:r>
          </w:p>
        </w:tc>
        <w:tc>
          <w:tcPr>
            <w:tcW w:w="2259" w:type="dxa"/>
            <w:vAlign w:val="center"/>
          </w:tcPr>
          <w:p>
            <w:pPr>
              <w:pStyle w:val="246"/>
              <w:rPr>
                <w:rFonts w:eastAsiaTheme="minorEastAsia"/>
                <w:color w:val="auto"/>
              </w:rPr>
            </w:pPr>
            <w:r>
              <w:rPr>
                <w:rFonts w:eastAsiaTheme="minorEastAsia"/>
                <w:color w:val="auto"/>
              </w:rPr>
              <w:t>无组织排放</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756" w:type="dxa"/>
            <w:vMerge w:val="continue"/>
            <w:vAlign w:val="center"/>
          </w:tcPr>
          <w:p>
            <w:pPr>
              <w:pStyle w:val="246"/>
              <w:rPr>
                <w:rFonts w:eastAsiaTheme="minorEastAsia"/>
                <w:color w:val="auto"/>
              </w:rPr>
            </w:pPr>
          </w:p>
        </w:tc>
        <w:tc>
          <w:tcPr>
            <w:tcW w:w="1799" w:type="dxa"/>
            <w:vAlign w:val="center"/>
          </w:tcPr>
          <w:p>
            <w:pPr>
              <w:pStyle w:val="246"/>
              <w:rPr>
                <w:rFonts w:eastAsiaTheme="minorEastAsia"/>
                <w:color w:val="auto"/>
              </w:rPr>
            </w:pPr>
            <w:r>
              <w:rPr>
                <w:rFonts w:eastAsiaTheme="minorEastAsia"/>
                <w:color w:val="auto"/>
              </w:rPr>
              <w:t>原矿堆场</w:t>
            </w:r>
          </w:p>
        </w:tc>
        <w:tc>
          <w:tcPr>
            <w:tcW w:w="1834" w:type="dxa"/>
            <w:vAlign w:val="center"/>
          </w:tcPr>
          <w:p>
            <w:pPr>
              <w:pStyle w:val="246"/>
              <w:rPr>
                <w:rFonts w:eastAsiaTheme="minorEastAsia"/>
                <w:color w:val="auto"/>
              </w:rPr>
            </w:pPr>
            <w:r>
              <w:rPr>
                <w:rFonts w:eastAsiaTheme="minorEastAsia"/>
                <w:color w:val="auto"/>
              </w:rPr>
              <w:t>粉尘</w:t>
            </w:r>
          </w:p>
        </w:tc>
        <w:tc>
          <w:tcPr>
            <w:tcW w:w="1658" w:type="dxa"/>
            <w:vAlign w:val="center"/>
          </w:tcPr>
          <w:p>
            <w:pPr>
              <w:pStyle w:val="246"/>
              <w:rPr>
                <w:rFonts w:eastAsiaTheme="minorEastAsia"/>
                <w:color w:val="auto"/>
              </w:rPr>
            </w:pPr>
            <w:r>
              <w:rPr>
                <w:rFonts w:eastAsiaTheme="minorEastAsia"/>
                <w:color w:val="auto"/>
              </w:rPr>
              <w:t>0.0</w:t>
            </w:r>
            <w:r>
              <w:rPr>
                <w:rFonts w:hint="eastAsia" w:eastAsiaTheme="minorEastAsia"/>
                <w:color w:val="auto"/>
                <w:lang w:val="en-US" w:eastAsia="zh-CN"/>
              </w:rPr>
              <w:t>1</w:t>
            </w:r>
            <w:r>
              <w:rPr>
                <w:rFonts w:eastAsiaTheme="minorEastAsia"/>
                <w:color w:val="auto"/>
              </w:rPr>
              <w:t>t/a</w:t>
            </w:r>
          </w:p>
        </w:tc>
        <w:tc>
          <w:tcPr>
            <w:tcW w:w="2259" w:type="dxa"/>
            <w:vAlign w:val="center"/>
          </w:tcPr>
          <w:p>
            <w:pPr>
              <w:pStyle w:val="246"/>
              <w:rPr>
                <w:rFonts w:eastAsiaTheme="minorEastAsia"/>
                <w:color w:val="auto"/>
              </w:rPr>
            </w:pPr>
            <w:r>
              <w:rPr>
                <w:rFonts w:eastAsiaTheme="minorEastAsia"/>
                <w:color w:val="auto"/>
              </w:rPr>
              <w:t>无组织排放</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756" w:type="dxa"/>
            <w:vMerge w:val="continue"/>
            <w:vAlign w:val="center"/>
          </w:tcPr>
          <w:p>
            <w:pPr>
              <w:pStyle w:val="246"/>
              <w:rPr>
                <w:rFonts w:eastAsiaTheme="minorEastAsia"/>
                <w:color w:val="auto"/>
              </w:rPr>
            </w:pPr>
          </w:p>
        </w:tc>
        <w:tc>
          <w:tcPr>
            <w:tcW w:w="1799" w:type="dxa"/>
            <w:vAlign w:val="center"/>
          </w:tcPr>
          <w:p>
            <w:pPr>
              <w:pStyle w:val="246"/>
              <w:rPr>
                <w:rFonts w:hint="eastAsia" w:eastAsiaTheme="minorEastAsia"/>
                <w:color w:val="auto"/>
                <w:lang w:eastAsia="zh-CN"/>
              </w:rPr>
            </w:pPr>
            <w:r>
              <w:rPr>
                <w:rFonts w:hint="eastAsia" w:eastAsiaTheme="minorEastAsia"/>
                <w:color w:val="auto"/>
                <w:lang w:eastAsia="zh-CN"/>
              </w:rPr>
              <w:t>粗碎</w:t>
            </w:r>
          </w:p>
        </w:tc>
        <w:tc>
          <w:tcPr>
            <w:tcW w:w="1834" w:type="dxa"/>
            <w:vAlign w:val="center"/>
          </w:tcPr>
          <w:p>
            <w:pPr>
              <w:pStyle w:val="246"/>
              <w:rPr>
                <w:rFonts w:eastAsiaTheme="minorEastAsia"/>
                <w:color w:val="auto"/>
              </w:rPr>
            </w:pPr>
            <w:r>
              <w:rPr>
                <w:rFonts w:eastAsiaTheme="minorEastAsia"/>
                <w:color w:val="auto"/>
              </w:rPr>
              <w:t>粉尘</w:t>
            </w:r>
          </w:p>
        </w:tc>
        <w:tc>
          <w:tcPr>
            <w:tcW w:w="1658" w:type="dxa"/>
            <w:vAlign w:val="center"/>
          </w:tcPr>
          <w:p>
            <w:pPr>
              <w:pStyle w:val="246"/>
              <w:rPr>
                <w:rFonts w:eastAsiaTheme="minorEastAsia"/>
                <w:color w:val="auto"/>
              </w:rPr>
            </w:pPr>
            <w:r>
              <w:rPr>
                <w:rFonts w:hint="eastAsia" w:eastAsiaTheme="minorEastAsia"/>
                <w:color w:val="auto"/>
                <w:lang w:val="en-US" w:eastAsia="zh-CN"/>
              </w:rPr>
              <w:t>4.65</w:t>
            </w:r>
            <w:r>
              <w:rPr>
                <w:rFonts w:eastAsiaTheme="minorEastAsia"/>
                <w:color w:val="auto"/>
              </w:rPr>
              <w:t>t/a</w:t>
            </w:r>
          </w:p>
        </w:tc>
        <w:tc>
          <w:tcPr>
            <w:tcW w:w="2259" w:type="dxa"/>
            <w:vAlign w:val="center"/>
          </w:tcPr>
          <w:p>
            <w:pPr>
              <w:pStyle w:val="246"/>
              <w:rPr>
                <w:rFonts w:eastAsiaTheme="minorEastAsia"/>
                <w:color w:val="auto"/>
                <w:lang w:val="en-US" w:eastAsia="zh-CN"/>
              </w:rPr>
            </w:pPr>
            <w:r>
              <w:rPr>
                <w:rFonts w:eastAsiaTheme="minorEastAsia"/>
                <w:color w:val="auto"/>
                <w:lang w:val="en-US" w:eastAsia="zh-CN"/>
              </w:rPr>
              <w:t>有组织排放</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756" w:type="dxa"/>
            <w:vMerge w:val="continue"/>
            <w:vAlign w:val="center"/>
          </w:tcPr>
          <w:p>
            <w:pPr>
              <w:pStyle w:val="246"/>
              <w:rPr>
                <w:rFonts w:eastAsiaTheme="minorEastAsia"/>
                <w:color w:val="auto"/>
              </w:rPr>
            </w:pPr>
          </w:p>
        </w:tc>
        <w:tc>
          <w:tcPr>
            <w:tcW w:w="1799" w:type="dxa"/>
            <w:vAlign w:val="center"/>
          </w:tcPr>
          <w:p>
            <w:pPr>
              <w:pStyle w:val="246"/>
              <w:rPr>
                <w:rFonts w:hint="eastAsia" w:eastAsiaTheme="minorEastAsia"/>
                <w:color w:val="auto"/>
                <w:lang w:eastAsia="zh-CN"/>
              </w:rPr>
            </w:pPr>
            <w:r>
              <w:rPr>
                <w:rFonts w:hint="eastAsia" w:eastAsiaTheme="minorEastAsia"/>
                <w:color w:val="auto"/>
                <w:lang w:eastAsia="zh-CN"/>
              </w:rPr>
              <w:t>细碎</w:t>
            </w:r>
          </w:p>
        </w:tc>
        <w:tc>
          <w:tcPr>
            <w:tcW w:w="1834" w:type="dxa"/>
            <w:vAlign w:val="center"/>
          </w:tcPr>
          <w:p>
            <w:pPr>
              <w:pStyle w:val="246"/>
              <w:rPr>
                <w:rFonts w:eastAsiaTheme="minorEastAsia"/>
                <w:color w:val="auto"/>
              </w:rPr>
            </w:pPr>
            <w:r>
              <w:rPr>
                <w:rFonts w:eastAsiaTheme="minorEastAsia"/>
                <w:color w:val="auto"/>
              </w:rPr>
              <w:t>粉尘</w:t>
            </w:r>
          </w:p>
        </w:tc>
        <w:tc>
          <w:tcPr>
            <w:tcW w:w="1658" w:type="dxa"/>
            <w:vAlign w:val="center"/>
          </w:tcPr>
          <w:p>
            <w:pPr>
              <w:pStyle w:val="246"/>
              <w:rPr>
                <w:rFonts w:eastAsiaTheme="minorEastAsia"/>
                <w:color w:val="auto"/>
              </w:rPr>
            </w:pPr>
            <w:r>
              <w:rPr>
                <w:rFonts w:hint="eastAsia" w:eastAsiaTheme="minorEastAsia"/>
                <w:color w:val="auto"/>
                <w:lang w:val="en-US" w:eastAsia="zh-CN"/>
              </w:rPr>
              <w:t>0.05</w:t>
            </w:r>
            <w:r>
              <w:rPr>
                <w:rFonts w:eastAsiaTheme="minorEastAsia"/>
                <w:color w:val="auto"/>
              </w:rPr>
              <w:t>t/a</w:t>
            </w:r>
          </w:p>
        </w:tc>
        <w:tc>
          <w:tcPr>
            <w:tcW w:w="2259" w:type="dxa"/>
            <w:vAlign w:val="center"/>
          </w:tcPr>
          <w:p>
            <w:pPr>
              <w:pStyle w:val="246"/>
              <w:rPr>
                <w:rFonts w:eastAsiaTheme="minorEastAsia"/>
                <w:color w:val="auto"/>
                <w:lang w:val="en-US" w:eastAsia="zh-CN"/>
              </w:rPr>
            </w:pPr>
            <w:r>
              <w:rPr>
                <w:rFonts w:eastAsiaTheme="minorEastAsia"/>
                <w:color w:val="auto"/>
                <w:lang w:val="en-US" w:eastAsia="zh-CN"/>
              </w:rPr>
              <w:t>有组织排放</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756" w:type="dxa"/>
            <w:vMerge w:val="continue"/>
            <w:vAlign w:val="center"/>
          </w:tcPr>
          <w:p>
            <w:pPr>
              <w:pStyle w:val="246"/>
              <w:rPr>
                <w:rFonts w:eastAsiaTheme="minorEastAsia"/>
                <w:color w:val="auto"/>
              </w:rPr>
            </w:pPr>
          </w:p>
        </w:tc>
        <w:tc>
          <w:tcPr>
            <w:tcW w:w="1799" w:type="dxa"/>
            <w:vAlign w:val="center"/>
          </w:tcPr>
          <w:p>
            <w:pPr>
              <w:pStyle w:val="246"/>
              <w:rPr>
                <w:rFonts w:hint="eastAsia" w:eastAsiaTheme="minorEastAsia"/>
                <w:color w:val="auto"/>
                <w:lang w:eastAsia="zh-CN"/>
              </w:rPr>
            </w:pPr>
            <w:r>
              <w:rPr>
                <w:rFonts w:hint="eastAsia" w:eastAsiaTheme="minorEastAsia"/>
                <w:color w:val="auto"/>
                <w:lang w:eastAsia="zh-CN"/>
              </w:rPr>
              <w:t>筛分</w:t>
            </w:r>
          </w:p>
        </w:tc>
        <w:tc>
          <w:tcPr>
            <w:tcW w:w="1834" w:type="dxa"/>
            <w:vAlign w:val="center"/>
          </w:tcPr>
          <w:p>
            <w:pPr>
              <w:pStyle w:val="246"/>
              <w:rPr>
                <w:rFonts w:eastAsiaTheme="minorEastAsia"/>
                <w:color w:val="auto"/>
              </w:rPr>
            </w:pPr>
            <w:r>
              <w:rPr>
                <w:rFonts w:eastAsiaTheme="minorEastAsia"/>
                <w:color w:val="auto"/>
              </w:rPr>
              <w:t>粉尘</w:t>
            </w:r>
          </w:p>
        </w:tc>
        <w:tc>
          <w:tcPr>
            <w:tcW w:w="1658" w:type="dxa"/>
            <w:vAlign w:val="center"/>
          </w:tcPr>
          <w:p>
            <w:pPr>
              <w:pStyle w:val="246"/>
              <w:rPr>
                <w:rFonts w:hint="eastAsia" w:eastAsiaTheme="minorEastAsia"/>
                <w:color w:val="auto"/>
                <w:lang w:val="en-US" w:eastAsia="zh-CN"/>
              </w:rPr>
            </w:pPr>
            <w:r>
              <w:rPr>
                <w:rFonts w:hint="eastAsia" w:eastAsiaTheme="minorEastAsia"/>
                <w:color w:val="auto"/>
                <w:lang w:val="en-US" w:eastAsia="zh-CN"/>
              </w:rPr>
              <w:t>4.88</w:t>
            </w:r>
            <w:r>
              <w:rPr>
                <w:rFonts w:eastAsiaTheme="minorEastAsia"/>
                <w:color w:val="auto"/>
              </w:rPr>
              <w:t>t/a</w:t>
            </w:r>
          </w:p>
        </w:tc>
        <w:tc>
          <w:tcPr>
            <w:tcW w:w="2259" w:type="dxa"/>
            <w:vAlign w:val="center"/>
          </w:tcPr>
          <w:p>
            <w:pPr>
              <w:pStyle w:val="246"/>
              <w:rPr>
                <w:rFonts w:eastAsiaTheme="minorEastAsia"/>
                <w:color w:val="auto"/>
                <w:lang w:val="en-US" w:eastAsia="zh-CN"/>
              </w:rPr>
            </w:pPr>
            <w:r>
              <w:rPr>
                <w:rFonts w:eastAsiaTheme="minorEastAsia"/>
                <w:color w:val="auto"/>
                <w:lang w:val="en-US" w:eastAsia="zh-CN"/>
              </w:rPr>
              <w:t>有组织排放</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756" w:type="dxa"/>
            <w:vAlign w:val="center"/>
          </w:tcPr>
          <w:p>
            <w:pPr>
              <w:pStyle w:val="246"/>
              <w:rPr>
                <w:rFonts w:eastAsiaTheme="minorEastAsia"/>
                <w:color w:val="auto"/>
              </w:rPr>
            </w:pPr>
            <w:r>
              <w:rPr>
                <w:rFonts w:eastAsiaTheme="minorEastAsia"/>
                <w:color w:val="auto"/>
              </w:rPr>
              <w:t>噪声</w:t>
            </w:r>
          </w:p>
        </w:tc>
        <w:tc>
          <w:tcPr>
            <w:tcW w:w="1799" w:type="dxa"/>
            <w:vAlign w:val="center"/>
          </w:tcPr>
          <w:p>
            <w:pPr>
              <w:pStyle w:val="246"/>
              <w:rPr>
                <w:rFonts w:eastAsiaTheme="minorEastAsia"/>
                <w:color w:val="auto"/>
              </w:rPr>
            </w:pPr>
            <w:r>
              <w:rPr>
                <w:rFonts w:eastAsiaTheme="minorEastAsia"/>
                <w:color w:val="auto"/>
              </w:rPr>
              <w:t>设备、车辆、爆破</w:t>
            </w:r>
          </w:p>
        </w:tc>
        <w:tc>
          <w:tcPr>
            <w:tcW w:w="1834" w:type="dxa"/>
            <w:vAlign w:val="center"/>
          </w:tcPr>
          <w:p>
            <w:pPr>
              <w:pStyle w:val="246"/>
              <w:rPr>
                <w:rFonts w:eastAsiaTheme="minorEastAsia"/>
                <w:color w:val="auto"/>
              </w:rPr>
            </w:pPr>
            <w:r>
              <w:rPr>
                <w:rFonts w:eastAsiaTheme="minorEastAsia"/>
                <w:color w:val="auto"/>
              </w:rPr>
              <w:t>噪声</w:t>
            </w:r>
          </w:p>
        </w:tc>
        <w:tc>
          <w:tcPr>
            <w:tcW w:w="1658" w:type="dxa"/>
            <w:vAlign w:val="center"/>
          </w:tcPr>
          <w:p>
            <w:pPr>
              <w:pStyle w:val="246"/>
              <w:rPr>
                <w:rFonts w:eastAsiaTheme="minorEastAsia"/>
                <w:color w:val="auto"/>
              </w:rPr>
            </w:pPr>
            <w:r>
              <w:rPr>
                <w:rFonts w:hint="eastAsia" w:eastAsiaTheme="minorEastAsia"/>
                <w:color w:val="auto"/>
                <w:lang w:val="en-US" w:eastAsia="zh-CN"/>
              </w:rPr>
              <w:t>75~115</w:t>
            </w:r>
            <w:r>
              <w:rPr>
                <w:rFonts w:eastAsiaTheme="minorEastAsia"/>
                <w:color w:val="auto"/>
              </w:rPr>
              <w:t>dB（A）</w:t>
            </w:r>
          </w:p>
        </w:tc>
        <w:tc>
          <w:tcPr>
            <w:tcW w:w="2259" w:type="dxa"/>
            <w:vAlign w:val="center"/>
          </w:tcPr>
          <w:p>
            <w:pPr>
              <w:pStyle w:val="246"/>
              <w:rPr>
                <w:rFonts w:eastAsiaTheme="minorEastAsia"/>
                <w:color w:val="auto"/>
              </w:rPr>
            </w:pPr>
            <w:r>
              <w:rPr>
                <w:rFonts w:eastAsiaTheme="minorEastAsia"/>
                <w:color w:val="auto"/>
              </w:rPr>
              <w:t>——</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756" w:type="dxa"/>
            <w:vMerge w:val="restart"/>
            <w:vAlign w:val="center"/>
          </w:tcPr>
          <w:p>
            <w:pPr>
              <w:pStyle w:val="246"/>
              <w:rPr>
                <w:rFonts w:eastAsiaTheme="minorEastAsia"/>
                <w:color w:val="auto"/>
              </w:rPr>
            </w:pPr>
            <w:r>
              <w:rPr>
                <w:rFonts w:eastAsiaTheme="minorEastAsia"/>
                <w:color w:val="auto"/>
              </w:rPr>
              <w:t>废水</w:t>
            </w:r>
          </w:p>
        </w:tc>
        <w:tc>
          <w:tcPr>
            <w:tcW w:w="1799" w:type="dxa"/>
            <w:vAlign w:val="center"/>
          </w:tcPr>
          <w:p>
            <w:pPr>
              <w:pStyle w:val="246"/>
              <w:rPr>
                <w:rFonts w:eastAsiaTheme="minorEastAsia"/>
                <w:color w:val="auto"/>
              </w:rPr>
            </w:pPr>
            <w:r>
              <w:rPr>
                <w:rFonts w:eastAsiaTheme="minorEastAsia"/>
                <w:color w:val="auto"/>
              </w:rPr>
              <w:t>职工生活</w:t>
            </w:r>
          </w:p>
        </w:tc>
        <w:tc>
          <w:tcPr>
            <w:tcW w:w="1834" w:type="dxa"/>
            <w:vAlign w:val="center"/>
          </w:tcPr>
          <w:p>
            <w:pPr>
              <w:pStyle w:val="246"/>
              <w:rPr>
                <w:rFonts w:eastAsiaTheme="minorEastAsia"/>
                <w:color w:val="auto"/>
              </w:rPr>
            </w:pPr>
            <w:r>
              <w:rPr>
                <w:rFonts w:eastAsiaTheme="minorEastAsia"/>
                <w:color w:val="auto"/>
              </w:rPr>
              <w:t>生活污水</w:t>
            </w:r>
          </w:p>
        </w:tc>
        <w:tc>
          <w:tcPr>
            <w:tcW w:w="1658" w:type="dxa"/>
            <w:vAlign w:val="center"/>
          </w:tcPr>
          <w:p>
            <w:pPr>
              <w:pStyle w:val="246"/>
              <w:rPr>
                <w:rFonts w:eastAsiaTheme="minorEastAsia"/>
                <w:color w:val="auto"/>
              </w:rPr>
            </w:pPr>
            <w:r>
              <w:rPr>
                <w:rFonts w:eastAsiaTheme="minorEastAsia"/>
                <w:color w:val="auto"/>
                <w:szCs w:val="24"/>
              </w:rPr>
              <w:t>48t/a</w:t>
            </w:r>
          </w:p>
        </w:tc>
        <w:tc>
          <w:tcPr>
            <w:tcW w:w="2259" w:type="dxa"/>
            <w:vAlign w:val="center"/>
          </w:tcPr>
          <w:p>
            <w:pPr>
              <w:pStyle w:val="246"/>
              <w:rPr>
                <w:rFonts w:eastAsiaTheme="minorEastAsia"/>
                <w:color w:val="auto"/>
                <w:szCs w:val="24"/>
              </w:rPr>
            </w:pPr>
            <w:r>
              <w:rPr>
                <w:rFonts w:eastAsiaTheme="minorEastAsia"/>
                <w:color w:val="auto"/>
                <w:szCs w:val="24"/>
              </w:rPr>
              <w:t>防渗旱厕统一收集，定期清掏外运堆肥</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756" w:type="dxa"/>
            <w:vMerge w:val="continue"/>
            <w:vAlign w:val="center"/>
          </w:tcPr>
          <w:p>
            <w:pPr>
              <w:pStyle w:val="246"/>
              <w:rPr>
                <w:rFonts w:eastAsiaTheme="minorEastAsia"/>
                <w:color w:val="auto"/>
              </w:rPr>
            </w:pPr>
          </w:p>
        </w:tc>
        <w:tc>
          <w:tcPr>
            <w:tcW w:w="1799" w:type="dxa"/>
            <w:vAlign w:val="center"/>
          </w:tcPr>
          <w:p>
            <w:pPr>
              <w:pStyle w:val="246"/>
              <w:rPr>
                <w:rFonts w:eastAsiaTheme="minorEastAsia"/>
                <w:color w:val="auto"/>
              </w:rPr>
            </w:pPr>
            <w:r>
              <w:rPr>
                <w:rFonts w:eastAsiaTheme="minorEastAsia"/>
                <w:color w:val="auto"/>
              </w:rPr>
              <w:t>生产抑尘</w:t>
            </w:r>
          </w:p>
        </w:tc>
        <w:tc>
          <w:tcPr>
            <w:tcW w:w="1834" w:type="dxa"/>
            <w:vAlign w:val="center"/>
          </w:tcPr>
          <w:p>
            <w:pPr>
              <w:pStyle w:val="246"/>
              <w:rPr>
                <w:rFonts w:eastAsiaTheme="minorEastAsia"/>
                <w:color w:val="auto"/>
              </w:rPr>
            </w:pPr>
            <w:r>
              <w:rPr>
                <w:rFonts w:eastAsiaTheme="minorEastAsia"/>
                <w:color w:val="auto"/>
              </w:rPr>
              <w:t>生产废水</w:t>
            </w:r>
          </w:p>
        </w:tc>
        <w:tc>
          <w:tcPr>
            <w:tcW w:w="1658" w:type="dxa"/>
            <w:vAlign w:val="center"/>
          </w:tcPr>
          <w:p>
            <w:pPr>
              <w:pStyle w:val="246"/>
              <w:rPr>
                <w:rFonts w:eastAsiaTheme="minorEastAsia"/>
                <w:color w:val="auto"/>
              </w:rPr>
            </w:pPr>
            <w:r>
              <w:rPr>
                <w:rFonts w:eastAsiaTheme="minorEastAsia"/>
                <w:color w:val="auto"/>
                <w:szCs w:val="24"/>
              </w:rPr>
              <w:t>0t/a</w:t>
            </w:r>
          </w:p>
        </w:tc>
        <w:tc>
          <w:tcPr>
            <w:tcW w:w="2259" w:type="dxa"/>
            <w:vAlign w:val="center"/>
          </w:tcPr>
          <w:p>
            <w:pPr>
              <w:pStyle w:val="246"/>
              <w:rPr>
                <w:rFonts w:eastAsiaTheme="minorEastAsia"/>
                <w:color w:val="auto"/>
                <w:szCs w:val="24"/>
              </w:rPr>
            </w:pPr>
            <w:r>
              <w:rPr>
                <w:rFonts w:eastAsiaTheme="minorEastAsia"/>
                <w:color w:val="auto"/>
                <w:szCs w:val="24"/>
              </w:rPr>
              <w:t>蒸发</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756" w:type="dxa"/>
            <w:vMerge w:val="restart"/>
            <w:vAlign w:val="center"/>
          </w:tcPr>
          <w:p>
            <w:pPr>
              <w:pStyle w:val="246"/>
              <w:rPr>
                <w:rFonts w:eastAsiaTheme="minorEastAsia"/>
                <w:color w:val="auto"/>
              </w:rPr>
            </w:pPr>
            <w:r>
              <w:rPr>
                <w:rFonts w:eastAsiaTheme="minorEastAsia"/>
                <w:color w:val="auto"/>
              </w:rPr>
              <w:t>固废</w:t>
            </w:r>
          </w:p>
        </w:tc>
        <w:tc>
          <w:tcPr>
            <w:tcW w:w="1799" w:type="dxa"/>
            <w:vAlign w:val="center"/>
          </w:tcPr>
          <w:p>
            <w:pPr>
              <w:pStyle w:val="246"/>
              <w:rPr>
                <w:rFonts w:eastAsiaTheme="minorEastAsia"/>
                <w:color w:val="auto"/>
              </w:rPr>
            </w:pPr>
            <w:r>
              <w:rPr>
                <w:rFonts w:eastAsiaTheme="minorEastAsia"/>
                <w:color w:val="auto"/>
              </w:rPr>
              <w:t>职工生活</w:t>
            </w:r>
          </w:p>
        </w:tc>
        <w:tc>
          <w:tcPr>
            <w:tcW w:w="1834" w:type="dxa"/>
            <w:vAlign w:val="center"/>
          </w:tcPr>
          <w:p>
            <w:pPr>
              <w:pStyle w:val="246"/>
              <w:rPr>
                <w:rFonts w:eastAsiaTheme="minorEastAsia"/>
                <w:color w:val="auto"/>
              </w:rPr>
            </w:pPr>
            <w:r>
              <w:rPr>
                <w:rFonts w:eastAsiaTheme="minorEastAsia"/>
                <w:color w:val="auto"/>
              </w:rPr>
              <w:t>生活垃圾</w:t>
            </w:r>
          </w:p>
        </w:tc>
        <w:tc>
          <w:tcPr>
            <w:tcW w:w="1658" w:type="dxa"/>
            <w:vAlign w:val="center"/>
          </w:tcPr>
          <w:p>
            <w:pPr>
              <w:pStyle w:val="246"/>
              <w:rPr>
                <w:rFonts w:eastAsiaTheme="minorEastAsia"/>
                <w:color w:val="auto"/>
              </w:rPr>
            </w:pPr>
            <w:r>
              <w:rPr>
                <w:rFonts w:eastAsiaTheme="minorEastAsia"/>
                <w:color w:val="auto"/>
                <w:szCs w:val="24"/>
              </w:rPr>
              <w:t>1.2t/a</w:t>
            </w:r>
          </w:p>
        </w:tc>
        <w:tc>
          <w:tcPr>
            <w:tcW w:w="2259" w:type="dxa"/>
            <w:vAlign w:val="center"/>
          </w:tcPr>
          <w:p>
            <w:pPr>
              <w:pStyle w:val="246"/>
              <w:rPr>
                <w:rFonts w:eastAsiaTheme="minorEastAsia"/>
                <w:color w:val="auto"/>
              </w:rPr>
            </w:pPr>
            <w:r>
              <w:rPr>
                <w:rFonts w:eastAsiaTheme="minorEastAsia"/>
                <w:color w:val="auto"/>
              </w:rPr>
              <w:t>市政统一处置</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756" w:type="dxa"/>
            <w:vMerge w:val="continue"/>
            <w:vAlign w:val="center"/>
          </w:tcPr>
          <w:p>
            <w:pPr>
              <w:pStyle w:val="246"/>
              <w:rPr>
                <w:rFonts w:eastAsiaTheme="minorEastAsia"/>
                <w:color w:val="auto"/>
              </w:rPr>
            </w:pPr>
          </w:p>
        </w:tc>
        <w:tc>
          <w:tcPr>
            <w:tcW w:w="1799" w:type="dxa"/>
            <w:vAlign w:val="center"/>
          </w:tcPr>
          <w:p>
            <w:pPr>
              <w:pStyle w:val="246"/>
              <w:rPr>
                <w:rFonts w:eastAsiaTheme="minorEastAsia"/>
                <w:color w:val="auto"/>
              </w:rPr>
            </w:pPr>
            <w:r>
              <w:rPr>
                <w:rFonts w:eastAsiaTheme="minorEastAsia"/>
                <w:color w:val="auto"/>
              </w:rPr>
              <w:t>炸药包装物</w:t>
            </w:r>
          </w:p>
        </w:tc>
        <w:tc>
          <w:tcPr>
            <w:tcW w:w="1834" w:type="dxa"/>
            <w:vAlign w:val="center"/>
          </w:tcPr>
          <w:p>
            <w:pPr>
              <w:pStyle w:val="246"/>
              <w:rPr>
                <w:rFonts w:eastAsiaTheme="minorEastAsia"/>
                <w:color w:val="auto"/>
              </w:rPr>
            </w:pPr>
            <w:r>
              <w:rPr>
                <w:rFonts w:eastAsiaTheme="minorEastAsia"/>
                <w:color w:val="auto"/>
              </w:rPr>
              <w:t>纸壳、塑料</w:t>
            </w:r>
          </w:p>
        </w:tc>
        <w:tc>
          <w:tcPr>
            <w:tcW w:w="1658" w:type="dxa"/>
            <w:vAlign w:val="center"/>
          </w:tcPr>
          <w:p>
            <w:pPr>
              <w:pStyle w:val="246"/>
              <w:rPr>
                <w:rFonts w:eastAsiaTheme="minorEastAsia"/>
                <w:color w:val="auto"/>
              </w:rPr>
            </w:pPr>
            <w:r>
              <w:rPr>
                <w:rFonts w:eastAsiaTheme="minorEastAsia"/>
                <w:color w:val="auto"/>
              </w:rPr>
              <w:t>0.4t/a</w:t>
            </w:r>
          </w:p>
        </w:tc>
        <w:tc>
          <w:tcPr>
            <w:tcW w:w="2259" w:type="dxa"/>
            <w:vAlign w:val="center"/>
          </w:tcPr>
          <w:p>
            <w:pPr>
              <w:pStyle w:val="246"/>
              <w:rPr>
                <w:rFonts w:eastAsiaTheme="minorEastAsia"/>
                <w:color w:val="auto"/>
              </w:rPr>
            </w:pPr>
            <w:r>
              <w:rPr>
                <w:rFonts w:eastAsiaTheme="minorEastAsia"/>
                <w:color w:val="auto"/>
              </w:rPr>
              <w:t>爆破部门统一回收再利用</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756" w:type="dxa"/>
            <w:vMerge w:val="continue"/>
            <w:vAlign w:val="center"/>
          </w:tcPr>
          <w:p>
            <w:pPr>
              <w:pStyle w:val="246"/>
              <w:rPr>
                <w:rFonts w:eastAsiaTheme="minorEastAsia"/>
                <w:color w:val="auto"/>
              </w:rPr>
            </w:pPr>
          </w:p>
        </w:tc>
        <w:tc>
          <w:tcPr>
            <w:tcW w:w="1799" w:type="dxa"/>
            <w:vAlign w:val="center"/>
          </w:tcPr>
          <w:p>
            <w:pPr>
              <w:pStyle w:val="246"/>
              <w:rPr>
                <w:rFonts w:eastAsiaTheme="minorEastAsia"/>
                <w:color w:val="auto"/>
              </w:rPr>
            </w:pPr>
            <w:r>
              <w:rPr>
                <w:rFonts w:eastAsiaTheme="minorEastAsia"/>
                <w:color w:val="auto"/>
              </w:rPr>
              <w:t>剥离的土岩</w:t>
            </w:r>
          </w:p>
        </w:tc>
        <w:tc>
          <w:tcPr>
            <w:tcW w:w="1834" w:type="dxa"/>
            <w:vAlign w:val="center"/>
          </w:tcPr>
          <w:p>
            <w:pPr>
              <w:pStyle w:val="246"/>
              <w:rPr>
                <w:rFonts w:eastAsiaTheme="minorEastAsia"/>
                <w:color w:val="auto"/>
              </w:rPr>
            </w:pPr>
            <w:r>
              <w:rPr>
                <w:rFonts w:eastAsiaTheme="minorEastAsia"/>
                <w:color w:val="auto"/>
              </w:rPr>
              <w:t>土岩</w:t>
            </w:r>
          </w:p>
        </w:tc>
        <w:tc>
          <w:tcPr>
            <w:tcW w:w="1658" w:type="dxa"/>
            <w:vAlign w:val="center"/>
          </w:tcPr>
          <w:p>
            <w:pPr>
              <w:pStyle w:val="246"/>
              <w:rPr>
                <w:rFonts w:eastAsiaTheme="minorEastAsia"/>
                <w:color w:val="auto"/>
              </w:rPr>
            </w:pPr>
            <w:r>
              <w:rPr>
                <w:rFonts w:hint="eastAsia" w:eastAsiaTheme="minorEastAsia"/>
                <w:color w:val="auto"/>
                <w:lang w:val="en-US" w:eastAsia="zh-CN"/>
              </w:rPr>
              <w:t>929</w:t>
            </w:r>
            <w:r>
              <w:rPr>
                <w:rFonts w:eastAsiaTheme="minorEastAsia"/>
                <w:color w:val="auto"/>
              </w:rPr>
              <w:t>m</w:t>
            </w:r>
            <w:r>
              <w:rPr>
                <w:rFonts w:eastAsiaTheme="minorEastAsia"/>
                <w:color w:val="auto"/>
                <w:vertAlign w:val="superscript"/>
              </w:rPr>
              <w:t>3</w:t>
            </w:r>
            <w:r>
              <w:rPr>
                <w:rFonts w:eastAsiaTheme="minorEastAsia"/>
                <w:color w:val="auto"/>
              </w:rPr>
              <w:t>/a</w:t>
            </w:r>
          </w:p>
        </w:tc>
        <w:tc>
          <w:tcPr>
            <w:tcW w:w="2259" w:type="dxa"/>
            <w:vAlign w:val="center"/>
          </w:tcPr>
          <w:p>
            <w:pPr>
              <w:pStyle w:val="246"/>
              <w:rPr>
                <w:rFonts w:eastAsiaTheme="minorEastAsia"/>
                <w:color w:val="auto"/>
              </w:rPr>
            </w:pPr>
            <w:r>
              <w:rPr>
                <w:rFonts w:eastAsiaTheme="minorEastAsia"/>
                <w:color w:val="auto"/>
              </w:rPr>
              <w:t>定期外售</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756" w:type="dxa"/>
            <w:vMerge w:val="continue"/>
            <w:vAlign w:val="center"/>
          </w:tcPr>
          <w:p>
            <w:pPr>
              <w:pStyle w:val="246"/>
              <w:rPr>
                <w:rFonts w:eastAsiaTheme="minorEastAsia"/>
                <w:color w:val="auto"/>
              </w:rPr>
            </w:pPr>
          </w:p>
        </w:tc>
        <w:tc>
          <w:tcPr>
            <w:tcW w:w="1799" w:type="dxa"/>
            <w:vAlign w:val="center"/>
          </w:tcPr>
          <w:p>
            <w:pPr>
              <w:pStyle w:val="246"/>
              <w:rPr>
                <w:rFonts w:eastAsiaTheme="minorEastAsia"/>
                <w:color w:val="auto"/>
              </w:rPr>
            </w:pPr>
            <w:r>
              <w:rPr>
                <w:rFonts w:eastAsiaTheme="minorEastAsia"/>
                <w:color w:val="auto"/>
              </w:rPr>
              <w:t>废机油</w:t>
            </w:r>
          </w:p>
        </w:tc>
        <w:tc>
          <w:tcPr>
            <w:tcW w:w="1834" w:type="dxa"/>
            <w:vAlign w:val="center"/>
          </w:tcPr>
          <w:p>
            <w:pPr>
              <w:pStyle w:val="246"/>
              <w:rPr>
                <w:rFonts w:eastAsiaTheme="minorEastAsia"/>
                <w:color w:val="auto"/>
              </w:rPr>
            </w:pPr>
            <w:r>
              <w:rPr>
                <w:rFonts w:eastAsiaTheme="minorEastAsia"/>
                <w:color w:val="auto"/>
              </w:rPr>
              <w:t>废机油</w:t>
            </w:r>
          </w:p>
        </w:tc>
        <w:tc>
          <w:tcPr>
            <w:tcW w:w="1658" w:type="dxa"/>
            <w:vAlign w:val="center"/>
          </w:tcPr>
          <w:p>
            <w:pPr>
              <w:pStyle w:val="246"/>
              <w:rPr>
                <w:rFonts w:eastAsiaTheme="minorEastAsia"/>
                <w:color w:val="auto"/>
              </w:rPr>
            </w:pPr>
            <w:r>
              <w:rPr>
                <w:rFonts w:eastAsiaTheme="minorEastAsia"/>
                <w:color w:val="auto"/>
              </w:rPr>
              <w:t>0.5t/a</w:t>
            </w:r>
          </w:p>
        </w:tc>
        <w:tc>
          <w:tcPr>
            <w:tcW w:w="2259" w:type="dxa"/>
            <w:vAlign w:val="center"/>
          </w:tcPr>
          <w:p>
            <w:pPr>
              <w:pStyle w:val="246"/>
              <w:rPr>
                <w:rFonts w:eastAsiaTheme="minorEastAsia"/>
                <w:color w:val="auto"/>
              </w:rPr>
            </w:pPr>
            <w:r>
              <w:rPr>
                <w:rFonts w:eastAsiaTheme="minorEastAsia"/>
                <w:color w:val="auto"/>
              </w:rPr>
              <w:t>有资质部门处置</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756" w:type="dxa"/>
            <w:vMerge w:val="continue"/>
            <w:vAlign w:val="center"/>
          </w:tcPr>
          <w:p>
            <w:pPr>
              <w:pStyle w:val="246"/>
              <w:rPr>
                <w:rFonts w:eastAsiaTheme="minorEastAsia"/>
                <w:color w:val="auto"/>
              </w:rPr>
            </w:pPr>
          </w:p>
        </w:tc>
        <w:tc>
          <w:tcPr>
            <w:tcW w:w="1799" w:type="dxa"/>
            <w:vAlign w:val="center"/>
          </w:tcPr>
          <w:p>
            <w:pPr>
              <w:pStyle w:val="246"/>
              <w:rPr>
                <w:rFonts w:eastAsiaTheme="minorEastAsia"/>
                <w:color w:val="auto"/>
              </w:rPr>
            </w:pPr>
            <w:r>
              <w:rPr>
                <w:rFonts w:eastAsiaTheme="minorEastAsia"/>
                <w:color w:val="auto"/>
              </w:rPr>
              <w:t>布袋除尘器收集粉尘</w:t>
            </w:r>
          </w:p>
        </w:tc>
        <w:tc>
          <w:tcPr>
            <w:tcW w:w="1834" w:type="dxa"/>
            <w:vAlign w:val="center"/>
          </w:tcPr>
          <w:p>
            <w:pPr>
              <w:pStyle w:val="246"/>
              <w:rPr>
                <w:rFonts w:eastAsiaTheme="minorEastAsia"/>
                <w:color w:val="auto"/>
              </w:rPr>
            </w:pPr>
            <w:r>
              <w:rPr>
                <w:rFonts w:eastAsiaTheme="minorEastAsia"/>
                <w:color w:val="auto"/>
              </w:rPr>
              <w:t>石粉</w:t>
            </w:r>
          </w:p>
        </w:tc>
        <w:tc>
          <w:tcPr>
            <w:tcW w:w="1658" w:type="dxa"/>
            <w:vAlign w:val="center"/>
          </w:tcPr>
          <w:p>
            <w:pPr>
              <w:pStyle w:val="246"/>
              <w:rPr>
                <w:rFonts w:eastAsiaTheme="minorEastAsia"/>
                <w:color w:val="auto"/>
              </w:rPr>
            </w:pPr>
            <w:r>
              <w:rPr>
                <w:rFonts w:hint="eastAsia" w:eastAsiaTheme="minorEastAsia"/>
                <w:color w:val="auto"/>
                <w:lang w:val="en-US" w:eastAsia="zh-CN"/>
              </w:rPr>
              <w:t>2.5</w:t>
            </w:r>
            <w:r>
              <w:rPr>
                <w:rFonts w:hint="eastAsia" w:eastAsiaTheme="minorEastAsia"/>
                <w:color w:val="auto"/>
                <w:lang w:eastAsia="zh-CN"/>
              </w:rPr>
              <w:t>t/a</w:t>
            </w:r>
          </w:p>
        </w:tc>
        <w:tc>
          <w:tcPr>
            <w:tcW w:w="2259" w:type="dxa"/>
            <w:vAlign w:val="center"/>
          </w:tcPr>
          <w:p>
            <w:pPr>
              <w:pStyle w:val="246"/>
              <w:rPr>
                <w:rFonts w:eastAsiaTheme="minorEastAsia"/>
                <w:color w:val="auto"/>
              </w:rPr>
            </w:pPr>
            <w:r>
              <w:rPr>
                <w:rFonts w:eastAsiaTheme="minorEastAsia"/>
                <w:color w:val="auto"/>
              </w:rPr>
              <w:t>定期外售</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756" w:type="dxa"/>
            <w:vMerge w:val="continue"/>
            <w:vAlign w:val="center"/>
          </w:tcPr>
          <w:p>
            <w:pPr>
              <w:pStyle w:val="246"/>
              <w:rPr>
                <w:rFonts w:eastAsiaTheme="minorEastAsia"/>
                <w:color w:val="auto"/>
              </w:rPr>
            </w:pPr>
          </w:p>
        </w:tc>
        <w:tc>
          <w:tcPr>
            <w:tcW w:w="1799" w:type="dxa"/>
            <w:vAlign w:val="center"/>
          </w:tcPr>
          <w:p>
            <w:pPr>
              <w:pStyle w:val="246"/>
              <w:rPr>
                <w:rFonts w:eastAsiaTheme="minorEastAsia"/>
                <w:color w:val="auto"/>
              </w:rPr>
            </w:pPr>
            <w:r>
              <w:rPr>
                <w:rFonts w:eastAsiaTheme="minorEastAsia"/>
                <w:color w:val="auto"/>
              </w:rPr>
              <w:t>筛分石粉</w:t>
            </w:r>
          </w:p>
        </w:tc>
        <w:tc>
          <w:tcPr>
            <w:tcW w:w="1834" w:type="dxa"/>
            <w:vAlign w:val="center"/>
          </w:tcPr>
          <w:p>
            <w:pPr>
              <w:pStyle w:val="246"/>
              <w:rPr>
                <w:rFonts w:eastAsiaTheme="minorEastAsia"/>
                <w:color w:val="auto"/>
              </w:rPr>
            </w:pPr>
            <w:r>
              <w:rPr>
                <w:rFonts w:eastAsiaTheme="minorEastAsia"/>
                <w:color w:val="auto"/>
              </w:rPr>
              <w:t>石粉</w:t>
            </w:r>
          </w:p>
        </w:tc>
        <w:tc>
          <w:tcPr>
            <w:tcW w:w="1658" w:type="dxa"/>
            <w:vAlign w:val="center"/>
          </w:tcPr>
          <w:p>
            <w:pPr>
              <w:pStyle w:val="246"/>
              <w:rPr>
                <w:rFonts w:eastAsiaTheme="minorEastAsia"/>
                <w:color w:val="auto"/>
              </w:rPr>
            </w:pPr>
            <w:r>
              <w:rPr>
                <w:rFonts w:hint="eastAsia" w:eastAsiaTheme="minorEastAsia"/>
                <w:color w:val="auto"/>
                <w:lang w:eastAsia="zh-CN"/>
              </w:rPr>
              <w:t>101</w:t>
            </w:r>
            <w:r>
              <w:rPr>
                <w:rFonts w:eastAsiaTheme="minorEastAsia"/>
                <w:color w:val="auto"/>
              </w:rPr>
              <w:t>t/a</w:t>
            </w:r>
          </w:p>
        </w:tc>
        <w:tc>
          <w:tcPr>
            <w:tcW w:w="2259" w:type="dxa"/>
            <w:vAlign w:val="center"/>
          </w:tcPr>
          <w:p>
            <w:pPr>
              <w:pStyle w:val="246"/>
              <w:rPr>
                <w:rFonts w:eastAsiaTheme="minorEastAsia"/>
                <w:color w:val="auto"/>
              </w:rPr>
            </w:pPr>
            <w:r>
              <w:rPr>
                <w:rFonts w:eastAsiaTheme="minorEastAsia"/>
                <w:color w:val="auto"/>
              </w:rPr>
              <w:t>定期外售</w:t>
            </w:r>
          </w:p>
        </w:tc>
      </w:tr>
    </w:tbl>
    <w:p>
      <w:pPr>
        <w:pStyle w:val="238"/>
        <w:rPr>
          <w:rFonts w:hint="eastAsia" w:ascii="Times New Roman" w:hAnsi="Times New Roman" w:cs="Times New Roman" w:eastAsiaTheme="minorEastAsia"/>
          <w:color w:val="auto"/>
          <w:lang w:val="en-US" w:eastAsia="zh-CN"/>
        </w:rPr>
      </w:pPr>
      <w:r>
        <w:rPr>
          <w:rFonts w:hint="eastAsia" w:ascii="Times New Roman" w:hAnsi="Times New Roman" w:cs="Times New Roman" w:eastAsiaTheme="minorEastAsia"/>
          <w:color w:val="auto"/>
          <w:lang w:val="en-US" w:eastAsia="zh-CN"/>
        </w:rPr>
        <w:t>3.1.3现有环境问题及拟整改措施</w:t>
      </w:r>
    </w:p>
    <w:p>
      <w:pPr>
        <w:pStyle w:val="276"/>
        <w:spacing w:line="460" w:lineRule="exact"/>
        <w:jc w:val="both"/>
        <w:rPr>
          <w:rFonts w:eastAsiaTheme="minorEastAsia"/>
          <w:color w:val="auto"/>
        </w:rPr>
      </w:pPr>
      <w:r>
        <w:rPr>
          <w:rFonts w:eastAsiaTheme="minorEastAsia"/>
          <w:color w:val="auto"/>
        </w:rPr>
        <w:t>厂区现有少量建筑用碎石及石粉堆存，企业环保设施未完全建设完成，现有矿山存在的环境问题及拟整改措施见下表。</w:t>
      </w:r>
    </w:p>
    <w:p>
      <w:pPr>
        <w:pStyle w:val="244"/>
        <w:rPr>
          <w:rFonts w:ascii="Times New Roman" w:hAnsi="Times New Roman" w:cs="Times New Roman" w:eastAsiaTheme="minorEastAsia"/>
          <w:b/>
          <w:bCs/>
          <w:color w:val="auto"/>
        </w:rPr>
      </w:pPr>
      <w:r>
        <w:rPr>
          <w:rFonts w:ascii="Times New Roman" w:hAnsi="Times New Roman" w:cs="Times New Roman" w:eastAsiaTheme="minorEastAsia"/>
          <w:b/>
          <w:bCs/>
          <w:color w:val="auto"/>
        </w:rPr>
        <w:t>表3-</w:t>
      </w:r>
      <w:r>
        <w:rPr>
          <w:rFonts w:hint="eastAsia" w:ascii="Times New Roman" w:hAnsi="Times New Roman" w:cs="Times New Roman" w:eastAsiaTheme="minorEastAsia"/>
          <w:b/>
          <w:bCs/>
          <w:color w:val="auto"/>
          <w:lang w:val="en-US" w:eastAsia="zh-CN"/>
        </w:rPr>
        <w:t>1</w:t>
      </w:r>
      <w:r>
        <w:rPr>
          <w:rFonts w:ascii="Times New Roman" w:hAnsi="Times New Roman" w:cs="Times New Roman" w:eastAsiaTheme="minorEastAsia"/>
          <w:b/>
          <w:bCs/>
          <w:color w:val="auto"/>
        </w:rPr>
        <w:t>-</w:t>
      </w:r>
      <w:r>
        <w:rPr>
          <w:rFonts w:hint="eastAsia" w:ascii="Times New Roman" w:hAnsi="Times New Roman" w:cs="Times New Roman" w:eastAsiaTheme="minorEastAsia"/>
          <w:b/>
          <w:bCs/>
          <w:color w:val="auto"/>
          <w:lang w:val="en-US" w:eastAsia="zh-CN"/>
        </w:rPr>
        <w:t xml:space="preserve">4 </w:t>
      </w:r>
      <w:r>
        <w:rPr>
          <w:rFonts w:ascii="Times New Roman" w:hAnsi="Times New Roman" w:cs="Times New Roman" w:eastAsiaTheme="minorEastAsia"/>
          <w:b/>
          <w:bCs/>
          <w:color w:val="auto"/>
        </w:rPr>
        <w:t>现有环境问题及采取的环保措施</w:t>
      </w:r>
    </w:p>
    <w:tbl>
      <w:tblPr>
        <w:tblStyle w:val="53"/>
        <w:tblW w:w="8522" w:type="dxa"/>
        <w:jc w:val="center"/>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816"/>
        <w:gridCol w:w="3579"/>
        <w:gridCol w:w="4127"/>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80" w:hRule="atLeast"/>
          <w:jc w:val="center"/>
        </w:trPr>
        <w:tc>
          <w:tcPr>
            <w:tcW w:w="816" w:type="dxa"/>
            <w:vAlign w:val="center"/>
          </w:tcPr>
          <w:p>
            <w:pPr>
              <w:pStyle w:val="292"/>
              <w:jc w:val="center"/>
              <w:rPr>
                <w:rFonts w:eastAsiaTheme="minorEastAsia"/>
                <w:color w:val="auto"/>
              </w:rPr>
            </w:pPr>
            <w:r>
              <w:rPr>
                <w:rFonts w:eastAsiaTheme="minorEastAsia"/>
                <w:color w:val="auto"/>
              </w:rPr>
              <w:t>序号</w:t>
            </w:r>
          </w:p>
        </w:tc>
        <w:tc>
          <w:tcPr>
            <w:tcW w:w="3579" w:type="dxa"/>
            <w:vAlign w:val="center"/>
          </w:tcPr>
          <w:p>
            <w:pPr>
              <w:pStyle w:val="292"/>
              <w:jc w:val="center"/>
              <w:rPr>
                <w:rFonts w:eastAsiaTheme="minorEastAsia"/>
                <w:color w:val="auto"/>
              </w:rPr>
            </w:pPr>
            <w:r>
              <w:rPr>
                <w:rFonts w:eastAsiaTheme="minorEastAsia"/>
                <w:color w:val="auto"/>
              </w:rPr>
              <w:t>现有环境问题</w:t>
            </w:r>
          </w:p>
        </w:tc>
        <w:tc>
          <w:tcPr>
            <w:tcW w:w="4127" w:type="dxa"/>
            <w:vAlign w:val="center"/>
          </w:tcPr>
          <w:p>
            <w:pPr>
              <w:pStyle w:val="292"/>
              <w:jc w:val="center"/>
              <w:rPr>
                <w:rFonts w:eastAsiaTheme="minorEastAsia"/>
                <w:color w:val="auto"/>
              </w:rPr>
            </w:pPr>
            <w:r>
              <w:rPr>
                <w:rFonts w:eastAsiaTheme="minorEastAsia"/>
                <w:color w:val="auto"/>
              </w:rPr>
              <w:t>拟采取的环保措施</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80" w:hRule="atLeast"/>
          <w:jc w:val="center"/>
        </w:trPr>
        <w:tc>
          <w:tcPr>
            <w:tcW w:w="816" w:type="dxa"/>
            <w:vAlign w:val="center"/>
          </w:tcPr>
          <w:p>
            <w:pPr>
              <w:pStyle w:val="292"/>
              <w:jc w:val="center"/>
              <w:rPr>
                <w:rFonts w:eastAsiaTheme="minorEastAsia"/>
                <w:color w:val="auto"/>
              </w:rPr>
            </w:pPr>
            <w:r>
              <w:rPr>
                <w:rFonts w:eastAsiaTheme="minorEastAsia"/>
                <w:color w:val="auto"/>
              </w:rPr>
              <w:t>1</w:t>
            </w:r>
          </w:p>
        </w:tc>
        <w:tc>
          <w:tcPr>
            <w:tcW w:w="3579" w:type="dxa"/>
            <w:vAlign w:val="center"/>
          </w:tcPr>
          <w:p>
            <w:pPr>
              <w:pStyle w:val="292"/>
              <w:jc w:val="center"/>
              <w:rPr>
                <w:rFonts w:eastAsiaTheme="minorEastAsia"/>
                <w:color w:val="auto"/>
              </w:rPr>
            </w:pPr>
            <w:r>
              <w:rPr>
                <w:rFonts w:eastAsiaTheme="minorEastAsia"/>
                <w:color w:val="auto"/>
              </w:rPr>
              <w:t>采场周边未设置截流沟和贮水池，且边坡高度大，陡直无台阶，再加之爆破震动容易形成滑坡，存在安全隐患，加剧水土流失。</w:t>
            </w:r>
          </w:p>
        </w:tc>
        <w:tc>
          <w:tcPr>
            <w:tcW w:w="4127" w:type="dxa"/>
            <w:vAlign w:val="center"/>
          </w:tcPr>
          <w:p>
            <w:pPr>
              <w:pStyle w:val="292"/>
              <w:jc w:val="center"/>
              <w:rPr>
                <w:rFonts w:eastAsiaTheme="minorEastAsia"/>
                <w:color w:val="auto"/>
              </w:rPr>
            </w:pPr>
            <w:r>
              <w:rPr>
                <w:rFonts w:eastAsiaTheme="minorEastAsia"/>
                <w:color w:val="auto"/>
              </w:rPr>
              <w:t>矿区内设置截流沟和贮水池。</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80" w:hRule="atLeast"/>
          <w:jc w:val="center"/>
        </w:trPr>
        <w:tc>
          <w:tcPr>
            <w:tcW w:w="816" w:type="dxa"/>
            <w:vAlign w:val="center"/>
          </w:tcPr>
          <w:p>
            <w:pPr>
              <w:pStyle w:val="292"/>
              <w:jc w:val="center"/>
              <w:rPr>
                <w:rFonts w:eastAsiaTheme="minorEastAsia"/>
                <w:color w:val="auto"/>
              </w:rPr>
            </w:pPr>
            <w:r>
              <w:rPr>
                <w:rFonts w:eastAsiaTheme="minorEastAsia"/>
                <w:color w:val="auto"/>
              </w:rPr>
              <w:t>2</w:t>
            </w:r>
          </w:p>
        </w:tc>
        <w:tc>
          <w:tcPr>
            <w:tcW w:w="3579" w:type="dxa"/>
            <w:vAlign w:val="center"/>
          </w:tcPr>
          <w:p>
            <w:pPr>
              <w:pStyle w:val="292"/>
              <w:jc w:val="center"/>
              <w:rPr>
                <w:rFonts w:eastAsiaTheme="minorEastAsia"/>
                <w:color w:val="auto"/>
              </w:rPr>
            </w:pPr>
            <w:r>
              <w:rPr>
                <w:rFonts w:hint="eastAsia" w:eastAsiaTheme="minorEastAsia"/>
                <w:color w:val="auto"/>
                <w:lang w:val="en-US" w:eastAsia="zh-CN"/>
              </w:rPr>
              <w:t>只有细碎工序有除尘和排气筒，粗碎、筛分工序没有设置除尘设施及排气筒</w:t>
            </w:r>
          </w:p>
        </w:tc>
        <w:tc>
          <w:tcPr>
            <w:tcW w:w="4127" w:type="dxa"/>
            <w:vAlign w:val="center"/>
          </w:tcPr>
          <w:p>
            <w:pPr>
              <w:pStyle w:val="292"/>
              <w:jc w:val="center"/>
              <w:rPr>
                <w:rFonts w:eastAsiaTheme="minorEastAsia"/>
                <w:color w:val="auto"/>
              </w:rPr>
            </w:pPr>
            <w:r>
              <w:rPr>
                <w:rFonts w:hint="eastAsia" w:eastAsiaTheme="minorEastAsia"/>
                <w:color w:val="auto"/>
                <w:lang w:val="en-US" w:eastAsia="zh-CN"/>
              </w:rPr>
              <w:t>粗碎、细碎、筛分工序均</w:t>
            </w:r>
            <w:r>
              <w:rPr>
                <w:rFonts w:hint="eastAsia" w:eastAsiaTheme="minorEastAsia"/>
                <w:color w:val="auto"/>
                <w:lang w:eastAsia="zh-CN"/>
              </w:rPr>
              <w:t>采用布袋除尘器除尘，</w:t>
            </w:r>
            <w:r>
              <w:rPr>
                <w:rFonts w:hint="eastAsia" w:eastAsiaTheme="minorEastAsia"/>
                <w:color w:val="auto"/>
                <w:lang w:val="en-US" w:eastAsia="zh-CN"/>
              </w:rPr>
              <w:t>15m高排气筒排放</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80" w:hRule="atLeast"/>
          <w:jc w:val="center"/>
        </w:trPr>
        <w:tc>
          <w:tcPr>
            <w:tcW w:w="816" w:type="dxa"/>
            <w:vAlign w:val="center"/>
          </w:tcPr>
          <w:p>
            <w:pPr>
              <w:pStyle w:val="292"/>
              <w:jc w:val="center"/>
              <w:rPr>
                <w:rFonts w:eastAsiaTheme="minorEastAsia"/>
                <w:color w:val="auto"/>
              </w:rPr>
            </w:pPr>
            <w:r>
              <w:rPr>
                <w:rFonts w:eastAsiaTheme="minorEastAsia"/>
                <w:color w:val="auto"/>
              </w:rPr>
              <w:t>3</w:t>
            </w:r>
          </w:p>
        </w:tc>
        <w:tc>
          <w:tcPr>
            <w:tcW w:w="3579" w:type="dxa"/>
            <w:vAlign w:val="center"/>
          </w:tcPr>
          <w:p>
            <w:pPr>
              <w:pStyle w:val="292"/>
              <w:jc w:val="center"/>
              <w:rPr>
                <w:rFonts w:hint="eastAsia" w:eastAsiaTheme="minorEastAsia"/>
                <w:color w:val="auto"/>
                <w:lang w:val="en-US" w:eastAsia="zh-CN"/>
              </w:rPr>
            </w:pPr>
            <w:r>
              <w:rPr>
                <w:rFonts w:eastAsiaTheme="minorEastAsia"/>
                <w:color w:val="auto"/>
              </w:rPr>
              <w:t>矿区内没有设置导流渠，雨季矿区汇水易导致水土流失。</w:t>
            </w:r>
          </w:p>
        </w:tc>
        <w:tc>
          <w:tcPr>
            <w:tcW w:w="4127" w:type="dxa"/>
            <w:vAlign w:val="center"/>
          </w:tcPr>
          <w:p>
            <w:pPr>
              <w:pStyle w:val="292"/>
              <w:jc w:val="center"/>
              <w:rPr>
                <w:rFonts w:hint="eastAsia" w:eastAsiaTheme="minorEastAsia"/>
                <w:color w:val="auto"/>
                <w:lang w:val="en-US" w:eastAsia="zh-CN"/>
              </w:rPr>
            </w:pPr>
            <w:r>
              <w:rPr>
                <w:rFonts w:eastAsiaTheme="minorEastAsia"/>
                <w:color w:val="auto"/>
              </w:rPr>
              <w:t>矿区内设置导流渠、截流沟</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80" w:hRule="atLeast"/>
          <w:jc w:val="center"/>
        </w:trPr>
        <w:tc>
          <w:tcPr>
            <w:tcW w:w="816" w:type="dxa"/>
            <w:vAlign w:val="center"/>
          </w:tcPr>
          <w:p>
            <w:pPr>
              <w:pStyle w:val="292"/>
              <w:jc w:val="center"/>
              <w:rPr>
                <w:rFonts w:eastAsiaTheme="minorEastAsia"/>
                <w:color w:val="auto"/>
              </w:rPr>
            </w:pPr>
            <w:r>
              <w:rPr>
                <w:rFonts w:eastAsiaTheme="minorEastAsia"/>
                <w:color w:val="auto"/>
              </w:rPr>
              <w:t>4</w:t>
            </w:r>
          </w:p>
        </w:tc>
        <w:tc>
          <w:tcPr>
            <w:tcW w:w="3579" w:type="dxa"/>
            <w:vAlign w:val="center"/>
          </w:tcPr>
          <w:p>
            <w:pPr>
              <w:pStyle w:val="292"/>
              <w:jc w:val="center"/>
              <w:rPr>
                <w:rFonts w:eastAsiaTheme="minorEastAsia"/>
                <w:color w:val="auto"/>
              </w:rPr>
            </w:pPr>
            <w:r>
              <w:rPr>
                <w:rFonts w:eastAsiaTheme="minorEastAsia"/>
                <w:color w:val="auto"/>
              </w:rPr>
              <w:t>矿区内</w:t>
            </w:r>
            <w:r>
              <w:rPr>
                <w:rFonts w:hint="eastAsia" w:eastAsiaTheme="minorEastAsia"/>
                <w:color w:val="auto"/>
                <w:lang w:eastAsia="zh-CN"/>
              </w:rPr>
              <w:t>没有设置临时排土场</w:t>
            </w:r>
          </w:p>
        </w:tc>
        <w:tc>
          <w:tcPr>
            <w:tcW w:w="4127" w:type="dxa"/>
            <w:vAlign w:val="center"/>
          </w:tcPr>
          <w:p>
            <w:pPr>
              <w:pStyle w:val="292"/>
              <w:jc w:val="center"/>
              <w:rPr>
                <w:rFonts w:eastAsiaTheme="minorEastAsia"/>
                <w:color w:val="auto"/>
              </w:rPr>
            </w:pPr>
            <w:r>
              <w:rPr>
                <w:rFonts w:hint="eastAsia" w:eastAsiaTheme="minorEastAsia"/>
                <w:color w:val="auto"/>
                <w:lang w:eastAsia="zh-CN"/>
              </w:rPr>
              <w:t>设置临时排土场一处</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80" w:hRule="atLeast"/>
          <w:jc w:val="center"/>
        </w:trPr>
        <w:tc>
          <w:tcPr>
            <w:tcW w:w="816" w:type="dxa"/>
            <w:vAlign w:val="center"/>
          </w:tcPr>
          <w:p>
            <w:pPr>
              <w:pStyle w:val="292"/>
              <w:jc w:val="center"/>
              <w:rPr>
                <w:rFonts w:eastAsiaTheme="minorEastAsia"/>
                <w:color w:val="auto"/>
              </w:rPr>
            </w:pPr>
            <w:r>
              <w:rPr>
                <w:rFonts w:eastAsiaTheme="minorEastAsia"/>
                <w:color w:val="auto"/>
              </w:rPr>
              <w:t>5</w:t>
            </w:r>
          </w:p>
        </w:tc>
        <w:tc>
          <w:tcPr>
            <w:tcW w:w="3579" w:type="dxa"/>
            <w:vAlign w:val="center"/>
          </w:tcPr>
          <w:p>
            <w:pPr>
              <w:pStyle w:val="292"/>
              <w:jc w:val="center"/>
              <w:rPr>
                <w:rFonts w:hint="eastAsia" w:eastAsiaTheme="minorEastAsia"/>
                <w:color w:val="auto"/>
                <w:lang w:eastAsia="zh-CN"/>
              </w:rPr>
            </w:pPr>
            <w:r>
              <w:rPr>
                <w:rFonts w:eastAsiaTheme="minorEastAsia"/>
                <w:color w:val="auto"/>
              </w:rPr>
              <w:t>厂区未设置危废暂存间</w:t>
            </w:r>
          </w:p>
        </w:tc>
        <w:tc>
          <w:tcPr>
            <w:tcW w:w="4127" w:type="dxa"/>
            <w:vAlign w:val="center"/>
          </w:tcPr>
          <w:p>
            <w:pPr>
              <w:pStyle w:val="292"/>
              <w:jc w:val="center"/>
              <w:rPr>
                <w:rFonts w:hint="eastAsia" w:eastAsiaTheme="minorEastAsia"/>
                <w:color w:val="auto"/>
                <w:lang w:eastAsia="zh-CN"/>
              </w:rPr>
            </w:pPr>
            <w:r>
              <w:rPr>
                <w:rFonts w:eastAsiaTheme="minorEastAsia"/>
                <w:color w:val="auto"/>
              </w:rPr>
              <w:t>设置危废暂存间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80" w:hRule="atLeast"/>
          <w:jc w:val="center"/>
        </w:trPr>
        <w:tc>
          <w:tcPr>
            <w:tcW w:w="816" w:type="dxa"/>
            <w:vAlign w:val="center"/>
          </w:tcPr>
          <w:p>
            <w:pPr>
              <w:pStyle w:val="292"/>
              <w:jc w:val="center"/>
              <w:rPr>
                <w:rFonts w:eastAsiaTheme="minorEastAsia"/>
                <w:color w:val="auto"/>
              </w:rPr>
            </w:pPr>
            <w:r>
              <w:rPr>
                <w:rFonts w:eastAsiaTheme="minorEastAsia"/>
                <w:color w:val="auto"/>
              </w:rPr>
              <w:t>6</w:t>
            </w:r>
          </w:p>
        </w:tc>
        <w:tc>
          <w:tcPr>
            <w:tcW w:w="3579" w:type="dxa"/>
            <w:vAlign w:val="center"/>
          </w:tcPr>
          <w:p>
            <w:pPr>
              <w:pStyle w:val="292"/>
              <w:jc w:val="center"/>
              <w:rPr>
                <w:rFonts w:eastAsiaTheme="minorEastAsia"/>
                <w:color w:val="auto"/>
              </w:rPr>
            </w:pPr>
            <w:r>
              <w:rPr>
                <w:rFonts w:eastAsiaTheme="minorEastAsia"/>
                <w:color w:val="auto"/>
              </w:rPr>
              <w:t>目前已开采区域目前无植被覆盖。</w:t>
            </w:r>
          </w:p>
        </w:tc>
        <w:tc>
          <w:tcPr>
            <w:tcW w:w="4127" w:type="dxa"/>
            <w:vAlign w:val="center"/>
          </w:tcPr>
          <w:p>
            <w:pPr>
              <w:pStyle w:val="292"/>
              <w:jc w:val="center"/>
              <w:rPr>
                <w:rFonts w:eastAsiaTheme="minorEastAsia"/>
                <w:color w:val="auto"/>
              </w:rPr>
            </w:pPr>
            <w:r>
              <w:rPr>
                <w:rFonts w:eastAsiaTheme="minorEastAsia"/>
                <w:color w:val="auto"/>
              </w:rPr>
              <w:t>植被恢复</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80" w:hRule="atLeast"/>
          <w:jc w:val="center"/>
        </w:trPr>
        <w:tc>
          <w:tcPr>
            <w:tcW w:w="816" w:type="dxa"/>
            <w:vAlign w:val="center"/>
          </w:tcPr>
          <w:p>
            <w:pPr>
              <w:pStyle w:val="292"/>
              <w:jc w:val="center"/>
              <w:rPr>
                <w:rFonts w:eastAsiaTheme="minorEastAsia"/>
                <w:color w:val="auto"/>
              </w:rPr>
            </w:pPr>
            <w:r>
              <w:rPr>
                <w:rFonts w:eastAsiaTheme="minorEastAsia"/>
                <w:color w:val="auto"/>
              </w:rPr>
              <w:t>7</w:t>
            </w:r>
          </w:p>
        </w:tc>
        <w:tc>
          <w:tcPr>
            <w:tcW w:w="3579" w:type="dxa"/>
            <w:vAlign w:val="center"/>
          </w:tcPr>
          <w:p>
            <w:pPr>
              <w:pStyle w:val="276"/>
              <w:spacing w:line="240" w:lineRule="auto"/>
              <w:ind w:firstLine="0" w:firstLineChars="0"/>
              <w:jc w:val="center"/>
              <w:rPr>
                <w:rFonts w:eastAsiaTheme="minorEastAsia"/>
                <w:color w:val="auto"/>
              </w:rPr>
            </w:pPr>
            <w:r>
              <w:rPr>
                <w:rFonts w:eastAsiaTheme="minorEastAsia"/>
                <w:bCs/>
                <w:iCs/>
                <w:color w:val="auto"/>
                <w:kern w:val="2"/>
                <w:sz w:val="21"/>
                <w:szCs w:val="28"/>
              </w:rPr>
              <w:t>厂区现堆存少量石粉，有简单遮挡。</w:t>
            </w:r>
          </w:p>
        </w:tc>
        <w:tc>
          <w:tcPr>
            <w:tcW w:w="4127" w:type="dxa"/>
            <w:vAlign w:val="center"/>
          </w:tcPr>
          <w:p>
            <w:pPr>
              <w:pStyle w:val="292"/>
              <w:jc w:val="center"/>
              <w:rPr>
                <w:rFonts w:eastAsiaTheme="minorEastAsia"/>
                <w:color w:val="auto"/>
              </w:rPr>
            </w:pPr>
            <w:r>
              <w:rPr>
                <w:rFonts w:eastAsiaTheme="minorEastAsia"/>
                <w:color w:val="auto"/>
                <w:kern w:val="1"/>
                <w:szCs w:val="24"/>
              </w:rPr>
              <w:t>设置</w:t>
            </w:r>
            <w:r>
              <w:rPr>
                <w:rFonts w:hint="eastAsia" w:eastAsiaTheme="minorEastAsia"/>
                <w:color w:val="auto"/>
                <w:kern w:val="1"/>
                <w:szCs w:val="24"/>
                <w:lang w:val="en-US" w:eastAsia="zh-CN"/>
              </w:rPr>
              <w:t>3</w:t>
            </w:r>
            <w:r>
              <w:rPr>
                <w:rFonts w:eastAsiaTheme="minorEastAsia"/>
                <w:color w:val="auto"/>
                <w:kern w:val="1"/>
                <w:szCs w:val="24"/>
              </w:rPr>
              <w:t>0t封闭石粉仓</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80" w:hRule="atLeast"/>
          <w:jc w:val="center"/>
        </w:trPr>
        <w:tc>
          <w:tcPr>
            <w:tcW w:w="816" w:type="dxa"/>
            <w:vAlign w:val="center"/>
          </w:tcPr>
          <w:p>
            <w:pPr>
              <w:pStyle w:val="292"/>
              <w:jc w:val="center"/>
              <w:rPr>
                <w:rFonts w:eastAsiaTheme="minorEastAsia"/>
                <w:color w:val="auto"/>
              </w:rPr>
            </w:pPr>
            <w:r>
              <w:rPr>
                <w:rFonts w:eastAsiaTheme="minorEastAsia"/>
                <w:color w:val="auto"/>
              </w:rPr>
              <w:t>8</w:t>
            </w:r>
          </w:p>
        </w:tc>
        <w:tc>
          <w:tcPr>
            <w:tcW w:w="3579" w:type="dxa"/>
            <w:vAlign w:val="center"/>
          </w:tcPr>
          <w:p>
            <w:pPr>
              <w:pStyle w:val="276"/>
              <w:spacing w:line="240" w:lineRule="auto"/>
              <w:ind w:firstLine="0" w:firstLineChars="0"/>
              <w:jc w:val="center"/>
              <w:rPr>
                <w:rFonts w:eastAsiaTheme="minorEastAsia"/>
                <w:color w:val="auto"/>
              </w:rPr>
            </w:pPr>
            <w:r>
              <w:rPr>
                <w:rFonts w:ascii="Times New Roman" w:hAnsi="Times New Roman" w:cs="Times New Roman" w:eastAsiaTheme="minorEastAsia"/>
                <w:bCs/>
                <w:iCs/>
                <w:color w:val="auto"/>
                <w:kern w:val="2"/>
                <w:sz w:val="21"/>
                <w:szCs w:val="28"/>
                <w:lang w:val="en-US" w:eastAsia="zh-CN" w:bidi="ar-SA"/>
              </w:rPr>
              <w:t>皮带式廊道运输为未封闭</w:t>
            </w:r>
          </w:p>
        </w:tc>
        <w:tc>
          <w:tcPr>
            <w:tcW w:w="4127" w:type="dxa"/>
            <w:vAlign w:val="center"/>
          </w:tcPr>
          <w:p>
            <w:pPr>
              <w:pStyle w:val="292"/>
              <w:jc w:val="center"/>
              <w:rPr>
                <w:rFonts w:eastAsiaTheme="minorEastAsia"/>
                <w:color w:val="auto"/>
              </w:rPr>
            </w:pPr>
            <w:r>
              <w:rPr>
                <w:rFonts w:eastAsiaTheme="minorEastAsia"/>
                <w:color w:val="auto"/>
                <w:szCs w:val="21"/>
              </w:rPr>
              <w:t>石料从破碎机送至振动筛过程采用全封闭皮带式廊道运输，在出料口处沿传送皮带设置10m全封闭出口廊道，皮带输送机进料口及下料点设置喷淋抑尘装置。</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80" w:hRule="atLeast"/>
          <w:jc w:val="center"/>
        </w:trPr>
        <w:tc>
          <w:tcPr>
            <w:tcW w:w="816" w:type="dxa"/>
            <w:vAlign w:val="center"/>
          </w:tcPr>
          <w:p>
            <w:pPr>
              <w:pStyle w:val="292"/>
              <w:jc w:val="center"/>
              <w:rPr>
                <w:rFonts w:eastAsiaTheme="minorEastAsia"/>
                <w:color w:val="auto"/>
              </w:rPr>
            </w:pPr>
            <w:r>
              <w:rPr>
                <w:rFonts w:hint="eastAsia" w:eastAsiaTheme="minorEastAsia"/>
                <w:color w:val="auto"/>
                <w:lang w:val="en-US" w:eastAsia="zh-CN"/>
              </w:rPr>
              <w:t>9</w:t>
            </w:r>
          </w:p>
        </w:tc>
        <w:tc>
          <w:tcPr>
            <w:tcW w:w="3579" w:type="dxa"/>
            <w:vAlign w:val="center"/>
          </w:tcPr>
          <w:p>
            <w:pPr>
              <w:pStyle w:val="292"/>
              <w:jc w:val="center"/>
              <w:rPr>
                <w:rFonts w:eastAsiaTheme="minorEastAsia"/>
                <w:color w:val="auto"/>
              </w:rPr>
            </w:pPr>
            <w:r>
              <w:rPr>
                <w:rFonts w:eastAsiaTheme="minorEastAsia"/>
                <w:color w:val="auto"/>
              </w:rPr>
              <w:t>已采区未进行生态恢复</w:t>
            </w:r>
          </w:p>
        </w:tc>
        <w:tc>
          <w:tcPr>
            <w:tcW w:w="4127" w:type="dxa"/>
            <w:vAlign w:val="center"/>
          </w:tcPr>
          <w:p>
            <w:pPr>
              <w:pStyle w:val="292"/>
              <w:jc w:val="center"/>
              <w:rPr>
                <w:rFonts w:eastAsiaTheme="minorEastAsia"/>
                <w:color w:val="auto"/>
              </w:rPr>
            </w:pPr>
            <w:r>
              <w:rPr>
                <w:rFonts w:eastAsiaTheme="minorEastAsia"/>
                <w:color w:val="auto"/>
              </w:rPr>
              <w:t>对已开采区进行生态恢复</w:t>
            </w:r>
          </w:p>
        </w:tc>
      </w:tr>
    </w:tbl>
    <w:p>
      <w:pPr>
        <w:pStyle w:val="238"/>
        <w:rPr>
          <w:rFonts w:hAnsi="Times New Roman" w:eastAsiaTheme="minorEastAsia"/>
          <w:color w:val="auto"/>
        </w:rPr>
      </w:pPr>
      <w:r>
        <w:rPr>
          <w:rFonts w:hAnsi="Times New Roman" w:eastAsiaTheme="minorEastAsia"/>
          <w:color w:val="auto"/>
        </w:rPr>
        <w:t>3.2本项目基本情况</w:t>
      </w:r>
      <w:bookmarkEnd w:id="108"/>
    </w:p>
    <w:bookmarkEnd w:id="104"/>
    <w:bookmarkEnd w:id="105"/>
    <w:bookmarkEnd w:id="106"/>
    <w:bookmarkEnd w:id="107"/>
    <w:p>
      <w:pPr>
        <w:pStyle w:val="276"/>
        <w:rPr>
          <w:rFonts w:eastAsiaTheme="minorEastAsia"/>
          <w:color w:val="auto"/>
        </w:rPr>
      </w:pPr>
      <w:r>
        <w:rPr>
          <w:rFonts w:eastAsiaTheme="minorEastAsia"/>
          <w:color w:val="auto"/>
        </w:rPr>
        <w:t>项目名称：</w:t>
      </w:r>
      <w:r>
        <w:rPr>
          <w:rFonts w:hint="eastAsia" w:eastAsiaTheme="minorEastAsia"/>
          <w:color w:val="auto"/>
          <w:lang w:eastAsia="zh-CN"/>
        </w:rPr>
        <w:t>佳木斯市郊区新华采石场佳华分厂建设项目</w:t>
      </w:r>
      <w:r>
        <w:rPr>
          <w:rFonts w:eastAsiaTheme="minorEastAsia"/>
          <w:color w:val="auto"/>
        </w:rPr>
        <w:t>；</w:t>
      </w:r>
    </w:p>
    <w:p>
      <w:pPr>
        <w:pStyle w:val="276"/>
        <w:rPr>
          <w:rFonts w:eastAsiaTheme="minorEastAsia"/>
          <w:color w:val="auto"/>
        </w:rPr>
      </w:pPr>
      <w:r>
        <w:rPr>
          <w:rFonts w:eastAsiaTheme="minorEastAsia"/>
          <w:color w:val="auto"/>
        </w:rPr>
        <w:t>建设单位：</w:t>
      </w:r>
      <w:r>
        <w:rPr>
          <w:rFonts w:hint="eastAsia" w:eastAsiaTheme="minorEastAsia"/>
          <w:color w:val="auto"/>
          <w:lang w:eastAsia="zh-CN"/>
        </w:rPr>
        <w:t>佳木斯市郊区佳华石料厂</w:t>
      </w:r>
      <w:r>
        <w:rPr>
          <w:rFonts w:eastAsiaTheme="minorEastAsia"/>
          <w:color w:val="auto"/>
        </w:rPr>
        <w:t>；</w:t>
      </w:r>
    </w:p>
    <w:p>
      <w:pPr>
        <w:pStyle w:val="276"/>
        <w:rPr>
          <w:rFonts w:eastAsiaTheme="minorEastAsia"/>
          <w:color w:val="auto"/>
        </w:rPr>
      </w:pPr>
      <w:r>
        <w:rPr>
          <w:rFonts w:eastAsiaTheme="minorEastAsia"/>
          <w:color w:val="auto"/>
        </w:rPr>
        <w:t>建设性质：</w:t>
      </w:r>
      <w:r>
        <w:rPr>
          <w:rFonts w:hint="eastAsia" w:eastAsiaTheme="minorEastAsia"/>
          <w:color w:val="auto"/>
          <w:lang w:eastAsia="zh-CN"/>
        </w:rPr>
        <w:t>扩建</w:t>
      </w:r>
      <w:r>
        <w:rPr>
          <w:rFonts w:eastAsiaTheme="minorEastAsia"/>
          <w:color w:val="auto"/>
        </w:rPr>
        <w:t>；</w:t>
      </w:r>
    </w:p>
    <w:p>
      <w:pPr>
        <w:pStyle w:val="276"/>
        <w:rPr>
          <w:rFonts w:eastAsiaTheme="minorEastAsia"/>
          <w:color w:val="auto"/>
        </w:rPr>
      </w:pPr>
      <w:r>
        <w:rPr>
          <w:rFonts w:eastAsiaTheme="minorEastAsia"/>
          <w:color w:val="auto"/>
        </w:rPr>
        <w:t>建设地点：本项目矿区位于</w:t>
      </w:r>
      <w:r>
        <w:rPr>
          <w:rFonts w:hint="eastAsia" w:eastAsiaTheme="minorEastAsia"/>
          <w:color w:val="auto"/>
          <w:lang w:eastAsia="zh-CN"/>
        </w:rPr>
        <w:t>佳木斯市郊区沿江乡新华村南约450m处</w:t>
      </w:r>
      <w:r>
        <w:rPr>
          <w:rFonts w:eastAsiaTheme="minorEastAsia"/>
          <w:color w:val="auto"/>
        </w:rPr>
        <w:t>，地理坐标：</w:t>
      </w:r>
      <w:r>
        <w:rPr>
          <w:rFonts w:eastAsiaTheme="minorEastAsia"/>
          <w:color w:val="auto"/>
        </w:rPr>
        <w:t>东经</w:t>
      </w:r>
      <w:r>
        <w:rPr>
          <w:rFonts w:hint="eastAsia" w:eastAsiaTheme="minorEastAsia"/>
          <w:color w:val="auto"/>
        </w:rPr>
        <w:t>130.188995°</w:t>
      </w:r>
      <w:r>
        <w:rPr>
          <w:rFonts w:eastAsiaTheme="minorEastAsia"/>
          <w:color w:val="auto"/>
        </w:rPr>
        <w:t>，北纬：</w:t>
      </w:r>
      <w:r>
        <w:rPr>
          <w:rFonts w:hint="eastAsia" w:eastAsiaTheme="minorEastAsia"/>
          <w:color w:val="auto"/>
        </w:rPr>
        <w:t>46.746032°</w:t>
      </w:r>
      <w:r>
        <w:rPr>
          <w:rFonts w:eastAsiaTheme="minorEastAsia"/>
          <w:color w:val="auto"/>
        </w:rPr>
        <w:t>。矿区</w:t>
      </w:r>
      <w:r>
        <w:rPr>
          <w:rFonts w:hint="eastAsia" w:eastAsiaTheme="minorEastAsia"/>
          <w:color w:val="auto"/>
          <w:lang w:eastAsia="zh-CN"/>
        </w:rPr>
        <w:t>南侧</w:t>
      </w:r>
      <w:r>
        <w:rPr>
          <w:rFonts w:eastAsiaTheme="minorEastAsia"/>
          <w:color w:val="auto"/>
        </w:rPr>
        <w:t>有少量</w:t>
      </w:r>
      <w:r>
        <w:rPr>
          <w:rFonts w:hint="eastAsia" w:eastAsiaTheme="minorEastAsia"/>
          <w:color w:val="auto"/>
          <w:lang w:eastAsia="zh-CN"/>
        </w:rPr>
        <w:t>林地</w:t>
      </w:r>
      <w:r>
        <w:rPr>
          <w:rFonts w:eastAsiaTheme="minorEastAsia"/>
          <w:color w:val="auto"/>
        </w:rPr>
        <w:t>，</w:t>
      </w:r>
      <w:r>
        <w:rPr>
          <w:rFonts w:hint="eastAsia" w:eastAsiaTheme="minorEastAsia"/>
          <w:color w:val="auto"/>
          <w:lang w:eastAsia="zh-CN"/>
        </w:rPr>
        <w:t>其余周边均为耕地</w:t>
      </w:r>
      <w:r>
        <w:rPr>
          <w:rFonts w:eastAsiaTheme="minorEastAsia"/>
          <w:color w:val="auto"/>
        </w:rPr>
        <w:t>，项目用地为工矿建设用地。</w:t>
      </w:r>
    </w:p>
    <w:p>
      <w:pPr>
        <w:pStyle w:val="276"/>
        <w:jc w:val="both"/>
        <w:rPr>
          <w:rFonts w:eastAsiaTheme="minorEastAsia"/>
          <w:color w:val="auto"/>
        </w:rPr>
      </w:pPr>
      <w:r>
        <w:rPr>
          <w:rFonts w:eastAsiaTheme="minorEastAsia"/>
          <w:color w:val="auto"/>
        </w:rPr>
        <w:t>矿山储量及服务期限：本项目总占地面积</w:t>
      </w:r>
      <w:r>
        <w:rPr>
          <w:rFonts w:hint="eastAsia" w:eastAsiaTheme="minorEastAsia"/>
          <w:color w:val="auto"/>
          <w:lang w:eastAsia="zh-CN"/>
        </w:rPr>
        <w:t>0.014185</w:t>
      </w:r>
      <w:r>
        <w:rPr>
          <w:rFonts w:eastAsiaTheme="minorEastAsia"/>
          <w:color w:val="auto"/>
        </w:rPr>
        <w:t>km</w:t>
      </w:r>
      <w:r>
        <w:rPr>
          <w:rFonts w:eastAsiaTheme="minorEastAsia"/>
          <w:color w:val="auto"/>
          <w:vertAlign w:val="superscript"/>
        </w:rPr>
        <w:t>2</w:t>
      </w:r>
      <w:r>
        <w:rPr>
          <w:rFonts w:eastAsiaTheme="minorEastAsia"/>
          <w:color w:val="auto"/>
        </w:rPr>
        <w:t xml:space="preserve">，其中开采区面积 </w:t>
      </w:r>
      <w:r>
        <w:rPr>
          <w:rFonts w:hint="eastAsia" w:eastAsiaTheme="minorEastAsia"/>
          <w:color w:val="auto"/>
          <w:lang w:eastAsia="zh-CN"/>
        </w:rPr>
        <w:t>0.003555</w:t>
      </w:r>
      <w:r>
        <w:rPr>
          <w:rFonts w:eastAsiaTheme="minorEastAsia"/>
          <w:color w:val="auto"/>
        </w:rPr>
        <w:t>km</w:t>
      </w:r>
      <w:r>
        <w:rPr>
          <w:rFonts w:eastAsiaTheme="minorEastAsia"/>
          <w:color w:val="auto"/>
          <w:vertAlign w:val="superscript"/>
        </w:rPr>
        <w:t>2</w:t>
      </w:r>
      <w:r>
        <w:rPr>
          <w:rFonts w:eastAsiaTheme="minorEastAsia"/>
          <w:color w:val="auto"/>
        </w:rPr>
        <w:t>，开采深度</w:t>
      </w:r>
      <w:r>
        <w:rPr>
          <w:rFonts w:hint="eastAsia" w:eastAsiaTheme="minorEastAsia"/>
          <w:color w:val="auto"/>
          <w:lang w:eastAsia="zh-CN"/>
        </w:rPr>
        <w:t>121m-107m</w:t>
      </w:r>
      <w:r>
        <w:rPr>
          <w:rFonts w:eastAsiaTheme="minorEastAsia"/>
          <w:color w:val="auto"/>
        </w:rPr>
        <w:t>m。</w:t>
      </w:r>
      <w:r>
        <w:rPr>
          <w:rFonts w:eastAsiaTheme="minorEastAsia"/>
          <w:color w:val="auto"/>
        </w:rPr>
        <w:t>可采储量</w:t>
      </w:r>
      <w:r>
        <w:rPr>
          <w:rFonts w:hint="eastAsia" w:eastAsiaTheme="minorEastAsia"/>
          <w:color w:val="auto"/>
          <w:lang w:val="en-US" w:eastAsia="zh-CN"/>
        </w:rPr>
        <w:t>90122</w:t>
      </w:r>
      <w:r>
        <w:rPr>
          <w:rFonts w:eastAsiaTheme="minorEastAsia"/>
          <w:color w:val="auto"/>
        </w:rPr>
        <w:t>m</w:t>
      </w:r>
      <w:r>
        <w:rPr>
          <w:rFonts w:eastAsiaTheme="minorEastAsia"/>
          <w:color w:val="auto"/>
          <w:vertAlign w:val="superscript"/>
        </w:rPr>
        <w:t>3</w:t>
      </w:r>
      <w:r>
        <w:rPr>
          <w:rFonts w:eastAsiaTheme="minorEastAsia"/>
          <w:color w:val="auto"/>
        </w:rPr>
        <w:t>/a</w:t>
      </w:r>
      <w:r>
        <w:rPr>
          <w:rFonts w:hint="eastAsia" w:eastAsiaTheme="minorEastAsia"/>
          <w:color w:val="auto"/>
          <w:lang w:eastAsia="zh-CN"/>
        </w:rPr>
        <w:t>，</w:t>
      </w:r>
      <w:r>
        <w:rPr>
          <w:rFonts w:eastAsiaTheme="minorEastAsia"/>
          <w:color w:val="auto"/>
        </w:rPr>
        <w:t>矿山建筑用碎石生产能力</w:t>
      </w:r>
      <w:r>
        <w:rPr>
          <w:rFonts w:hint="eastAsia" w:eastAsiaTheme="minorEastAsia"/>
          <w:color w:val="auto"/>
          <w:lang w:val="en-US" w:eastAsia="zh-CN"/>
        </w:rPr>
        <w:t>3</w:t>
      </w:r>
      <w:r>
        <w:rPr>
          <w:rFonts w:eastAsiaTheme="minorEastAsia"/>
          <w:color w:val="auto"/>
        </w:rPr>
        <w:t>万m</w:t>
      </w:r>
      <w:r>
        <w:rPr>
          <w:rFonts w:eastAsiaTheme="minorEastAsia"/>
          <w:color w:val="auto"/>
          <w:vertAlign w:val="superscript"/>
        </w:rPr>
        <w:t>3</w:t>
      </w:r>
      <w:r>
        <w:rPr>
          <w:rFonts w:eastAsiaTheme="minorEastAsia"/>
          <w:color w:val="auto"/>
        </w:rPr>
        <w:t>/a，矿山服务年限为</w:t>
      </w:r>
      <w:r>
        <w:rPr>
          <w:rFonts w:hint="eastAsia" w:eastAsiaTheme="minorEastAsia"/>
          <w:color w:val="auto"/>
          <w:lang w:eastAsia="zh-CN"/>
        </w:rPr>
        <w:t>3年</w:t>
      </w:r>
      <w:r>
        <w:rPr>
          <w:rFonts w:eastAsiaTheme="minorEastAsia"/>
          <w:color w:val="auto"/>
        </w:rPr>
        <w:t>。</w:t>
      </w:r>
    </w:p>
    <w:p>
      <w:pPr>
        <w:pStyle w:val="276"/>
        <w:rPr>
          <w:rFonts w:eastAsiaTheme="minorEastAsia"/>
          <w:color w:val="auto"/>
        </w:rPr>
      </w:pPr>
      <w:r>
        <w:rPr>
          <w:rFonts w:eastAsiaTheme="minorEastAsia"/>
          <w:color w:val="auto"/>
        </w:rPr>
        <w:t>总投资：</w:t>
      </w:r>
      <w:r>
        <w:rPr>
          <w:rFonts w:hint="eastAsia" w:eastAsiaTheme="minorEastAsia"/>
          <w:color w:val="auto"/>
          <w:lang w:eastAsia="zh-CN"/>
        </w:rPr>
        <w:t>300万</w:t>
      </w:r>
      <w:r>
        <w:rPr>
          <w:rFonts w:eastAsiaTheme="minorEastAsia"/>
          <w:color w:val="auto"/>
        </w:rPr>
        <w:t>元。</w:t>
      </w:r>
    </w:p>
    <w:p>
      <w:pPr>
        <w:pStyle w:val="244"/>
        <w:rPr>
          <w:rFonts w:eastAsiaTheme="minorEastAsia"/>
          <w:color w:val="auto"/>
        </w:rPr>
      </w:pPr>
      <w:r>
        <w:rPr>
          <w:rFonts w:eastAsiaTheme="minorEastAsia"/>
          <w:color w:val="auto"/>
        </w:rPr>
        <w:t>表3-2-1   主要经济技术指标表</w:t>
      </w:r>
    </w:p>
    <w:tbl>
      <w:tblPr>
        <w:tblStyle w:val="53"/>
        <w:tblW w:w="8486"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90"/>
        <w:gridCol w:w="694"/>
        <w:gridCol w:w="1490"/>
        <w:gridCol w:w="40"/>
        <w:gridCol w:w="1053"/>
        <w:gridCol w:w="46"/>
        <w:gridCol w:w="1353"/>
        <w:gridCol w:w="312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0" w:type="dxa"/>
            <w:shd w:val="clear" w:color="auto" w:fill="auto"/>
            <w:vAlign w:val="center"/>
          </w:tcPr>
          <w:p>
            <w:pPr>
              <w:pStyle w:val="246"/>
              <w:rPr>
                <w:rFonts w:eastAsiaTheme="minorEastAsia"/>
                <w:color w:val="auto"/>
              </w:rPr>
            </w:pPr>
            <w:r>
              <w:rPr>
                <w:rFonts w:eastAsiaTheme="minorEastAsia"/>
                <w:color w:val="auto"/>
              </w:rPr>
              <w:t>序号</w:t>
            </w:r>
          </w:p>
        </w:tc>
        <w:tc>
          <w:tcPr>
            <w:tcW w:w="2224" w:type="dxa"/>
            <w:gridSpan w:val="3"/>
            <w:shd w:val="clear" w:color="auto" w:fill="auto"/>
            <w:vAlign w:val="center"/>
          </w:tcPr>
          <w:p>
            <w:pPr>
              <w:pStyle w:val="246"/>
              <w:rPr>
                <w:rFonts w:eastAsiaTheme="minorEastAsia"/>
                <w:color w:val="auto"/>
              </w:rPr>
            </w:pPr>
            <w:r>
              <w:rPr>
                <w:rFonts w:eastAsiaTheme="minorEastAsia"/>
                <w:color w:val="auto"/>
              </w:rPr>
              <w:t>指标名称</w:t>
            </w:r>
          </w:p>
        </w:tc>
        <w:tc>
          <w:tcPr>
            <w:tcW w:w="1099" w:type="dxa"/>
            <w:gridSpan w:val="2"/>
            <w:shd w:val="clear" w:color="auto" w:fill="auto"/>
            <w:vAlign w:val="center"/>
          </w:tcPr>
          <w:p>
            <w:pPr>
              <w:pStyle w:val="246"/>
              <w:rPr>
                <w:rFonts w:eastAsiaTheme="minorEastAsia"/>
                <w:color w:val="auto"/>
              </w:rPr>
            </w:pPr>
            <w:r>
              <w:rPr>
                <w:rFonts w:eastAsiaTheme="minorEastAsia"/>
                <w:color w:val="auto"/>
              </w:rPr>
              <w:t>单位</w:t>
            </w:r>
          </w:p>
        </w:tc>
        <w:tc>
          <w:tcPr>
            <w:tcW w:w="1353" w:type="dxa"/>
            <w:shd w:val="clear" w:color="auto" w:fill="auto"/>
            <w:vAlign w:val="center"/>
          </w:tcPr>
          <w:p>
            <w:pPr>
              <w:pStyle w:val="246"/>
              <w:rPr>
                <w:rFonts w:eastAsiaTheme="minorEastAsia"/>
                <w:color w:val="auto"/>
              </w:rPr>
            </w:pPr>
            <w:r>
              <w:rPr>
                <w:rFonts w:eastAsiaTheme="minorEastAsia"/>
                <w:color w:val="auto"/>
              </w:rPr>
              <w:t>指标</w:t>
            </w:r>
          </w:p>
        </w:tc>
        <w:tc>
          <w:tcPr>
            <w:tcW w:w="3120" w:type="dxa"/>
            <w:shd w:val="clear" w:color="auto" w:fill="auto"/>
            <w:vAlign w:val="center"/>
          </w:tcPr>
          <w:p>
            <w:pPr>
              <w:pStyle w:val="246"/>
              <w:rPr>
                <w:rFonts w:eastAsiaTheme="minorEastAsia"/>
                <w:color w:val="auto"/>
              </w:rPr>
            </w:pPr>
            <w:r>
              <w:rPr>
                <w:rFonts w:eastAsiaTheme="minorEastAsia"/>
                <w:color w:val="auto"/>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0" w:type="dxa"/>
            <w:shd w:val="clear" w:color="auto" w:fill="auto"/>
            <w:vAlign w:val="center"/>
          </w:tcPr>
          <w:p>
            <w:pPr>
              <w:pStyle w:val="246"/>
              <w:rPr>
                <w:rFonts w:eastAsiaTheme="minorEastAsia"/>
                <w:color w:val="auto"/>
              </w:rPr>
            </w:pPr>
            <w:r>
              <w:rPr>
                <w:rFonts w:eastAsiaTheme="minorEastAsia"/>
                <w:color w:val="auto"/>
              </w:rPr>
              <w:t>1</w:t>
            </w:r>
          </w:p>
        </w:tc>
        <w:tc>
          <w:tcPr>
            <w:tcW w:w="7796" w:type="dxa"/>
            <w:gridSpan w:val="7"/>
            <w:shd w:val="clear" w:color="auto" w:fill="auto"/>
            <w:vAlign w:val="center"/>
          </w:tcPr>
          <w:p>
            <w:pPr>
              <w:pStyle w:val="246"/>
              <w:rPr>
                <w:rFonts w:eastAsiaTheme="minorEastAsia"/>
                <w:color w:val="auto"/>
              </w:rPr>
            </w:pPr>
            <w:r>
              <w:rPr>
                <w:rFonts w:eastAsiaTheme="minorEastAsia"/>
                <w:color w:val="auto"/>
              </w:rPr>
              <w:t>地质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0" w:type="dxa"/>
            <w:shd w:val="clear" w:color="auto" w:fill="auto"/>
            <w:vAlign w:val="center"/>
          </w:tcPr>
          <w:p>
            <w:pPr>
              <w:pStyle w:val="246"/>
              <w:rPr>
                <w:rFonts w:eastAsiaTheme="minorEastAsia"/>
                <w:color w:val="auto"/>
              </w:rPr>
            </w:pPr>
            <w:r>
              <w:rPr>
                <w:rFonts w:eastAsiaTheme="minorEastAsia"/>
                <w:color w:val="auto"/>
              </w:rPr>
              <w:t>1.1</w:t>
            </w:r>
          </w:p>
        </w:tc>
        <w:tc>
          <w:tcPr>
            <w:tcW w:w="2224" w:type="dxa"/>
            <w:gridSpan w:val="3"/>
            <w:shd w:val="clear" w:color="auto" w:fill="auto"/>
            <w:vAlign w:val="center"/>
          </w:tcPr>
          <w:p>
            <w:pPr>
              <w:pStyle w:val="246"/>
              <w:rPr>
                <w:rFonts w:eastAsiaTheme="minorEastAsia"/>
                <w:color w:val="auto"/>
              </w:rPr>
            </w:pPr>
            <w:r>
              <w:rPr>
                <w:rFonts w:eastAsiaTheme="minorEastAsia"/>
                <w:color w:val="auto"/>
              </w:rPr>
              <w:t>可采储量</w:t>
            </w:r>
          </w:p>
        </w:tc>
        <w:tc>
          <w:tcPr>
            <w:tcW w:w="1099" w:type="dxa"/>
            <w:gridSpan w:val="2"/>
            <w:shd w:val="clear" w:color="auto" w:fill="auto"/>
            <w:vAlign w:val="center"/>
          </w:tcPr>
          <w:p>
            <w:pPr>
              <w:pStyle w:val="246"/>
              <w:rPr>
                <w:rFonts w:eastAsiaTheme="minorEastAsia"/>
                <w:color w:val="auto"/>
              </w:rPr>
            </w:pPr>
            <w:r>
              <w:rPr>
                <w:rFonts w:eastAsiaTheme="minorEastAsia"/>
                <w:color w:val="auto"/>
              </w:rPr>
              <w:t>×10</w:t>
            </w:r>
            <w:r>
              <w:rPr>
                <w:rFonts w:eastAsiaTheme="minorEastAsia"/>
                <w:color w:val="auto"/>
                <w:vertAlign w:val="superscript"/>
              </w:rPr>
              <w:t>4</w:t>
            </w:r>
            <w:r>
              <w:rPr>
                <w:rFonts w:eastAsiaTheme="minorEastAsia"/>
                <w:color w:val="auto"/>
              </w:rPr>
              <w:t>t</w:t>
            </w:r>
          </w:p>
        </w:tc>
        <w:tc>
          <w:tcPr>
            <w:tcW w:w="1353" w:type="dxa"/>
            <w:shd w:val="clear" w:color="auto" w:fill="auto"/>
            <w:vAlign w:val="center"/>
          </w:tcPr>
          <w:p>
            <w:pPr>
              <w:pStyle w:val="246"/>
              <w:rPr>
                <w:rFonts w:hint="eastAsia" w:eastAsiaTheme="minorEastAsia"/>
                <w:color w:val="auto"/>
                <w:lang w:eastAsia="zh-CN"/>
              </w:rPr>
            </w:pPr>
            <w:r>
              <w:rPr>
                <w:rFonts w:hint="eastAsia" w:eastAsiaTheme="minorEastAsia"/>
                <w:color w:val="auto"/>
                <w:lang w:eastAsia="zh-CN"/>
              </w:rPr>
              <w:t>9</w:t>
            </w:r>
          </w:p>
        </w:tc>
        <w:tc>
          <w:tcPr>
            <w:tcW w:w="3120" w:type="dxa"/>
            <w:shd w:val="clear" w:color="auto" w:fill="auto"/>
            <w:vAlign w:val="center"/>
          </w:tcPr>
          <w:p>
            <w:pPr>
              <w:pStyle w:val="246"/>
              <w:rPr>
                <w:rFonts w:eastAsiaTheme="minorEastAsia"/>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0" w:type="dxa"/>
            <w:shd w:val="clear" w:color="auto" w:fill="auto"/>
            <w:vAlign w:val="center"/>
          </w:tcPr>
          <w:p>
            <w:pPr>
              <w:pStyle w:val="246"/>
              <w:rPr>
                <w:rFonts w:eastAsiaTheme="minorEastAsia"/>
                <w:color w:val="auto"/>
              </w:rPr>
            </w:pPr>
            <w:r>
              <w:rPr>
                <w:rFonts w:eastAsiaTheme="minorEastAsia"/>
                <w:color w:val="auto"/>
              </w:rPr>
              <w:t>2</w:t>
            </w:r>
          </w:p>
        </w:tc>
        <w:tc>
          <w:tcPr>
            <w:tcW w:w="7796" w:type="dxa"/>
            <w:gridSpan w:val="7"/>
            <w:shd w:val="clear" w:color="auto" w:fill="auto"/>
            <w:vAlign w:val="center"/>
          </w:tcPr>
          <w:p>
            <w:pPr>
              <w:pStyle w:val="246"/>
              <w:rPr>
                <w:rFonts w:eastAsiaTheme="minorEastAsia"/>
                <w:color w:val="auto"/>
              </w:rPr>
            </w:pPr>
            <w:r>
              <w:rPr>
                <w:rFonts w:eastAsiaTheme="minorEastAsia"/>
                <w:color w:val="auto"/>
              </w:rPr>
              <w:t>露天开采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0" w:type="dxa"/>
            <w:vMerge w:val="restart"/>
            <w:shd w:val="clear" w:color="auto" w:fill="auto"/>
            <w:vAlign w:val="center"/>
          </w:tcPr>
          <w:p>
            <w:pPr>
              <w:pStyle w:val="246"/>
              <w:rPr>
                <w:rFonts w:eastAsiaTheme="minorEastAsia"/>
                <w:color w:val="auto"/>
              </w:rPr>
            </w:pPr>
            <w:r>
              <w:rPr>
                <w:rFonts w:eastAsiaTheme="minorEastAsia"/>
                <w:color w:val="auto"/>
              </w:rPr>
              <w:t>2.1</w:t>
            </w:r>
          </w:p>
        </w:tc>
        <w:tc>
          <w:tcPr>
            <w:tcW w:w="694" w:type="dxa"/>
            <w:vMerge w:val="restart"/>
            <w:shd w:val="clear" w:color="auto" w:fill="auto"/>
            <w:vAlign w:val="center"/>
          </w:tcPr>
          <w:p>
            <w:pPr>
              <w:pStyle w:val="246"/>
              <w:rPr>
                <w:rFonts w:eastAsiaTheme="minorEastAsia"/>
                <w:color w:val="auto"/>
              </w:rPr>
            </w:pPr>
            <w:r>
              <w:rPr>
                <w:rFonts w:eastAsiaTheme="minorEastAsia"/>
                <w:color w:val="auto"/>
              </w:rPr>
              <w:t>矿山工作制度</w:t>
            </w:r>
          </w:p>
        </w:tc>
        <w:tc>
          <w:tcPr>
            <w:tcW w:w="1530" w:type="dxa"/>
            <w:gridSpan w:val="2"/>
            <w:shd w:val="clear" w:color="auto" w:fill="auto"/>
            <w:vAlign w:val="center"/>
          </w:tcPr>
          <w:p>
            <w:pPr>
              <w:pStyle w:val="246"/>
              <w:rPr>
                <w:rFonts w:eastAsiaTheme="minorEastAsia"/>
                <w:color w:val="auto"/>
              </w:rPr>
            </w:pPr>
            <w:r>
              <w:rPr>
                <w:rFonts w:eastAsiaTheme="minorEastAsia"/>
                <w:color w:val="auto"/>
              </w:rPr>
              <w:t>年工作天数</w:t>
            </w:r>
          </w:p>
        </w:tc>
        <w:tc>
          <w:tcPr>
            <w:tcW w:w="1099" w:type="dxa"/>
            <w:gridSpan w:val="2"/>
            <w:shd w:val="clear" w:color="auto" w:fill="auto"/>
            <w:vAlign w:val="center"/>
          </w:tcPr>
          <w:p>
            <w:pPr>
              <w:pStyle w:val="246"/>
              <w:rPr>
                <w:rFonts w:eastAsiaTheme="minorEastAsia"/>
                <w:color w:val="auto"/>
              </w:rPr>
            </w:pPr>
            <w:r>
              <w:rPr>
                <w:rFonts w:eastAsiaTheme="minorEastAsia"/>
                <w:color w:val="auto"/>
              </w:rPr>
              <w:t>天</w:t>
            </w:r>
          </w:p>
        </w:tc>
        <w:tc>
          <w:tcPr>
            <w:tcW w:w="1353" w:type="dxa"/>
            <w:shd w:val="clear" w:color="auto" w:fill="auto"/>
            <w:vAlign w:val="center"/>
          </w:tcPr>
          <w:p>
            <w:pPr>
              <w:pStyle w:val="246"/>
              <w:rPr>
                <w:rFonts w:eastAsiaTheme="minorEastAsia"/>
                <w:color w:val="auto"/>
              </w:rPr>
            </w:pPr>
            <w:r>
              <w:rPr>
                <w:rFonts w:eastAsiaTheme="minorEastAsia"/>
                <w:color w:val="auto"/>
              </w:rPr>
              <w:t>240</w:t>
            </w:r>
          </w:p>
        </w:tc>
        <w:tc>
          <w:tcPr>
            <w:tcW w:w="3120" w:type="dxa"/>
            <w:shd w:val="clear" w:color="auto" w:fill="auto"/>
            <w:vAlign w:val="center"/>
          </w:tcPr>
          <w:p>
            <w:pPr>
              <w:pStyle w:val="246"/>
              <w:rPr>
                <w:rFonts w:eastAsiaTheme="minorEastAsia"/>
                <w:color w:val="auto"/>
              </w:rPr>
            </w:pPr>
            <w:r>
              <w:rPr>
                <w:rFonts w:eastAsiaTheme="minorEastAsia"/>
                <w:color w:val="auto"/>
              </w:rPr>
              <w:t>全年工作日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0" w:type="dxa"/>
            <w:vMerge w:val="continue"/>
            <w:shd w:val="clear" w:color="auto" w:fill="auto"/>
            <w:vAlign w:val="center"/>
          </w:tcPr>
          <w:p>
            <w:pPr>
              <w:pStyle w:val="246"/>
              <w:rPr>
                <w:rFonts w:eastAsiaTheme="minorEastAsia"/>
                <w:color w:val="auto"/>
              </w:rPr>
            </w:pPr>
          </w:p>
        </w:tc>
        <w:tc>
          <w:tcPr>
            <w:tcW w:w="694" w:type="dxa"/>
            <w:vMerge w:val="continue"/>
            <w:shd w:val="clear" w:color="auto" w:fill="auto"/>
            <w:vAlign w:val="center"/>
          </w:tcPr>
          <w:p>
            <w:pPr>
              <w:pStyle w:val="246"/>
              <w:rPr>
                <w:rFonts w:eastAsiaTheme="minorEastAsia"/>
                <w:color w:val="auto"/>
              </w:rPr>
            </w:pPr>
          </w:p>
        </w:tc>
        <w:tc>
          <w:tcPr>
            <w:tcW w:w="1530" w:type="dxa"/>
            <w:gridSpan w:val="2"/>
            <w:shd w:val="clear" w:color="auto" w:fill="auto"/>
            <w:vAlign w:val="center"/>
          </w:tcPr>
          <w:p>
            <w:pPr>
              <w:pStyle w:val="246"/>
              <w:rPr>
                <w:rFonts w:eastAsiaTheme="minorEastAsia"/>
                <w:color w:val="auto"/>
              </w:rPr>
            </w:pPr>
            <w:r>
              <w:rPr>
                <w:rFonts w:eastAsiaTheme="minorEastAsia"/>
                <w:color w:val="auto"/>
              </w:rPr>
              <w:t>天工作班数</w:t>
            </w:r>
          </w:p>
        </w:tc>
        <w:tc>
          <w:tcPr>
            <w:tcW w:w="1099" w:type="dxa"/>
            <w:gridSpan w:val="2"/>
            <w:shd w:val="clear" w:color="auto" w:fill="auto"/>
            <w:vAlign w:val="center"/>
          </w:tcPr>
          <w:p>
            <w:pPr>
              <w:pStyle w:val="246"/>
              <w:rPr>
                <w:rFonts w:eastAsiaTheme="minorEastAsia"/>
                <w:color w:val="auto"/>
              </w:rPr>
            </w:pPr>
            <w:r>
              <w:rPr>
                <w:rFonts w:eastAsiaTheme="minorEastAsia"/>
                <w:color w:val="auto"/>
              </w:rPr>
              <w:t>班/d</w:t>
            </w:r>
          </w:p>
        </w:tc>
        <w:tc>
          <w:tcPr>
            <w:tcW w:w="1353" w:type="dxa"/>
            <w:shd w:val="clear" w:color="auto" w:fill="auto"/>
            <w:vAlign w:val="center"/>
          </w:tcPr>
          <w:p>
            <w:pPr>
              <w:pStyle w:val="246"/>
              <w:rPr>
                <w:rFonts w:eastAsiaTheme="minorEastAsia"/>
                <w:color w:val="auto"/>
              </w:rPr>
            </w:pPr>
            <w:r>
              <w:rPr>
                <w:rFonts w:eastAsiaTheme="minorEastAsia"/>
                <w:color w:val="auto"/>
              </w:rPr>
              <w:t>1</w:t>
            </w:r>
          </w:p>
        </w:tc>
        <w:tc>
          <w:tcPr>
            <w:tcW w:w="3120" w:type="dxa"/>
            <w:shd w:val="clear" w:color="auto" w:fill="auto"/>
            <w:vAlign w:val="center"/>
          </w:tcPr>
          <w:p>
            <w:pPr>
              <w:pStyle w:val="246"/>
              <w:rPr>
                <w:rFonts w:eastAsiaTheme="minorEastAsia"/>
                <w:color w:val="auto"/>
              </w:rPr>
            </w:pPr>
            <w:r>
              <w:rPr>
                <w:rFonts w:eastAsiaTheme="minorEastAsia"/>
                <w:color w:val="auto"/>
              </w:rPr>
              <w:t>8小时/班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0" w:type="dxa"/>
            <w:vMerge w:val="continue"/>
            <w:shd w:val="clear" w:color="auto" w:fill="auto"/>
            <w:vAlign w:val="center"/>
          </w:tcPr>
          <w:p>
            <w:pPr>
              <w:pStyle w:val="246"/>
              <w:rPr>
                <w:rFonts w:eastAsiaTheme="minorEastAsia"/>
                <w:color w:val="auto"/>
              </w:rPr>
            </w:pPr>
          </w:p>
        </w:tc>
        <w:tc>
          <w:tcPr>
            <w:tcW w:w="694" w:type="dxa"/>
            <w:vMerge w:val="continue"/>
            <w:shd w:val="clear" w:color="auto" w:fill="auto"/>
            <w:vAlign w:val="center"/>
          </w:tcPr>
          <w:p>
            <w:pPr>
              <w:pStyle w:val="246"/>
              <w:rPr>
                <w:rFonts w:eastAsiaTheme="minorEastAsia"/>
                <w:color w:val="auto"/>
              </w:rPr>
            </w:pPr>
          </w:p>
        </w:tc>
        <w:tc>
          <w:tcPr>
            <w:tcW w:w="1530" w:type="dxa"/>
            <w:gridSpan w:val="2"/>
            <w:shd w:val="clear" w:color="auto" w:fill="auto"/>
            <w:vAlign w:val="center"/>
          </w:tcPr>
          <w:p>
            <w:pPr>
              <w:pStyle w:val="246"/>
              <w:rPr>
                <w:rFonts w:eastAsiaTheme="minorEastAsia"/>
                <w:color w:val="auto"/>
              </w:rPr>
            </w:pPr>
            <w:r>
              <w:rPr>
                <w:rFonts w:eastAsiaTheme="minorEastAsia"/>
                <w:color w:val="auto"/>
              </w:rPr>
              <w:t>工作人数</w:t>
            </w:r>
          </w:p>
        </w:tc>
        <w:tc>
          <w:tcPr>
            <w:tcW w:w="1099" w:type="dxa"/>
            <w:gridSpan w:val="2"/>
            <w:shd w:val="clear" w:color="auto" w:fill="auto"/>
            <w:vAlign w:val="center"/>
          </w:tcPr>
          <w:p>
            <w:pPr>
              <w:pStyle w:val="246"/>
              <w:rPr>
                <w:rFonts w:eastAsiaTheme="minorEastAsia"/>
                <w:color w:val="auto"/>
              </w:rPr>
            </w:pPr>
            <w:r>
              <w:rPr>
                <w:rFonts w:eastAsiaTheme="minorEastAsia"/>
                <w:color w:val="auto"/>
              </w:rPr>
              <w:t>人</w:t>
            </w:r>
          </w:p>
        </w:tc>
        <w:tc>
          <w:tcPr>
            <w:tcW w:w="1353" w:type="dxa"/>
            <w:shd w:val="clear" w:color="auto" w:fill="auto"/>
            <w:vAlign w:val="center"/>
          </w:tcPr>
          <w:p>
            <w:pPr>
              <w:pStyle w:val="246"/>
              <w:rPr>
                <w:rFonts w:eastAsiaTheme="minorEastAsia"/>
                <w:color w:val="auto"/>
              </w:rPr>
            </w:pPr>
            <w:r>
              <w:rPr>
                <w:rFonts w:eastAsiaTheme="minorEastAsia"/>
                <w:color w:val="auto"/>
              </w:rPr>
              <w:t>10</w:t>
            </w:r>
          </w:p>
        </w:tc>
        <w:tc>
          <w:tcPr>
            <w:tcW w:w="3120" w:type="dxa"/>
            <w:shd w:val="clear" w:color="auto" w:fill="auto"/>
            <w:vAlign w:val="center"/>
          </w:tcPr>
          <w:p>
            <w:pPr>
              <w:pStyle w:val="246"/>
              <w:rPr>
                <w:rFonts w:eastAsiaTheme="minorEastAsia"/>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0" w:type="dxa"/>
            <w:shd w:val="clear" w:color="auto" w:fill="auto"/>
            <w:vAlign w:val="center"/>
          </w:tcPr>
          <w:p>
            <w:pPr>
              <w:pStyle w:val="246"/>
              <w:rPr>
                <w:rFonts w:eastAsiaTheme="minorEastAsia"/>
                <w:color w:val="auto"/>
              </w:rPr>
            </w:pPr>
            <w:r>
              <w:rPr>
                <w:rFonts w:eastAsiaTheme="minorEastAsia"/>
                <w:color w:val="auto"/>
              </w:rPr>
              <w:t>2.2</w:t>
            </w:r>
          </w:p>
        </w:tc>
        <w:tc>
          <w:tcPr>
            <w:tcW w:w="2224" w:type="dxa"/>
            <w:gridSpan w:val="3"/>
            <w:shd w:val="clear" w:color="auto" w:fill="auto"/>
            <w:vAlign w:val="center"/>
          </w:tcPr>
          <w:p>
            <w:pPr>
              <w:pStyle w:val="246"/>
              <w:rPr>
                <w:rFonts w:eastAsiaTheme="minorEastAsia"/>
                <w:color w:val="auto"/>
              </w:rPr>
            </w:pPr>
            <w:r>
              <w:rPr>
                <w:rFonts w:eastAsiaTheme="minorEastAsia"/>
                <w:color w:val="auto"/>
              </w:rPr>
              <w:t>开采规模</w:t>
            </w:r>
          </w:p>
        </w:tc>
        <w:tc>
          <w:tcPr>
            <w:tcW w:w="1099" w:type="dxa"/>
            <w:gridSpan w:val="2"/>
            <w:shd w:val="clear" w:color="auto" w:fill="auto"/>
            <w:vAlign w:val="center"/>
          </w:tcPr>
          <w:p>
            <w:pPr>
              <w:pStyle w:val="246"/>
              <w:rPr>
                <w:rFonts w:eastAsiaTheme="minorEastAsia"/>
                <w:color w:val="auto"/>
              </w:rPr>
            </w:pPr>
            <w:r>
              <w:rPr>
                <w:rFonts w:eastAsiaTheme="minorEastAsia"/>
                <w:color w:val="auto"/>
              </w:rPr>
              <w:t>×10</w:t>
            </w:r>
            <w:r>
              <w:rPr>
                <w:rFonts w:eastAsiaTheme="minorEastAsia"/>
                <w:color w:val="auto"/>
                <w:vertAlign w:val="superscript"/>
              </w:rPr>
              <w:t>4</w:t>
            </w:r>
            <w:r>
              <w:rPr>
                <w:rFonts w:eastAsiaTheme="minorEastAsia"/>
                <w:color w:val="auto"/>
              </w:rPr>
              <w:t>t/a</w:t>
            </w:r>
          </w:p>
        </w:tc>
        <w:tc>
          <w:tcPr>
            <w:tcW w:w="1353" w:type="dxa"/>
            <w:shd w:val="clear" w:color="auto" w:fill="auto"/>
            <w:vAlign w:val="center"/>
          </w:tcPr>
          <w:p>
            <w:pPr>
              <w:pStyle w:val="246"/>
              <w:rPr>
                <w:rFonts w:hint="eastAsia" w:eastAsiaTheme="minorEastAsia"/>
                <w:color w:val="auto"/>
                <w:lang w:eastAsia="zh-CN"/>
              </w:rPr>
            </w:pPr>
            <w:r>
              <w:rPr>
                <w:rFonts w:hint="eastAsia" w:eastAsiaTheme="minorEastAsia"/>
                <w:color w:val="auto"/>
                <w:lang w:val="en-US" w:eastAsia="zh-CN"/>
              </w:rPr>
              <w:t>3</w:t>
            </w:r>
          </w:p>
        </w:tc>
        <w:tc>
          <w:tcPr>
            <w:tcW w:w="3120" w:type="dxa"/>
            <w:shd w:val="clear" w:color="auto" w:fill="auto"/>
            <w:vAlign w:val="center"/>
          </w:tcPr>
          <w:p>
            <w:pPr>
              <w:pStyle w:val="246"/>
              <w:rPr>
                <w:rFonts w:eastAsiaTheme="minorEastAsia"/>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0" w:type="dxa"/>
            <w:shd w:val="clear" w:color="auto" w:fill="auto"/>
            <w:vAlign w:val="center"/>
          </w:tcPr>
          <w:p>
            <w:pPr>
              <w:pStyle w:val="246"/>
              <w:rPr>
                <w:rFonts w:eastAsiaTheme="minorEastAsia"/>
                <w:color w:val="auto"/>
              </w:rPr>
            </w:pPr>
            <w:r>
              <w:rPr>
                <w:rFonts w:eastAsiaTheme="minorEastAsia"/>
                <w:color w:val="auto"/>
              </w:rPr>
              <w:t>2.3</w:t>
            </w:r>
          </w:p>
        </w:tc>
        <w:tc>
          <w:tcPr>
            <w:tcW w:w="2224" w:type="dxa"/>
            <w:gridSpan w:val="3"/>
            <w:shd w:val="clear" w:color="auto" w:fill="auto"/>
            <w:vAlign w:val="center"/>
          </w:tcPr>
          <w:p>
            <w:pPr>
              <w:pStyle w:val="246"/>
              <w:rPr>
                <w:rFonts w:eastAsiaTheme="minorEastAsia"/>
                <w:color w:val="auto"/>
              </w:rPr>
            </w:pPr>
            <w:r>
              <w:rPr>
                <w:rFonts w:eastAsiaTheme="minorEastAsia"/>
                <w:color w:val="auto"/>
              </w:rPr>
              <w:t>开采方式</w:t>
            </w:r>
          </w:p>
        </w:tc>
        <w:tc>
          <w:tcPr>
            <w:tcW w:w="1099" w:type="dxa"/>
            <w:gridSpan w:val="2"/>
            <w:shd w:val="clear" w:color="auto" w:fill="auto"/>
            <w:vAlign w:val="center"/>
          </w:tcPr>
          <w:p>
            <w:pPr>
              <w:pStyle w:val="246"/>
              <w:rPr>
                <w:rFonts w:eastAsiaTheme="minorEastAsia"/>
                <w:color w:val="auto"/>
              </w:rPr>
            </w:pPr>
          </w:p>
        </w:tc>
        <w:tc>
          <w:tcPr>
            <w:tcW w:w="1353" w:type="dxa"/>
            <w:shd w:val="clear" w:color="auto" w:fill="auto"/>
            <w:vAlign w:val="center"/>
          </w:tcPr>
          <w:p>
            <w:pPr>
              <w:pStyle w:val="246"/>
              <w:rPr>
                <w:rFonts w:eastAsiaTheme="minorEastAsia"/>
                <w:color w:val="auto"/>
              </w:rPr>
            </w:pPr>
          </w:p>
        </w:tc>
        <w:tc>
          <w:tcPr>
            <w:tcW w:w="3120" w:type="dxa"/>
            <w:shd w:val="clear" w:color="auto" w:fill="auto"/>
            <w:vAlign w:val="center"/>
          </w:tcPr>
          <w:p>
            <w:pPr>
              <w:pStyle w:val="246"/>
              <w:rPr>
                <w:rFonts w:eastAsiaTheme="minorEastAsia"/>
                <w:color w:val="auto"/>
              </w:rPr>
            </w:pPr>
            <w:r>
              <w:rPr>
                <w:rFonts w:eastAsiaTheme="minorEastAsia"/>
                <w:color w:val="auto"/>
              </w:rPr>
              <w:t>台阶法开采，中深孔爆破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0" w:type="dxa"/>
            <w:shd w:val="clear" w:color="auto" w:fill="auto"/>
            <w:vAlign w:val="center"/>
          </w:tcPr>
          <w:p>
            <w:pPr>
              <w:pStyle w:val="246"/>
              <w:rPr>
                <w:rFonts w:eastAsiaTheme="minorEastAsia"/>
                <w:color w:val="auto"/>
              </w:rPr>
            </w:pPr>
            <w:r>
              <w:rPr>
                <w:rFonts w:eastAsiaTheme="minorEastAsia"/>
                <w:color w:val="auto"/>
              </w:rPr>
              <w:t>2.4</w:t>
            </w:r>
          </w:p>
        </w:tc>
        <w:tc>
          <w:tcPr>
            <w:tcW w:w="2224" w:type="dxa"/>
            <w:gridSpan w:val="3"/>
            <w:shd w:val="clear" w:color="auto" w:fill="auto"/>
            <w:vAlign w:val="center"/>
          </w:tcPr>
          <w:p>
            <w:pPr>
              <w:pStyle w:val="246"/>
              <w:rPr>
                <w:rFonts w:eastAsiaTheme="minorEastAsia"/>
                <w:color w:val="auto"/>
              </w:rPr>
            </w:pPr>
            <w:r>
              <w:rPr>
                <w:rFonts w:eastAsiaTheme="minorEastAsia"/>
                <w:color w:val="auto"/>
              </w:rPr>
              <w:t>剥采比</w:t>
            </w:r>
          </w:p>
        </w:tc>
        <w:tc>
          <w:tcPr>
            <w:tcW w:w="1099" w:type="dxa"/>
            <w:gridSpan w:val="2"/>
            <w:shd w:val="clear" w:color="auto" w:fill="auto"/>
            <w:vAlign w:val="center"/>
          </w:tcPr>
          <w:p>
            <w:pPr>
              <w:pStyle w:val="246"/>
              <w:rPr>
                <w:rFonts w:eastAsiaTheme="minorEastAsia"/>
                <w:color w:val="auto"/>
              </w:rPr>
            </w:pPr>
            <w:r>
              <w:rPr>
                <w:rFonts w:eastAsiaTheme="minorEastAsia"/>
                <w:color w:val="auto"/>
              </w:rPr>
              <w:t>m</w:t>
            </w:r>
            <w:r>
              <w:rPr>
                <w:rFonts w:eastAsiaTheme="minorEastAsia"/>
                <w:color w:val="auto"/>
                <w:vertAlign w:val="superscript"/>
              </w:rPr>
              <w:t>3</w:t>
            </w:r>
            <w:r>
              <w:rPr>
                <w:rFonts w:eastAsiaTheme="minorEastAsia"/>
                <w:color w:val="auto"/>
              </w:rPr>
              <w:t>/m</w:t>
            </w:r>
            <w:r>
              <w:rPr>
                <w:rFonts w:eastAsiaTheme="minorEastAsia"/>
                <w:color w:val="auto"/>
                <w:vertAlign w:val="superscript"/>
              </w:rPr>
              <w:t>3</w:t>
            </w:r>
          </w:p>
        </w:tc>
        <w:tc>
          <w:tcPr>
            <w:tcW w:w="1353" w:type="dxa"/>
            <w:shd w:val="clear" w:color="auto" w:fill="auto"/>
            <w:vAlign w:val="center"/>
          </w:tcPr>
          <w:p>
            <w:pPr>
              <w:pStyle w:val="246"/>
              <w:rPr>
                <w:rFonts w:eastAsiaTheme="minorEastAsia"/>
                <w:color w:val="auto"/>
              </w:rPr>
            </w:pPr>
            <w:r>
              <w:rPr>
                <w:rFonts w:eastAsiaTheme="minorEastAsia"/>
                <w:color w:val="auto"/>
              </w:rPr>
              <w:t>0.0</w:t>
            </w:r>
            <w:r>
              <w:rPr>
                <w:rFonts w:hint="eastAsia" w:eastAsiaTheme="minorEastAsia"/>
                <w:color w:val="auto"/>
                <w:lang w:val="en-US" w:eastAsia="zh-CN"/>
              </w:rPr>
              <w:t>3</w:t>
            </w:r>
            <w:r>
              <w:rPr>
                <w:rFonts w:eastAsiaTheme="minorEastAsia"/>
                <w:color w:val="auto"/>
              </w:rPr>
              <w:t>：1</w:t>
            </w:r>
          </w:p>
        </w:tc>
        <w:tc>
          <w:tcPr>
            <w:tcW w:w="3120" w:type="dxa"/>
            <w:shd w:val="clear" w:color="auto" w:fill="auto"/>
            <w:vAlign w:val="center"/>
          </w:tcPr>
          <w:p>
            <w:pPr>
              <w:pStyle w:val="246"/>
              <w:rPr>
                <w:rFonts w:eastAsiaTheme="minorEastAsia"/>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0" w:type="dxa"/>
            <w:shd w:val="clear" w:color="auto" w:fill="auto"/>
            <w:vAlign w:val="center"/>
          </w:tcPr>
          <w:p>
            <w:pPr>
              <w:pStyle w:val="246"/>
              <w:rPr>
                <w:rFonts w:eastAsiaTheme="minorEastAsia"/>
                <w:color w:val="auto"/>
              </w:rPr>
            </w:pPr>
            <w:r>
              <w:rPr>
                <w:rFonts w:eastAsiaTheme="minorEastAsia"/>
                <w:color w:val="auto"/>
              </w:rPr>
              <w:t>2.5</w:t>
            </w:r>
          </w:p>
        </w:tc>
        <w:tc>
          <w:tcPr>
            <w:tcW w:w="2224" w:type="dxa"/>
            <w:gridSpan w:val="3"/>
            <w:shd w:val="clear" w:color="auto" w:fill="auto"/>
            <w:vAlign w:val="center"/>
          </w:tcPr>
          <w:p>
            <w:pPr>
              <w:pStyle w:val="246"/>
              <w:rPr>
                <w:rFonts w:eastAsiaTheme="minorEastAsia"/>
                <w:color w:val="auto"/>
              </w:rPr>
            </w:pPr>
            <w:r>
              <w:rPr>
                <w:rFonts w:eastAsiaTheme="minorEastAsia"/>
                <w:color w:val="auto"/>
              </w:rPr>
              <w:t>最低开采标高</w:t>
            </w:r>
          </w:p>
        </w:tc>
        <w:tc>
          <w:tcPr>
            <w:tcW w:w="1099" w:type="dxa"/>
            <w:gridSpan w:val="2"/>
            <w:shd w:val="clear" w:color="auto" w:fill="auto"/>
            <w:vAlign w:val="center"/>
          </w:tcPr>
          <w:p>
            <w:pPr>
              <w:pStyle w:val="246"/>
              <w:rPr>
                <w:rFonts w:eastAsiaTheme="minorEastAsia"/>
                <w:color w:val="auto"/>
              </w:rPr>
            </w:pPr>
            <w:r>
              <w:rPr>
                <w:rFonts w:eastAsiaTheme="minorEastAsia"/>
                <w:color w:val="auto"/>
              </w:rPr>
              <w:t>m</w:t>
            </w:r>
          </w:p>
        </w:tc>
        <w:tc>
          <w:tcPr>
            <w:tcW w:w="1353" w:type="dxa"/>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107</w:t>
            </w:r>
          </w:p>
        </w:tc>
        <w:tc>
          <w:tcPr>
            <w:tcW w:w="3120" w:type="dxa"/>
            <w:shd w:val="clear" w:color="auto" w:fill="auto"/>
            <w:vAlign w:val="center"/>
          </w:tcPr>
          <w:p>
            <w:pPr>
              <w:pStyle w:val="246"/>
              <w:rPr>
                <w:rFonts w:eastAsiaTheme="minorEastAsia"/>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0" w:type="dxa"/>
            <w:shd w:val="clear" w:color="auto" w:fill="auto"/>
            <w:vAlign w:val="center"/>
          </w:tcPr>
          <w:p>
            <w:pPr>
              <w:pStyle w:val="246"/>
              <w:rPr>
                <w:rFonts w:eastAsiaTheme="minorEastAsia"/>
                <w:color w:val="auto"/>
              </w:rPr>
            </w:pPr>
            <w:r>
              <w:rPr>
                <w:rFonts w:eastAsiaTheme="minorEastAsia"/>
                <w:color w:val="auto"/>
              </w:rPr>
              <w:t>2.6</w:t>
            </w:r>
          </w:p>
        </w:tc>
        <w:tc>
          <w:tcPr>
            <w:tcW w:w="2224" w:type="dxa"/>
            <w:gridSpan w:val="3"/>
            <w:shd w:val="clear" w:color="auto" w:fill="auto"/>
            <w:vAlign w:val="center"/>
          </w:tcPr>
          <w:p>
            <w:pPr>
              <w:pStyle w:val="246"/>
              <w:rPr>
                <w:rFonts w:eastAsiaTheme="minorEastAsia"/>
                <w:color w:val="auto"/>
              </w:rPr>
            </w:pPr>
            <w:r>
              <w:rPr>
                <w:rFonts w:eastAsiaTheme="minorEastAsia"/>
                <w:color w:val="auto"/>
              </w:rPr>
              <w:t>装、运方式</w:t>
            </w:r>
          </w:p>
        </w:tc>
        <w:tc>
          <w:tcPr>
            <w:tcW w:w="1099" w:type="dxa"/>
            <w:gridSpan w:val="2"/>
            <w:shd w:val="clear" w:color="auto" w:fill="auto"/>
            <w:vAlign w:val="center"/>
          </w:tcPr>
          <w:p>
            <w:pPr>
              <w:pStyle w:val="246"/>
              <w:rPr>
                <w:rFonts w:eastAsiaTheme="minorEastAsia"/>
                <w:color w:val="auto"/>
              </w:rPr>
            </w:pPr>
          </w:p>
        </w:tc>
        <w:tc>
          <w:tcPr>
            <w:tcW w:w="1353" w:type="dxa"/>
            <w:shd w:val="clear" w:color="auto" w:fill="auto"/>
            <w:vAlign w:val="center"/>
          </w:tcPr>
          <w:p>
            <w:pPr>
              <w:pStyle w:val="246"/>
              <w:rPr>
                <w:rFonts w:eastAsiaTheme="minorEastAsia"/>
                <w:color w:val="auto"/>
              </w:rPr>
            </w:pPr>
          </w:p>
        </w:tc>
        <w:tc>
          <w:tcPr>
            <w:tcW w:w="3120" w:type="dxa"/>
            <w:shd w:val="clear" w:color="auto" w:fill="auto"/>
            <w:vAlign w:val="center"/>
          </w:tcPr>
          <w:p>
            <w:pPr>
              <w:pStyle w:val="246"/>
              <w:rPr>
                <w:rFonts w:eastAsiaTheme="minorEastAsia"/>
                <w:color w:val="auto"/>
              </w:rPr>
            </w:pPr>
            <w:r>
              <w:rPr>
                <w:rFonts w:eastAsiaTheme="minorEastAsia"/>
                <w:color w:val="auto"/>
              </w:rPr>
              <w:t>汽车公路运输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0" w:type="dxa"/>
            <w:shd w:val="clear" w:color="auto" w:fill="auto"/>
            <w:vAlign w:val="center"/>
          </w:tcPr>
          <w:p>
            <w:pPr>
              <w:pStyle w:val="246"/>
              <w:rPr>
                <w:rFonts w:eastAsiaTheme="minorEastAsia"/>
                <w:color w:val="auto"/>
              </w:rPr>
            </w:pPr>
            <w:r>
              <w:rPr>
                <w:rFonts w:eastAsiaTheme="minorEastAsia"/>
                <w:color w:val="auto"/>
              </w:rPr>
              <w:t>2.7</w:t>
            </w:r>
          </w:p>
        </w:tc>
        <w:tc>
          <w:tcPr>
            <w:tcW w:w="2224" w:type="dxa"/>
            <w:gridSpan w:val="3"/>
            <w:shd w:val="clear" w:color="auto" w:fill="auto"/>
            <w:vAlign w:val="center"/>
          </w:tcPr>
          <w:p>
            <w:pPr>
              <w:pStyle w:val="246"/>
              <w:rPr>
                <w:rFonts w:eastAsiaTheme="minorEastAsia"/>
                <w:color w:val="auto"/>
              </w:rPr>
            </w:pPr>
            <w:r>
              <w:rPr>
                <w:rFonts w:eastAsiaTheme="minorEastAsia"/>
                <w:color w:val="auto"/>
              </w:rPr>
              <w:t>开采范围</w:t>
            </w:r>
          </w:p>
        </w:tc>
        <w:tc>
          <w:tcPr>
            <w:tcW w:w="1099" w:type="dxa"/>
            <w:gridSpan w:val="2"/>
            <w:shd w:val="clear" w:color="auto" w:fill="auto"/>
            <w:vAlign w:val="center"/>
          </w:tcPr>
          <w:p>
            <w:pPr>
              <w:pStyle w:val="246"/>
              <w:rPr>
                <w:rFonts w:eastAsiaTheme="minorEastAsia"/>
                <w:color w:val="auto"/>
              </w:rPr>
            </w:pPr>
            <w:r>
              <w:rPr>
                <w:rFonts w:eastAsiaTheme="minorEastAsia"/>
                <w:color w:val="auto"/>
              </w:rPr>
              <w:t>km</w:t>
            </w:r>
            <w:r>
              <w:rPr>
                <w:rFonts w:eastAsiaTheme="minorEastAsia"/>
                <w:color w:val="auto"/>
                <w:vertAlign w:val="superscript"/>
              </w:rPr>
              <w:t>2</w:t>
            </w:r>
          </w:p>
        </w:tc>
        <w:tc>
          <w:tcPr>
            <w:tcW w:w="1353" w:type="dxa"/>
            <w:shd w:val="clear" w:color="auto" w:fill="auto"/>
            <w:vAlign w:val="center"/>
          </w:tcPr>
          <w:p>
            <w:pPr>
              <w:pStyle w:val="246"/>
              <w:rPr>
                <w:rFonts w:hint="eastAsia" w:eastAsiaTheme="minorEastAsia"/>
                <w:color w:val="auto"/>
                <w:lang w:eastAsia="zh-CN"/>
              </w:rPr>
            </w:pPr>
            <w:r>
              <w:rPr>
                <w:rFonts w:hint="eastAsia" w:eastAsiaTheme="minorEastAsia"/>
                <w:color w:val="auto"/>
                <w:lang w:eastAsia="zh-CN"/>
              </w:rPr>
              <w:t>0.003555</w:t>
            </w:r>
          </w:p>
        </w:tc>
        <w:tc>
          <w:tcPr>
            <w:tcW w:w="3120" w:type="dxa"/>
            <w:shd w:val="clear" w:color="auto" w:fill="auto"/>
            <w:vAlign w:val="center"/>
          </w:tcPr>
          <w:p>
            <w:pPr>
              <w:pStyle w:val="246"/>
              <w:rPr>
                <w:rFonts w:eastAsiaTheme="minorEastAsia"/>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0" w:type="dxa"/>
            <w:shd w:val="clear" w:color="auto" w:fill="auto"/>
            <w:vAlign w:val="center"/>
          </w:tcPr>
          <w:p>
            <w:pPr>
              <w:pStyle w:val="246"/>
              <w:rPr>
                <w:rFonts w:eastAsiaTheme="minorEastAsia"/>
                <w:color w:val="auto"/>
              </w:rPr>
            </w:pPr>
            <w:r>
              <w:rPr>
                <w:rFonts w:eastAsiaTheme="minorEastAsia"/>
                <w:color w:val="auto"/>
              </w:rPr>
              <w:t>2.8</w:t>
            </w:r>
          </w:p>
        </w:tc>
        <w:tc>
          <w:tcPr>
            <w:tcW w:w="2224" w:type="dxa"/>
            <w:gridSpan w:val="3"/>
            <w:shd w:val="clear" w:color="auto" w:fill="auto"/>
            <w:vAlign w:val="center"/>
          </w:tcPr>
          <w:p>
            <w:pPr>
              <w:pStyle w:val="246"/>
              <w:rPr>
                <w:rFonts w:eastAsiaTheme="minorEastAsia"/>
                <w:color w:val="auto"/>
              </w:rPr>
            </w:pPr>
            <w:r>
              <w:rPr>
                <w:rFonts w:eastAsiaTheme="minorEastAsia"/>
                <w:color w:val="auto"/>
              </w:rPr>
              <w:t>服务年限</w:t>
            </w:r>
          </w:p>
        </w:tc>
        <w:tc>
          <w:tcPr>
            <w:tcW w:w="1099" w:type="dxa"/>
            <w:gridSpan w:val="2"/>
            <w:shd w:val="clear" w:color="auto" w:fill="auto"/>
            <w:vAlign w:val="center"/>
          </w:tcPr>
          <w:p>
            <w:pPr>
              <w:pStyle w:val="246"/>
              <w:rPr>
                <w:rFonts w:eastAsiaTheme="minorEastAsia"/>
                <w:color w:val="auto"/>
              </w:rPr>
            </w:pPr>
            <w:r>
              <w:rPr>
                <w:rFonts w:eastAsiaTheme="minorEastAsia"/>
                <w:color w:val="auto"/>
              </w:rPr>
              <w:t>A</w:t>
            </w:r>
          </w:p>
        </w:tc>
        <w:tc>
          <w:tcPr>
            <w:tcW w:w="1353" w:type="dxa"/>
            <w:shd w:val="clear" w:color="auto" w:fill="auto"/>
            <w:vAlign w:val="center"/>
          </w:tcPr>
          <w:p>
            <w:pPr>
              <w:pStyle w:val="246"/>
              <w:rPr>
                <w:rFonts w:hint="eastAsia" w:eastAsiaTheme="minorEastAsia"/>
                <w:color w:val="auto"/>
                <w:lang w:eastAsia="zh-CN"/>
              </w:rPr>
            </w:pPr>
            <w:r>
              <w:rPr>
                <w:rFonts w:hint="eastAsia" w:eastAsiaTheme="minorEastAsia"/>
                <w:color w:val="auto"/>
                <w:lang w:val="en-US" w:eastAsia="zh-CN"/>
              </w:rPr>
              <w:t>3</w:t>
            </w:r>
          </w:p>
        </w:tc>
        <w:tc>
          <w:tcPr>
            <w:tcW w:w="3120" w:type="dxa"/>
            <w:shd w:val="clear" w:color="auto" w:fill="auto"/>
            <w:vAlign w:val="center"/>
          </w:tcPr>
          <w:p>
            <w:pPr>
              <w:pStyle w:val="246"/>
              <w:rPr>
                <w:rFonts w:eastAsiaTheme="minorEastAsia"/>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0" w:type="dxa"/>
            <w:shd w:val="clear" w:color="auto" w:fill="auto"/>
            <w:vAlign w:val="center"/>
          </w:tcPr>
          <w:p>
            <w:pPr>
              <w:pStyle w:val="246"/>
              <w:rPr>
                <w:rFonts w:eastAsiaTheme="minorEastAsia"/>
                <w:color w:val="auto"/>
                <w:highlight w:val="none"/>
              </w:rPr>
            </w:pPr>
            <w:r>
              <w:rPr>
                <w:rFonts w:eastAsiaTheme="minorEastAsia"/>
                <w:color w:val="auto"/>
                <w:highlight w:val="none"/>
              </w:rPr>
              <w:t>3</w:t>
            </w:r>
          </w:p>
        </w:tc>
        <w:tc>
          <w:tcPr>
            <w:tcW w:w="7796" w:type="dxa"/>
            <w:gridSpan w:val="7"/>
            <w:shd w:val="clear" w:color="auto" w:fill="auto"/>
            <w:vAlign w:val="center"/>
          </w:tcPr>
          <w:p>
            <w:pPr>
              <w:pStyle w:val="246"/>
              <w:rPr>
                <w:rFonts w:eastAsiaTheme="minorEastAsia"/>
                <w:color w:val="auto"/>
                <w:highlight w:val="none"/>
              </w:rPr>
            </w:pPr>
            <w:r>
              <w:rPr>
                <w:rFonts w:eastAsiaTheme="minorEastAsia"/>
                <w:color w:val="auto"/>
                <w:highlight w:val="none"/>
              </w:rPr>
              <w:t>主要原辅材料用量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0" w:type="dxa"/>
            <w:shd w:val="clear" w:color="auto" w:fill="auto"/>
            <w:vAlign w:val="center"/>
          </w:tcPr>
          <w:p>
            <w:pPr>
              <w:pStyle w:val="246"/>
              <w:rPr>
                <w:rFonts w:eastAsiaTheme="minorEastAsia"/>
                <w:color w:val="auto"/>
                <w:highlight w:val="none"/>
              </w:rPr>
            </w:pPr>
            <w:r>
              <w:rPr>
                <w:rFonts w:eastAsiaTheme="minorEastAsia"/>
                <w:color w:val="auto"/>
                <w:highlight w:val="none"/>
              </w:rPr>
              <w:t>3.1</w:t>
            </w:r>
          </w:p>
        </w:tc>
        <w:tc>
          <w:tcPr>
            <w:tcW w:w="2184" w:type="dxa"/>
            <w:gridSpan w:val="2"/>
            <w:shd w:val="clear" w:color="auto" w:fill="auto"/>
            <w:vAlign w:val="center"/>
          </w:tcPr>
          <w:p>
            <w:pPr>
              <w:pStyle w:val="246"/>
              <w:rPr>
                <w:rFonts w:eastAsiaTheme="minorEastAsia"/>
                <w:color w:val="auto"/>
                <w:highlight w:val="none"/>
              </w:rPr>
            </w:pPr>
            <w:r>
              <w:rPr>
                <w:rFonts w:eastAsiaTheme="minorEastAsia"/>
                <w:color w:val="auto"/>
                <w:highlight w:val="none"/>
              </w:rPr>
              <w:t>雷管</w:t>
            </w:r>
          </w:p>
        </w:tc>
        <w:tc>
          <w:tcPr>
            <w:tcW w:w="1093" w:type="dxa"/>
            <w:gridSpan w:val="2"/>
            <w:shd w:val="clear" w:color="auto" w:fill="auto"/>
            <w:vAlign w:val="center"/>
          </w:tcPr>
          <w:p>
            <w:pPr>
              <w:pStyle w:val="246"/>
              <w:rPr>
                <w:rFonts w:eastAsiaTheme="minorEastAsia"/>
                <w:color w:val="auto"/>
                <w:highlight w:val="none"/>
              </w:rPr>
            </w:pPr>
            <w:r>
              <w:rPr>
                <w:rFonts w:eastAsiaTheme="minorEastAsia"/>
                <w:color w:val="auto"/>
                <w:highlight w:val="none"/>
              </w:rPr>
              <w:t>×10</w:t>
            </w:r>
            <w:r>
              <w:rPr>
                <w:rFonts w:eastAsiaTheme="minorEastAsia"/>
                <w:color w:val="auto"/>
                <w:highlight w:val="none"/>
                <w:vertAlign w:val="superscript"/>
              </w:rPr>
              <w:t>4</w:t>
            </w:r>
            <w:r>
              <w:rPr>
                <w:rFonts w:eastAsiaTheme="minorEastAsia"/>
                <w:color w:val="auto"/>
                <w:highlight w:val="none"/>
              </w:rPr>
              <w:t>个/a</w:t>
            </w:r>
          </w:p>
        </w:tc>
        <w:tc>
          <w:tcPr>
            <w:tcW w:w="1399" w:type="dxa"/>
            <w:gridSpan w:val="2"/>
            <w:shd w:val="clear" w:color="auto" w:fill="auto"/>
            <w:vAlign w:val="center"/>
          </w:tcPr>
          <w:p>
            <w:pPr>
              <w:pStyle w:val="246"/>
              <w:rPr>
                <w:rFonts w:eastAsiaTheme="minorEastAsia"/>
                <w:color w:val="auto"/>
                <w:highlight w:val="none"/>
              </w:rPr>
            </w:pPr>
            <w:r>
              <w:rPr>
                <w:rFonts w:eastAsiaTheme="minorEastAsia"/>
                <w:color w:val="auto"/>
                <w:highlight w:val="none"/>
              </w:rPr>
              <w:t>7.5</w:t>
            </w:r>
          </w:p>
        </w:tc>
        <w:tc>
          <w:tcPr>
            <w:tcW w:w="3120" w:type="dxa"/>
            <w:shd w:val="clear" w:color="auto" w:fill="auto"/>
            <w:vAlign w:val="center"/>
          </w:tcPr>
          <w:p>
            <w:pPr>
              <w:pStyle w:val="246"/>
              <w:rPr>
                <w:rFonts w:eastAsiaTheme="minorEastAsia"/>
                <w:color w:val="auto"/>
                <w:highlight w:val="none"/>
              </w:rPr>
            </w:pPr>
            <w:r>
              <w:rPr>
                <w:rFonts w:eastAsiaTheme="minorEastAsia"/>
                <w:color w:val="auto"/>
                <w:highlight w:val="none"/>
              </w:rPr>
              <w:t>0.5个/t，1.5t/m</w:t>
            </w:r>
            <w:r>
              <w:rPr>
                <w:rFonts w:eastAsiaTheme="minorEastAsia"/>
                <w:color w:val="auto"/>
                <w:highlight w:val="none"/>
                <w:vertAlign w:val="superscript"/>
              </w:rPr>
              <w:t>3</w:t>
            </w:r>
            <w:r>
              <w:rPr>
                <w:rFonts w:eastAsiaTheme="minorEastAsia"/>
                <w:color w:val="auto"/>
                <w:highlight w:val="none"/>
              </w:rPr>
              <w:t>，</w:t>
            </w:r>
            <w:r>
              <w:rPr>
                <w:rFonts w:hint="eastAsia" w:eastAsiaTheme="minorEastAsia"/>
                <w:color w:val="auto"/>
                <w:highlight w:val="none"/>
                <w:lang w:eastAsia="zh-CN"/>
              </w:rPr>
              <w:t>3×10</w:t>
            </w:r>
            <w:r>
              <w:rPr>
                <w:rFonts w:eastAsiaTheme="minorEastAsia"/>
                <w:color w:val="auto"/>
                <w:highlight w:val="none"/>
                <w:vertAlign w:val="superscript"/>
              </w:rPr>
              <w:t>4</w:t>
            </w:r>
            <w:r>
              <w:rPr>
                <w:rFonts w:eastAsiaTheme="minorEastAsia"/>
                <w:color w:val="auto"/>
                <w:highlight w:val="none"/>
              </w:rPr>
              <w:t xml:space="preserve"> m</w:t>
            </w:r>
            <w:r>
              <w:rPr>
                <w:rFonts w:eastAsiaTheme="minorEastAsia"/>
                <w:color w:val="auto"/>
                <w:highlight w:val="none"/>
                <w:vertAlign w:val="superscript"/>
              </w:rPr>
              <w:t>3</w:t>
            </w:r>
            <w:r>
              <w:rPr>
                <w:rFonts w:eastAsiaTheme="minorEastAsia"/>
                <w:color w:val="auto"/>
                <w:highlight w:val="none"/>
              </w:rPr>
              <w:t>/年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0" w:type="dxa"/>
            <w:shd w:val="clear" w:color="auto" w:fill="auto"/>
            <w:vAlign w:val="center"/>
          </w:tcPr>
          <w:p>
            <w:pPr>
              <w:pStyle w:val="246"/>
              <w:rPr>
                <w:rFonts w:eastAsiaTheme="minorEastAsia"/>
                <w:color w:val="auto"/>
                <w:highlight w:val="none"/>
              </w:rPr>
            </w:pPr>
            <w:r>
              <w:rPr>
                <w:rFonts w:eastAsiaTheme="minorEastAsia"/>
                <w:color w:val="auto"/>
                <w:highlight w:val="none"/>
              </w:rPr>
              <w:t>3.2</w:t>
            </w:r>
          </w:p>
        </w:tc>
        <w:tc>
          <w:tcPr>
            <w:tcW w:w="2184" w:type="dxa"/>
            <w:gridSpan w:val="2"/>
            <w:shd w:val="clear" w:color="auto" w:fill="auto"/>
            <w:vAlign w:val="center"/>
          </w:tcPr>
          <w:p>
            <w:pPr>
              <w:pStyle w:val="246"/>
              <w:rPr>
                <w:rFonts w:eastAsiaTheme="minorEastAsia"/>
                <w:color w:val="auto"/>
                <w:highlight w:val="none"/>
              </w:rPr>
            </w:pPr>
            <w:r>
              <w:rPr>
                <w:rFonts w:eastAsiaTheme="minorEastAsia"/>
                <w:color w:val="auto"/>
                <w:highlight w:val="none"/>
              </w:rPr>
              <w:t>炸药</w:t>
            </w:r>
          </w:p>
        </w:tc>
        <w:tc>
          <w:tcPr>
            <w:tcW w:w="1093" w:type="dxa"/>
            <w:gridSpan w:val="2"/>
            <w:shd w:val="clear" w:color="auto" w:fill="auto"/>
            <w:vAlign w:val="center"/>
          </w:tcPr>
          <w:p>
            <w:pPr>
              <w:pStyle w:val="246"/>
              <w:rPr>
                <w:rFonts w:eastAsiaTheme="minorEastAsia"/>
                <w:color w:val="auto"/>
                <w:highlight w:val="none"/>
              </w:rPr>
            </w:pPr>
            <w:r>
              <w:rPr>
                <w:rFonts w:eastAsiaTheme="minorEastAsia"/>
                <w:color w:val="auto"/>
                <w:highlight w:val="none"/>
              </w:rPr>
              <w:t>t/a</w:t>
            </w:r>
          </w:p>
        </w:tc>
        <w:tc>
          <w:tcPr>
            <w:tcW w:w="1399" w:type="dxa"/>
            <w:gridSpan w:val="2"/>
            <w:shd w:val="clear" w:color="auto" w:fill="auto"/>
            <w:vAlign w:val="center"/>
          </w:tcPr>
          <w:p>
            <w:pPr>
              <w:pStyle w:val="246"/>
              <w:rPr>
                <w:rFonts w:eastAsiaTheme="minorEastAsia"/>
                <w:color w:val="auto"/>
                <w:highlight w:val="none"/>
              </w:rPr>
            </w:pPr>
            <w:r>
              <w:rPr>
                <w:rFonts w:eastAsiaTheme="minorEastAsia"/>
                <w:color w:val="auto"/>
                <w:highlight w:val="none"/>
              </w:rPr>
              <w:t>9.6</w:t>
            </w:r>
          </w:p>
        </w:tc>
        <w:tc>
          <w:tcPr>
            <w:tcW w:w="3120" w:type="dxa"/>
            <w:shd w:val="clear" w:color="auto" w:fill="auto"/>
            <w:vAlign w:val="center"/>
          </w:tcPr>
          <w:p>
            <w:pPr>
              <w:pStyle w:val="246"/>
              <w:rPr>
                <w:rFonts w:eastAsiaTheme="minorEastAsia"/>
                <w:color w:val="auto"/>
                <w:highlight w:val="none"/>
              </w:rPr>
            </w:pPr>
            <w:r>
              <w:rPr>
                <w:rFonts w:eastAsiaTheme="minorEastAsia"/>
                <w:color w:val="auto"/>
                <w:highlight w:val="none"/>
              </w:rPr>
              <w:t>20次/年，20箱/次，24kg/箱</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0" w:type="dxa"/>
            <w:shd w:val="clear" w:color="auto" w:fill="auto"/>
            <w:vAlign w:val="center"/>
          </w:tcPr>
          <w:p>
            <w:pPr>
              <w:pStyle w:val="246"/>
              <w:rPr>
                <w:rFonts w:eastAsiaTheme="minorEastAsia"/>
                <w:color w:val="auto"/>
                <w:highlight w:val="none"/>
              </w:rPr>
            </w:pPr>
            <w:r>
              <w:rPr>
                <w:rFonts w:eastAsiaTheme="minorEastAsia"/>
                <w:color w:val="auto"/>
                <w:highlight w:val="none"/>
              </w:rPr>
              <w:t>3.3</w:t>
            </w:r>
          </w:p>
        </w:tc>
        <w:tc>
          <w:tcPr>
            <w:tcW w:w="2184" w:type="dxa"/>
            <w:gridSpan w:val="2"/>
            <w:shd w:val="clear" w:color="auto" w:fill="auto"/>
            <w:vAlign w:val="center"/>
          </w:tcPr>
          <w:p>
            <w:pPr>
              <w:pStyle w:val="246"/>
              <w:rPr>
                <w:rFonts w:eastAsiaTheme="minorEastAsia"/>
                <w:color w:val="auto"/>
                <w:highlight w:val="none"/>
              </w:rPr>
            </w:pPr>
            <w:r>
              <w:rPr>
                <w:rFonts w:eastAsiaTheme="minorEastAsia"/>
                <w:color w:val="auto"/>
                <w:highlight w:val="none"/>
              </w:rPr>
              <w:t>水</w:t>
            </w:r>
          </w:p>
        </w:tc>
        <w:tc>
          <w:tcPr>
            <w:tcW w:w="1093" w:type="dxa"/>
            <w:gridSpan w:val="2"/>
            <w:shd w:val="clear" w:color="auto" w:fill="auto"/>
            <w:vAlign w:val="center"/>
          </w:tcPr>
          <w:p>
            <w:pPr>
              <w:pStyle w:val="246"/>
              <w:rPr>
                <w:rFonts w:eastAsiaTheme="minorEastAsia"/>
                <w:color w:val="auto"/>
                <w:highlight w:val="none"/>
              </w:rPr>
            </w:pPr>
            <w:r>
              <w:rPr>
                <w:rFonts w:eastAsiaTheme="minorEastAsia"/>
                <w:color w:val="auto"/>
                <w:highlight w:val="none"/>
              </w:rPr>
              <w:t>t/a</w:t>
            </w:r>
          </w:p>
        </w:tc>
        <w:tc>
          <w:tcPr>
            <w:tcW w:w="1399" w:type="dxa"/>
            <w:gridSpan w:val="2"/>
            <w:shd w:val="clear" w:color="auto" w:fill="auto"/>
            <w:vAlign w:val="center"/>
          </w:tcPr>
          <w:p>
            <w:pPr>
              <w:pStyle w:val="246"/>
              <w:rPr>
                <w:rFonts w:eastAsiaTheme="minorEastAsia"/>
                <w:color w:val="auto"/>
                <w:highlight w:val="none"/>
              </w:rPr>
            </w:pPr>
            <w:r>
              <w:rPr>
                <w:rFonts w:eastAsiaTheme="minorEastAsia"/>
                <w:color w:val="auto"/>
                <w:highlight w:val="none"/>
              </w:rPr>
              <w:t>245</w:t>
            </w:r>
          </w:p>
        </w:tc>
        <w:tc>
          <w:tcPr>
            <w:tcW w:w="3120" w:type="dxa"/>
            <w:shd w:val="clear" w:color="auto" w:fill="auto"/>
            <w:vAlign w:val="center"/>
          </w:tcPr>
          <w:p>
            <w:pPr>
              <w:pStyle w:val="246"/>
              <w:rPr>
                <w:rFonts w:eastAsiaTheme="minorEastAsia"/>
                <w:color w:val="auto"/>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0" w:type="dxa"/>
            <w:shd w:val="clear" w:color="auto" w:fill="auto"/>
            <w:vAlign w:val="center"/>
          </w:tcPr>
          <w:p>
            <w:pPr>
              <w:pStyle w:val="246"/>
              <w:rPr>
                <w:rFonts w:eastAsiaTheme="minorEastAsia"/>
                <w:color w:val="auto"/>
                <w:highlight w:val="none"/>
              </w:rPr>
            </w:pPr>
            <w:r>
              <w:rPr>
                <w:rFonts w:eastAsiaTheme="minorEastAsia"/>
                <w:color w:val="auto"/>
                <w:highlight w:val="none"/>
              </w:rPr>
              <w:t>3.4</w:t>
            </w:r>
          </w:p>
        </w:tc>
        <w:tc>
          <w:tcPr>
            <w:tcW w:w="2184" w:type="dxa"/>
            <w:gridSpan w:val="2"/>
            <w:shd w:val="clear" w:color="auto" w:fill="auto"/>
            <w:vAlign w:val="center"/>
          </w:tcPr>
          <w:p>
            <w:pPr>
              <w:pStyle w:val="246"/>
              <w:rPr>
                <w:rFonts w:eastAsiaTheme="minorEastAsia"/>
                <w:color w:val="auto"/>
                <w:highlight w:val="none"/>
              </w:rPr>
            </w:pPr>
            <w:r>
              <w:rPr>
                <w:rFonts w:eastAsiaTheme="minorEastAsia"/>
                <w:color w:val="auto"/>
                <w:highlight w:val="none"/>
              </w:rPr>
              <w:t>电</w:t>
            </w:r>
          </w:p>
        </w:tc>
        <w:tc>
          <w:tcPr>
            <w:tcW w:w="1093" w:type="dxa"/>
            <w:gridSpan w:val="2"/>
            <w:shd w:val="clear" w:color="auto" w:fill="auto"/>
            <w:vAlign w:val="center"/>
          </w:tcPr>
          <w:p>
            <w:pPr>
              <w:pStyle w:val="246"/>
              <w:rPr>
                <w:rFonts w:eastAsiaTheme="minorEastAsia"/>
                <w:color w:val="auto"/>
                <w:highlight w:val="none"/>
              </w:rPr>
            </w:pPr>
            <w:r>
              <w:rPr>
                <w:rFonts w:eastAsiaTheme="minorEastAsia"/>
                <w:color w:val="auto"/>
                <w:highlight w:val="none"/>
              </w:rPr>
              <w:t>×10</w:t>
            </w:r>
            <w:r>
              <w:rPr>
                <w:rFonts w:eastAsiaTheme="minorEastAsia"/>
                <w:color w:val="auto"/>
                <w:highlight w:val="none"/>
                <w:vertAlign w:val="superscript"/>
              </w:rPr>
              <w:t>4</w:t>
            </w:r>
            <w:r>
              <w:rPr>
                <w:rFonts w:eastAsiaTheme="minorEastAsia"/>
                <w:color w:val="auto"/>
                <w:highlight w:val="none"/>
              </w:rPr>
              <w:t>度/a</w:t>
            </w:r>
          </w:p>
        </w:tc>
        <w:tc>
          <w:tcPr>
            <w:tcW w:w="1399" w:type="dxa"/>
            <w:gridSpan w:val="2"/>
            <w:shd w:val="clear" w:color="auto" w:fill="auto"/>
            <w:vAlign w:val="center"/>
          </w:tcPr>
          <w:p>
            <w:pPr>
              <w:pStyle w:val="246"/>
              <w:rPr>
                <w:rFonts w:eastAsiaTheme="minorEastAsia"/>
                <w:color w:val="auto"/>
                <w:highlight w:val="none"/>
              </w:rPr>
            </w:pPr>
            <w:r>
              <w:rPr>
                <w:rFonts w:eastAsiaTheme="minorEastAsia"/>
                <w:color w:val="auto"/>
                <w:highlight w:val="none"/>
              </w:rPr>
              <w:t>24</w:t>
            </w:r>
          </w:p>
        </w:tc>
        <w:tc>
          <w:tcPr>
            <w:tcW w:w="3120" w:type="dxa"/>
            <w:shd w:val="clear" w:color="auto" w:fill="auto"/>
            <w:vAlign w:val="center"/>
          </w:tcPr>
          <w:p>
            <w:pPr>
              <w:pStyle w:val="246"/>
              <w:rPr>
                <w:rFonts w:eastAsiaTheme="minorEastAsia"/>
                <w:color w:val="auto"/>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0" w:type="dxa"/>
            <w:shd w:val="clear" w:color="auto" w:fill="auto"/>
            <w:vAlign w:val="center"/>
          </w:tcPr>
          <w:p>
            <w:pPr>
              <w:pStyle w:val="246"/>
              <w:rPr>
                <w:rFonts w:eastAsiaTheme="minorEastAsia"/>
                <w:color w:val="auto"/>
                <w:highlight w:val="none"/>
              </w:rPr>
            </w:pPr>
            <w:r>
              <w:rPr>
                <w:rFonts w:eastAsiaTheme="minorEastAsia"/>
                <w:color w:val="auto"/>
                <w:highlight w:val="none"/>
              </w:rPr>
              <w:t>3.5</w:t>
            </w:r>
          </w:p>
        </w:tc>
        <w:tc>
          <w:tcPr>
            <w:tcW w:w="2184" w:type="dxa"/>
            <w:gridSpan w:val="2"/>
            <w:shd w:val="clear" w:color="auto" w:fill="auto"/>
            <w:vAlign w:val="center"/>
          </w:tcPr>
          <w:p>
            <w:pPr>
              <w:pStyle w:val="246"/>
              <w:rPr>
                <w:rFonts w:eastAsiaTheme="minorEastAsia"/>
                <w:color w:val="auto"/>
                <w:highlight w:val="none"/>
              </w:rPr>
            </w:pPr>
            <w:r>
              <w:rPr>
                <w:rFonts w:eastAsiaTheme="minorEastAsia"/>
                <w:color w:val="auto"/>
                <w:highlight w:val="none"/>
              </w:rPr>
              <w:t>柴油</w:t>
            </w:r>
          </w:p>
        </w:tc>
        <w:tc>
          <w:tcPr>
            <w:tcW w:w="1093" w:type="dxa"/>
            <w:gridSpan w:val="2"/>
            <w:shd w:val="clear" w:color="auto" w:fill="auto"/>
            <w:vAlign w:val="center"/>
          </w:tcPr>
          <w:p>
            <w:pPr>
              <w:pStyle w:val="246"/>
              <w:rPr>
                <w:rFonts w:eastAsiaTheme="minorEastAsia"/>
                <w:color w:val="auto"/>
                <w:highlight w:val="none"/>
              </w:rPr>
            </w:pPr>
            <w:r>
              <w:rPr>
                <w:rFonts w:eastAsiaTheme="minorEastAsia"/>
                <w:color w:val="auto"/>
                <w:highlight w:val="none"/>
              </w:rPr>
              <w:t>t/a</w:t>
            </w:r>
          </w:p>
        </w:tc>
        <w:tc>
          <w:tcPr>
            <w:tcW w:w="1399" w:type="dxa"/>
            <w:gridSpan w:val="2"/>
            <w:shd w:val="clear" w:color="auto" w:fill="auto"/>
            <w:vAlign w:val="center"/>
          </w:tcPr>
          <w:p>
            <w:pPr>
              <w:pStyle w:val="246"/>
              <w:rPr>
                <w:rFonts w:eastAsiaTheme="minorEastAsia"/>
                <w:color w:val="auto"/>
                <w:highlight w:val="none"/>
              </w:rPr>
            </w:pPr>
            <w:r>
              <w:rPr>
                <w:rFonts w:eastAsiaTheme="minorEastAsia"/>
                <w:color w:val="auto"/>
                <w:highlight w:val="none"/>
              </w:rPr>
              <w:t>26</w:t>
            </w:r>
          </w:p>
        </w:tc>
        <w:tc>
          <w:tcPr>
            <w:tcW w:w="3120" w:type="dxa"/>
            <w:shd w:val="clear" w:color="auto" w:fill="auto"/>
            <w:vAlign w:val="center"/>
          </w:tcPr>
          <w:p>
            <w:pPr>
              <w:pStyle w:val="246"/>
              <w:rPr>
                <w:rFonts w:eastAsiaTheme="minorEastAsia"/>
                <w:color w:val="auto"/>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0" w:type="dxa"/>
            <w:shd w:val="clear" w:color="auto" w:fill="auto"/>
            <w:vAlign w:val="center"/>
          </w:tcPr>
          <w:p>
            <w:pPr>
              <w:pStyle w:val="246"/>
              <w:rPr>
                <w:rFonts w:eastAsiaTheme="minorEastAsia"/>
                <w:color w:val="auto"/>
                <w:highlight w:val="none"/>
              </w:rPr>
            </w:pPr>
            <w:r>
              <w:rPr>
                <w:rFonts w:eastAsiaTheme="minorEastAsia"/>
                <w:color w:val="auto"/>
                <w:highlight w:val="none"/>
              </w:rPr>
              <w:t>3.6</w:t>
            </w:r>
          </w:p>
        </w:tc>
        <w:tc>
          <w:tcPr>
            <w:tcW w:w="2184" w:type="dxa"/>
            <w:gridSpan w:val="2"/>
            <w:shd w:val="clear" w:color="auto" w:fill="auto"/>
            <w:vAlign w:val="center"/>
          </w:tcPr>
          <w:p>
            <w:pPr>
              <w:pStyle w:val="246"/>
              <w:rPr>
                <w:rFonts w:eastAsiaTheme="minorEastAsia"/>
                <w:color w:val="auto"/>
                <w:highlight w:val="none"/>
              </w:rPr>
            </w:pPr>
            <w:r>
              <w:rPr>
                <w:rFonts w:eastAsiaTheme="minorEastAsia"/>
                <w:color w:val="auto"/>
                <w:highlight w:val="none"/>
              </w:rPr>
              <w:t>电线导线</w:t>
            </w:r>
          </w:p>
        </w:tc>
        <w:tc>
          <w:tcPr>
            <w:tcW w:w="1093" w:type="dxa"/>
            <w:gridSpan w:val="2"/>
            <w:shd w:val="clear" w:color="auto" w:fill="auto"/>
            <w:vAlign w:val="center"/>
          </w:tcPr>
          <w:p>
            <w:pPr>
              <w:pStyle w:val="246"/>
              <w:rPr>
                <w:rFonts w:eastAsiaTheme="minorEastAsia"/>
                <w:color w:val="auto"/>
                <w:highlight w:val="none"/>
              </w:rPr>
            </w:pPr>
            <w:r>
              <w:rPr>
                <w:rFonts w:eastAsiaTheme="minorEastAsia"/>
                <w:color w:val="auto"/>
                <w:highlight w:val="none"/>
              </w:rPr>
              <w:t>×10</w:t>
            </w:r>
            <w:r>
              <w:rPr>
                <w:rFonts w:eastAsiaTheme="minorEastAsia"/>
                <w:color w:val="auto"/>
                <w:highlight w:val="none"/>
                <w:vertAlign w:val="superscript"/>
              </w:rPr>
              <w:t>4</w:t>
            </w:r>
            <w:r>
              <w:rPr>
                <w:rFonts w:eastAsiaTheme="minorEastAsia"/>
                <w:color w:val="auto"/>
                <w:highlight w:val="none"/>
              </w:rPr>
              <w:t>m</w:t>
            </w:r>
          </w:p>
        </w:tc>
        <w:tc>
          <w:tcPr>
            <w:tcW w:w="1399" w:type="dxa"/>
            <w:gridSpan w:val="2"/>
            <w:shd w:val="clear" w:color="auto" w:fill="auto"/>
            <w:vAlign w:val="center"/>
          </w:tcPr>
          <w:p>
            <w:pPr>
              <w:pStyle w:val="246"/>
              <w:rPr>
                <w:rFonts w:eastAsiaTheme="minorEastAsia"/>
                <w:color w:val="auto"/>
                <w:highlight w:val="none"/>
              </w:rPr>
            </w:pPr>
            <w:r>
              <w:rPr>
                <w:rFonts w:eastAsiaTheme="minorEastAsia"/>
                <w:color w:val="auto"/>
                <w:highlight w:val="none"/>
              </w:rPr>
              <w:t>18</w:t>
            </w:r>
          </w:p>
        </w:tc>
        <w:tc>
          <w:tcPr>
            <w:tcW w:w="3120" w:type="dxa"/>
            <w:shd w:val="clear" w:color="auto" w:fill="auto"/>
            <w:vAlign w:val="center"/>
          </w:tcPr>
          <w:p>
            <w:pPr>
              <w:pStyle w:val="246"/>
              <w:rPr>
                <w:rFonts w:eastAsiaTheme="minorEastAsia"/>
                <w:color w:val="auto"/>
                <w:highlight w:val="none"/>
              </w:rPr>
            </w:pPr>
            <w:r>
              <w:rPr>
                <w:rFonts w:eastAsiaTheme="minorEastAsia"/>
                <w:color w:val="auto"/>
                <w:highlight w:val="none"/>
              </w:rPr>
              <w:t>1.2m/t，1.5t/m</w:t>
            </w:r>
            <w:r>
              <w:rPr>
                <w:rFonts w:eastAsiaTheme="minorEastAsia"/>
                <w:color w:val="auto"/>
                <w:highlight w:val="none"/>
                <w:vertAlign w:val="superscript"/>
              </w:rPr>
              <w:t>3</w:t>
            </w:r>
            <w:r>
              <w:rPr>
                <w:rFonts w:eastAsiaTheme="minorEastAsia"/>
                <w:color w:val="auto"/>
                <w:highlight w:val="none"/>
              </w:rPr>
              <w:t>，</w:t>
            </w:r>
            <w:r>
              <w:rPr>
                <w:rFonts w:hint="eastAsia" w:eastAsiaTheme="minorEastAsia"/>
                <w:color w:val="auto"/>
                <w:highlight w:val="none"/>
                <w:lang w:eastAsia="zh-CN"/>
              </w:rPr>
              <w:t>3×10</w:t>
            </w:r>
            <w:r>
              <w:rPr>
                <w:rFonts w:eastAsiaTheme="minorEastAsia"/>
                <w:color w:val="auto"/>
                <w:highlight w:val="none"/>
                <w:vertAlign w:val="superscript"/>
              </w:rPr>
              <w:t>4</w:t>
            </w:r>
            <w:r>
              <w:rPr>
                <w:rFonts w:eastAsiaTheme="minorEastAsia"/>
                <w:color w:val="auto"/>
                <w:highlight w:val="none"/>
              </w:rPr>
              <w:t>m</w:t>
            </w:r>
            <w:r>
              <w:rPr>
                <w:rFonts w:eastAsiaTheme="minorEastAsia"/>
                <w:color w:val="auto"/>
                <w:highlight w:val="none"/>
                <w:vertAlign w:val="superscript"/>
              </w:rPr>
              <w:t>3</w:t>
            </w:r>
            <w:r>
              <w:rPr>
                <w:rFonts w:eastAsiaTheme="minorEastAsia"/>
                <w:color w:val="auto"/>
                <w:highlight w:val="none"/>
              </w:rPr>
              <w: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0" w:type="dxa"/>
            <w:shd w:val="clear" w:color="auto" w:fill="auto"/>
            <w:vAlign w:val="center"/>
          </w:tcPr>
          <w:p>
            <w:pPr>
              <w:pStyle w:val="246"/>
              <w:rPr>
                <w:rFonts w:eastAsiaTheme="minorEastAsia"/>
                <w:color w:val="auto"/>
                <w:highlight w:val="none"/>
              </w:rPr>
            </w:pPr>
            <w:r>
              <w:rPr>
                <w:rFonts w:eastAsiaTheme="minorEastAsia"/>
                <w:color w:val="auto"/>
                <w:highlight w:val="none"/>
              </w:rPr>
              <w:t>3.7</w:t>
            </w:r>
          </w:p>
        </w:tc>
        <w:tc>
          <w:tcPr>
            <w:tcW w:w="2184" w:type="dxa"/>
            <w:gridSpan w:val="2"/>
            <w:shd w:val="clear" w:color="auto" w:fill="auto"/>
            <w:vAlign w:val="center"/>
          </w:tcPr>
          <w:p>
            <w:pPr>
              <w:pStyle w:val="246"/>
              <w:rPr>
                <w:rFonts w:eastAsiaTheme="minorEastAsia"/>
                <w:color w:val="auto"/>
                <w:highlight w:val="none"/>
              </w:rPr>
            </w:pPr>
            <w:r>
              <w:rPr>
                <w:rFonts w:eastAsiaTheme="minorEastAsia"/>
                <w:color w:val="auto"/>
                <w:highlight w:val="none"/>
              </w:rPr>
              <w:t>钻头</w:t>
            </w:r>
          </w:p>
        </w:tc>
        <w:tc>
          <w:tcPr>
            <w:tcW w:w="1093" w:type="dxa"/>
            <w:gridSpan w:val="2"/>
            <w:shd w:val="clear" w:color="auto" w:fill="auto"/>
            <w:vAlign w:val="center"/>
          </w:tcPr>
          <w:p>
            <w:pPr>
              <w:pStyle w:val="246"/>
              <w:rPr>
                <w:rFonts w:eastAsiaTheme="minorEastAsia"/>
                <w:color w:val="auto"/>
                <w:highlight w:val="none"/>
              </w:rPr>
            </w:pPr>
            <w:r>
              <w:rPr>
                <w:rFonts w:eastAsiaTheme="minorEastAsia"/>
                <w:color w:val="auto"/>
                <w:highlight w:val="none"/>
              </w:rPr>
              <w:t>×10</w:t>
            </w:r>
            <w:r>
              <w:rPr>
                <w:rFonts w:eastAsiaTheme="minorEastAsia"/>
                <w:color w:val="auto"/>
                <w:highlight w:val="none"/>
                <w:vertAlign w:val="superscript"/>
              </w:rPr>
              <w:t>4</w:t>
            </w:r>
            <w:r>
              <w:rPr>
                <w:rFonts w:eastAsiaTheme="minorEastAsia"/>
                <w:color w:val="auto"/>
                <w:highlight w:val="none"/>
              </w:rPr>
              <w:t>个</w:t>
            </w:r>
          </w:p>
        </w:tc>
        <w:tc>
          <w:tcPr>
            <w:tcW w:w="1399" w:type="dxa"/>
            <w:gridSpan w:val="2"/>
            <w:shd w:val="clear" w:color="auto" w:fill="auto"/>
            <w:vAlign w:val="center"/>
          </w:tcPr>
          <w:p>
            <w:pPr>
              <w:pStyle w:val="246"/>
              <w:rPr>
                <w:rFonts w:eastAsiaTheme="minorEastAsia"/>
                <w:color w:val="auto"/>
                <w:highlight w:val="none"/>
              </w:rPr>
            </w:pPr>
            <w:r>
              <w:rPr>
                <w:rFonts w:eastAsiaTheme="minorEastAsia"/>
                <w:color w:val="auto"/>
                <w:highlight w:val="none"/>
              </w:rPr>
              <w:t>1.5</w:t>
            </w:r>
          </w:p>
        </w:tc>
        <w:tc>
          <w:tcPr>
            <w:tcW w:w="3120" w:type="dxa"/>
            <w:shd w:val="clear" w:color="auto" w:fill="auto"/>
            <w:vAlign w:val="center"/>
          </w:tcPr>
          <w:p>
            <w:pPr>
              <w:pStyle w:val="246"/>
              <w:rPr>
                <w:rFonts w:eastAsiaTheme="minorEastAsia"/>
                <w:color w:val="auto"/>
                <w:highlight w:val="none"/>
              </w:rPr>
            </w:pPr>
            <w:r>
              <w:rPr>
                <w:rFonts w:eastAsiaTheme="minorEastAsia"/>
                <w:color w:val="auto"/>
                <w:highlight w:val="none"/>
              </w:rPr>
              <w:t>0.1个/t，1.5t/m</w:t>
            </w:r>
            <w:r>
              <w:rPr>
                <w:rFonts w:eastAsiaTheme="minorEastAsia"/>
                <w:color w:val="auto"/>
                <w:highlight w:val="none"/>
                <w:vertAlign w:val="superscript"/>
              </w:rPr>
              <w:t>3</w:t>
            </w:r>
            <w:r>
              <w:rPr>
                <w:rFonts w:eastAsiaTheme="minorEastAsia"/>
                <w:color w:val="auto"/>
                <w:highlight w:val="none"/>
              </w:rPr>
              <w:t>，</w:t>
            </w:r>
            <w:r>
              <w:rPr>
                <w:rFonts w:hint="eastAsia" w:eastAsiaTheme="minorEastAsia"/>
                <w:color w:val="auto"/>
                <w:highlight w:val="none"/>
                <w:lang w:eastAsia="zh-CN"/>
              </w:rPr>
              <w:t>3×10</w:t>
            </w:r>
            <w:r>
              <w:rPr>
                <w:rFonts w:eastAsiaTheme="minorEastAsia"/>
                <w:color w:val="auto"/>
                <w:highlight w:val="none"/>
                <w:vertAlign w:val="superscript"/>
              </w:rPr>
              <w:t>4</w:t>
            </w:r>
            <w:r>
              <w:rPr>
                <w:rFonts w:eastAsiaTheme="minorEastAsia"/>
                <w:color w:val="auto"/>
                <w:highlight w:val="none"/>
              </w:rPr>
              <w:t xml:space="preserve"> m</w:t>
            </w:r>
            <w:r>
              <w:rPr>
                <w:rFonts w:eastAsiaTheme="minorEastAsia"/>
                <w:color w:val="auto"/>
                <w:highlight w:val="none"/>
                <w:vertAlign w:val="superscript"/>
              </w:rPr>
              <w:t>3</w:t>
            </w:r>
            <w:r>
              <w:rPr>
                <w:rFonts w:eastAsiaTheme="minorEastAsia"/>
                <w:color w:val="auto"/>
                <w:highlight w:val="none"/>
              </w:rPr>
              <w:t>/a</w:t>
            </w:r>
          </w:p>
        </w:tc>
      </w:tr>
    </w:tbl>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3.2.1矿区范围</w:t>
      </w:r>
    </w:p>
    <w:p>
      <w:pPr>
        <w:pStyle w:val="276"/>
        <w:jc w:val="both"/>
        <w:rPr>
          <w:rFonts w:eastAsiaTheme="minorEastAsia"/>
          <w:color w:val="auto"/>
        </w:rPr>
      </w:pPr>
      <w:bookmarkStart w:id="109" w:name="_Toc360142534"/>
      <w:bookmarkStart w:id="110" w:name="_Toc440973679"/>
      <w:bookmarkStart w:id="111" w:name="_Toc440973413"/>
      <w:bookmarkStart w:id="112" w:name="_Toc440973043"/>
      <w:r>
        <w:rPr>
          <w:rFonts w:eastAsiaTheme="minorEastAsia"/>
          <w:color w:val="auto"/>
        </w:rPr>
        <w:t>根据《</w:t>
      </w:r>
      <w:r>
        <w:rPr>
          <w:rFonts w:hint="eastAsia" w:eastAsiaTheme="minorEastAsia"/>
          <w:color w:val="auto"/>
          <w:lang w:eastAsia="zh-CN"/>
        </w:rPr>
        <w:t>佳木斯市郊区新华采石场资源储量核实报告</w:t>
      </w:r>
      <w:r>
        <w:rPr>
          <w:rFonts w:eastAsiaTheme="minorEastAsia"/>
          <w:color w:val="auto"/>
        </w:rPr>
        <w:t>》</w:t>
      </w:r>
      <w:r>
        <w:rPr>
          <w:rFonts w:hint="eastAsia" w:eastAsiaTheme="minorEastAsia"/>
          <w:color w:val="auto"/>
          <w:lang w:eastAsia="zh-CN"/>
        </w:rPr>
        <w:t>（含本项目佳华分厂）</w:t>
      </w:r>
      <w:r>
        <w:rPr>
          <w:rFonts w:eastAsiaTheme="minorEastAsia"/>
          <w:color w:val="auto"/>
        </w:rPr>
        <w:t>，矿区范围由</w:t>
      </w:r>
      <w:r>
        <w:rPr>
          <w:rFonts w:hint="eastAsia" w:eastAsiaTheme="minorEastAsia"/>
          <w:color w:val="auto"/>
          <w:lang w:val="en-US" w:eastAsia="zh-CN"/>
        </w:rPr>
        <w:t>4</w:t>
      </w:r>
      <w:r>
        <w:rPr>
          <w:rFonts w:eastAsiaTheme="minorEastAsia"/>
          <w:color w:val="auto"/>
        </w:rPr>
        <w:t>个拐点圈定矿山的露天开采境界，最低开采标高为</w:t>
      </w:r>
      <w:r>
        <w:rPr>
          <w:rFonts w:hint="eastAsia" w:eastAsiaTheme="minorEastAsia"/>
          <w:color w:val="auto"/>
          <w:lang w:val="en-US" w:eastAsia="zh-CN"/>
        </w:rPr>
        <w:t>107</w:t>
      </w:r>
      <w:r>
        <w:rPr>
          <w:rFonts w:eastAsiaTheme="minorEastAsia"/>
          <w:color w:val="auto"/>
        </w:rPr>
        <w:t>m以上，矿区拐点范围坐标见表3-2-2。</w:t>
      </w:r>
    </w:p>
    <w:p>
      <w:pPr>
        <w:widowControl/>
        <w:spacing w:line="240" w:lineRule="auto"/>
        <w:jc w:val="center"/>
        <w:rPr>
          <w:rFonts w:eastAsiaTheme="minorEastAsia"/>
          <w:color w:val="auto"/>
        </w:rPr>
      </w:pPr>
      <w:r>
        <w:rPr>
          <w:rFonts w:eastAsiaTheme="minorEastAsia"/>
          <w:color w:val="auto"/>
        </w:rPr>
        <w:t>表3-2-2   矿区拐点范围坐标</w:t>
      </w:r>
    </w:p>
    <w:tbl>
      <w:tblPr>
        <w:tblStyle w:val="53"/>
        <w:tblW w:w="83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9"/>
        <w:gridCol w:w="2503"/>
        <w:gridCol w:w="2505"/>
        <w:gridCol w:w="19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5" w:hRule="atLeast"/>
        </w:trPr>
        <w:tc>
          <w:tcPr>
            <w:tcW w:w="1369" w:type="dxa"/>
            <w:tcBorders>
              <w:top w:val="single" w:color="auto" w:sz="12" w:space="0"/>
              <w:left w:val="nil"/>
            </w:tcBorders>
            <w:shd w:val="clear" w:color="auto" w:fill="auto"/>
            <w:vAlign w:val="center"/>
          </w:tcPr>
          <w:p>
            <w:pPr>
              <w:pStyle w:val="246"/>
              <w:spacing w:line="240" w:lineRule="auto"/>
              <w:contextualSpacing/>
              <w:rPr>
                <w:rFonts w:eastAsiaTheme="minorEastAsia"/>
                <w:color w:val="auto"/>
              </w:rPr>
            </w:pPr>
            <w:r>
              <w:rPr>
                <w:rFonts w:eastAsiaTheme="minorEastAsia"/>
                <w:color w:val="auto"/>
              </w:rPr>
              <w:t>点号</w:t>
            </w:r>
          </w:p>
        </w:tc>
        <w:tc>
          <w:tcPr>
            <w:tcW w:w="2503" w:type="dxa"/>
            <w:tcBorders>
              <w:top w:val="single" w:color="auto" w:sz="12" w:space="0"/>
            </w:tcBorders>
            <w:shd w:val="clear" w:color="auto" w:fill="auto"/>
            <w:vAlign w:val="center"/>
          </w:tcPr>
          <w:p>
            <w:pPr>
              <w:pStyle w:val="246"/>
              <w:spacing w:line="240" w:lineRule="auto"/>
              <w:contextualSpacing/>
              <w:rPr>
                <w:rFonts w:eastAsiaTheme="minorEastAsia"/>
                <w:color w:val="auto"/>
              </w:rPr>
            </w:pPr>
            <w:r>
              <w:rPr>
                <w:rFonts w:eastAsiaTheme="minorEastAsia"/>
                <w:color w:val="auto"/>
              </w:rPr>
              <w:t>X</w:t>
            </w:r>
          </w:p>
        </w:tc>
        <w:tc>
          <w:tcPr>
            <w:tcW w:w="2505" w:type="dxa"/>
            <w:tcBorders>
              <w:top w:val="single" w:color="auto" w:sz="12" w:space="0"/>
            </w:tcBorders>
            <w:shd w:val="clear" w:color="auto" w:fill="auto"/>
            <w:vAlign w:val="center"/>
          </w:tcPr>
          <w:p>
            <w:pPr>
              <w:pStyle w:val="246"/>
              <w:spacing w:line="240" w:lineRule="auto"/>
              <w:contextualSpacing/>
              <w:rPr>
                <w:rFonts w:eastAsiaTheme="minorEastAsia"/>
                <w:color w:val="auto"/>
              </w:rPr>
            </w:pPr>
            <w:r>
              <w:rPr>
                <w:rFonts w:eastAsiaTheme="minorEastAsia"/>
                <w:color w:val="auto"/>
              </w:rPr>
              <w:t>Y</w:t>
            </w:r>
          </w:p>
        </w:tc>
        <w:tc>
          <w:tcPr>
            <w:tcW w:w="1929" w:type="dxa"/>
            <w:tcBorders>
              <w:top w:val="single" w:color="auto" w:sz="12" w:space="0"/>
              <w:right w:val="nil"/>
            </w:tcBorders>
            <w:shd w:val="clear" w:color="auto" w:fill="auto"/>
            <w:vAlign w:val="center"/>
          </w:tcPr>
          <w:p>
            <w:pPr>
              <w:pStyle w:val="246"/>
              <w:spacing w:line="240" w:lineRule="auto"/>
              <w:contextualSpacing/>
              <w:rPr>
                <w:rFonts w:eastAsiaTheme="minorEastAsia"/>
                <w:color w:val="auto"/>
              </w:rPr>
            </w:pPr>
            <w:r>
              <w:rPr>
                <w:rFonts w:eastAsiaTheme="minorEastAsia"/>
                <w:color w:val="auto"/>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5" w:hRule="atLeast"/>
        </w:trPr>
        <w:tc>
          <w:tcPr>
            <w:tcW w:w="1369" w:type="dxa"/>
            <w:tcBorders>
              <w:left w:val="nil"/>
            </w:tcBorders>
            <w:shd w:val="clear" w:color="auto" w:fill="auto"/>
            <w:vAlign w:val="center"/>
          </w:tcPr>
          <w:p>
            <w:pPr>
              <w:pStyle w:val="246"/>
              <w:spacing w:line="240" w:lineRule="auto"/>
              <w:contextualSpacing/>
              <w:rPr>
                <w:rFonts w:eastAsiaTheme="minorEastAsia"/>
                <w:color w:val="auto"/>
              </w:rPr>
            </w:pPr>
            <w:r>
              <w:rPr>
                <w:rFonts w:eastAsiaTheme="minorEastAsia"/>
                <w:color w:val="auto"/>
              </w:rPr>
              <w:t>1</w:t>
            </w:r>
          </w:p>
        </w:tc>
        <w:tc>
          <w:tcPr>
            <w:tcW w:w="2503" w:type="dxa"/>
            <w:shd w:val="clear" w:color="auto" w:fill="auto"/>
            <w:vAlign w:val="center"/>
          </w:tcPr>
          <w:p>
            <w:pPr>
              <w:pStyle w:val="246"/>
              <w:spacing w:line="240" w:lineRule="auto"/>
              <w:contextualSpacing/>
              <w:rPr>
                <w:rFonts w:eastAsiaTheme="minorEastAsia"/>
                <w:color w:val="auto"/>
              </w:rPr>
            </w:pPr>
            <w:r>
              <w:rPr>
                <w:rFonts w:hint="eastAsia" w:eastAsiaTheme="minorEastAsia"/>
                <w:color w:val="auto"/>
              </w:rPr>
              <w:t>5179812. 73</w:t>
            </w:r>
          </w:p>
        </w:tc>
        <w:tc>
          <w:tcPr>
            <w:tcW w:w="2505" w:type="dxa"/>
            <w:shd w:val="clear" w:color="auto" w:fill="auto"/>
            <w:vAlign w:val="center"/>
          </w:tcPr>
          <w:p>
            <w:pPr>
              <w:pStyle w:val="246"/>
              <w:spacing w:line="240" w:lineRule="auto"/>
              <w:contextualSpacing/>
              <w:rPr>
                <w:rFonts w:eastAsiaTheme="minorEastAsia"/>
                <w:color w:val="auto"/>
              </w:rPr>
            </w:pPr>
            <w:r>
              <w:rPr>
                <w:rFonts w:hint="eastAsia" w:eastAsiaTheme="minorEastAsia"/>
                <w:color w:val="auto"/>
              </w:rPr>
              <w:t>43590721. 86</w:t>
            </w:r>
          </w:p>
        </w:tc>
        <w:tc>
          <w:tcPr>
            <w:tcW w:w="1929" w:type="dxa"/>
            <w:vMerge w:val="restart"/>
            <w:tcBorders>
              <w:right w:val="nil"/>
            </w:tcBorders>
            <w:shd w:val="clear" w:color="auto" w:fill="auto"/>
            <w:vAlign w:val="center"/>
          </w:tcPr>
          <w:p>
            <w:pPr>
              <w:pStyle w:val="246"/>
              <w:spacing w:line="240" w:lineRule="auto"/>
              <w:contextualSpacing/>
              <w:rPr>
                <w:rFonts w:eastAsiaTheme="minorEastAsia"/>
                <w:color w:val="auto"/>
              </w:rPr>
            </w:pPr>
            <w:r>
              <w:rPr>
                <w:rFonts w:eastAsiaTheme="minorEastAsia"/>
                <w:color w:val="auto"/>
              </w:rPr>
              <w:t>平面控制系统为西安80控制系统，高程系统为黄海系统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5" w:hRule="atLeast"/>
        </w:trPr>
        <w:tc>
          <w:tcPr>
            <w:tcW w:w="1369" w:type="dxa"/>
            <w:tcBorders>
              <w:left w:val="nil"/>
            </w:tcBorders>
            <w:shd w:val="clear" w:color="auto" w:fill="auto"/>
            <w:vAlign w:val="center"/>
          </w:tcPr>
          <w:p>
            <w:pPr>
              <w:pStyle w:val="246"/>
              <w:spacing w:line="240" w:lineRule="auto"/>
              <w:contextualSpacing/>
              <w:rPr>
                <w:rFonts w:eastAsiaTheme="minorEastAsia"/>
                <w:color w:val="auto"/>
              </w:rPr>
            </w:pPr>
            <w:r>
              <w:rPr>
                <w:rFonts w:eastAsiaTheme="minorEastAsia"/>
                <w:color w:val="auto"/>
              </w:rPr>
              <w:t>2</w:t>
            </w:r>
          </w:p>
        </w:tc>
        <w:tc>
          <w:tcPr>
            <w:tcW w:w="2503" w:type="dxa"/>
            <w:shd w:val="clear" w:color="auto" w:fill="auto"/>
            <w:vAlign w:val="center"/>
          </w:tcPr>
          <w:p>
            <w:pPr>
              <w:pStyle w:val="246"/>
              <w:spacing w:line="240" w:lineRule="auto"/>
              <w:contextualSpacing/>
              <w:rPr>
                <w:rFonts w:eastAsiaTheme="minorEastAsia"/>
                <w:color w:val="auto"/>
              </w:rPr>
            </w:pPr>
            <w:r>
              <w:rPr>
                <w:rFonts w:hint="eastAsia" w:eastAsiaTheme="minorEastAsia"/>
                <w:color w:val="auto"/>
              </w:rPr>
              <w:t>5179799. 73</w:t>
            </w:r>
          </w:p>
        </w:tc>
        <w:tc>
          <w:tcPr>
            <w:tcW w:w="2505" w:type="dxa"/>
            <w:shd w:val="clear" w:color="auto" w:fill="auto"/>
            <w:vAlign w:val="center"/>
          </w:tcPr>
          <w:p>
            <w:pPr>
              <w:pStyle w:val="246"/>
              <w:spacing w:line="240" w:lineRule="auto"/>
              <w:contextualSpacing/>
              <w:rPr>
                <w:rFonts w:eastAsiaTheme="minorEastAsia"/>
                <w:color w:val="auto"/>
              </w:rPr>
            </w:pPr>
            <w:r>
              <w:rPr>
                <w:rFonts w:hint="eastAsia" w:eastAsiaTheme="minorEastAsia"/>
                <w:color w:val="auto"/>
              </w:rPr>
              <w:t>43590751. 86</w:t>
            </w:r>
          </w:p>
        </w:tc>
        <w:tc>
          <w:tcPr>
            <w:tcW w:w="1929" w:type="dxa"/>
            <w:vMerge w:val="continue"/>
            <w:tcBorders>
              <w:right w:val="nil"/>
            </w:tcBorders>
            <w:shd w:val="clear" w:color="auto" w:fill="auto"/>
            <w:vAlign w:val="center"/>
          </w:tcPr>
          <w:p>
            <w:pPr>
              <w:pStyle w:val="246"/>
              <w:spacing w:line="240" w:lineRule="auto"/>
              <w:contextualSpacing/>
              <w:rPr>
                <w:rFonts w:eastAsiaTheme="minor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5" w:hRule="atLeast"/>
        </w:trPr>
        <w:tc>
          <w:tcPr>
            <w:tcW w:w="1369" w:type="dxa"/>
            <w:tcBorders>
              <w:left w:val="nil"/>
            </w:tcBorders>
            <w:shd w:val="clear" w:color="auto" w:fill="auto"/>
            <w:vAlign w:val="center"/>
          </w:tcPr>
          <w:p>
            <w:pPr>
              <w:pStyle w:val="246"/>
              <w:spacing w:line="240" w:lineRule="auto"/>
              <w:contextualSpacing/>
              <w:rPr>
                <w:rFonts w:eastAsiaTheme="minorEastAsia"/>
                <w:color w:val="auto"/>
              </w:rPr>
            </w:pPr>
            <w:r>
              <w:rPr>
                <w:rFonts w:eastAsiaTheme="minorEastAsia"/>
                <w:color w:val="auto"/>
              </w:rPr>
              <w:t>3</w:t>
            </w:r>
          </w:p>
        </w:tc>
        <w:tc>
          <w:tcPr>
            <w:tcW w:w="2503" w:type="dxa"/>
            <w:shd w:val="clear" w:color="auto" w:fill="auto"/>
            <w:vAlign w:val="center"/>
          </w:tcPr>
          <w:p>
            <w:pPr>
              <w:pStyle w:val="246"/>
              <w:spacing w:line="240" w:lineRule="auto"/>
              <w:contextualSpacing/>
              <w:rPr>
                <w:rFonts w:eastAsiaTheme="minorEastAsia"/>
                <w:color w:val="auto"/>
              </w:rPr>
            </w:pPr>
            <w:r>
              <w:rPr>
                <w:rFonts w:hint="eastAsia" w:eastAsiaTheme="minorEastAsia"/>
                <w:color w:val="auto"/>
              </w:rPr>
              <w:t>5179702. 73</w:t>
            </w:r>
          </w:p>
        </w:tc>
        <w:tc>
          <w:tcPr>
            <w:tcW w:w="2505" w:type="dxa"/>
            <w:shd w:val="clear" w:color="auto" w:fill="auto"/>
            <w:vAlign w:val="center"/>
          </w:tcPr>
          <w:p>
            <w:pPr>
              <w:pStyle w:val="246"/>
              <w:spacing w:line="240" w:lineRule="auto"/>
              <w:contextualSpacing/>
              <w:rPr>
                <w:rFonts w:eastAsiaTheme="minorEastAsia"/>
                <w:color w:val="auto"/>
              </w:rPr>
            </w:pPr>
            <w:r>
              <w:rPr>
                <w:rFonts w:hint="eastAsia" w:eastAsiaTheme="minorEastAsia"/>
                <w:color w:val="auto"/>
              </w:rPr>
              <w:t>43590705. 86</w:t>
            </w:r>
          </w:p>
        </w:tc>
        <w:tc>
          <w:tcPr>
            <w:tcW w:w="1929" w:type="dxa"/>
            <w:vMerge w:val="continue"/>
            <w:tcBorders>
              <w:right w:val="nil"/>
            </w:tcBorders>
            <w:shd w:val="clear" w:color="auto" w:fill="auto"/>
            <w:vAlign w:val="center"/>
          </w:tcPr>
          <w:p>
            <w:pPr>
              <w:pStyle w:val="246"/>
              <w:spacing w:line="240" w:lineRule="auto"/>
              <w:contextualSpacing/>
              <w:rPr>
                <w:rFonts w:eastAsiaTheme="minor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5" w:hRule="atLeast"/>
        </w:trPr>
        <w:tc>
          <w:tcPr>
            <w:tcW w:w="1369" w:type="dxa"/>
            <w:tcBorders>
              <w:left w:val="nil"/>
            </w:tcBorders>
            <w:shd w:val="clear" w:color="auto" w:fill="auto"/>
            <w:vAlign w:val="center"/>
          </w:tcPr>
          <w:p>
            <w:pPr>
              <w:pStyle w:val="246"/>
              <w:spacing w:line="240" w:lineRule="auto"/>
              <w:contextualSpacing/>
              <w:rPr>
                <w:rFonts w:eastAsiaTheme="minorEastAsia"/>
                <w:color w:val="auto"/>
              </w:rPr>
            </w:pPr>
            <w:r>
              <w:rPr>
                <w:rFonts w:eastAsiaTheme="minorEastAsia"/>
                <w:color w:val="auto"/>
              </w:rPr>
              <w:t>4</w:t>
            </w:r>
          </w:p>
        </w:tc>
        <w:tc>
          <w:tcPr>
            <w:tcW w:w="2503" w:type="dxa"/>
            <w:shd w:val="clear" w:color="auto" w:fill="auto"/>
            <w:vAlign w:val="center"/>
          </w:tcPr>
          <w:p>
            <w:pPr>
              <w:pStyle w:val="246"/>
              <w:spacing w:line="240" w:lineRule="auto"/>
              <w:contextualSpacing/>
              <w:rPr>
                <w:rFonts w:eastAsiaTheme="minorEastAsia"/>
                <w:color w:val="auto"/>
              </w:rPr>
            </w:pPr>
            <w:r>
              <w:rPr>
                <w:rFonts w:hint="eastAsia" w:eastAsiaTheme="minorEastAsia"/>
                <w:color w:val="auto"/>
              </w:rPr>
              <w:t>5179714. 73</w:t>
            </w:r>
          </w:p>
        </w:tc>
        <w:tc>
          <w:tcPr>
            <w:tcW w:w="2505" w:type="dxa"/>
            <w:shd w:val="clear" w:color="auto" w:fill="auto"/>
            <w:vAlign w:val="center"/>
          </w:tcPr>
          <w:p>
            <w:pPr>
              <w:pStyle w:val="246"/>
              <w:spacing w:line="240" w:lineRule="auto"/>
              <w:contextualSpacing/>
              <w:rPr>
                <w:rFonts w:eastAsiaTheme="minorEastAsia"/>
                <w:color w:val="auto"/>
              </w:rPr>
            </w:pPr>
            <w:r>
              <w:rPr>
                <w:rFonts w:hint="eastAsia" w:eastAsiaTheme="minorEastAsia"/>
                <w:color w:val="auto"/>
              </w:rPr>
              <w:t>43590674. 86</w:t>
            </w:r>
          </w:p>
        </w:tc>
        <w:tc>
          <w:tcPr>
            <w:tcW w:w="1929" w:type="dxa"/>
            <w:vMerge w:val="continue"/>
            <w:tcBorders>
              <w:right w:val="nil"/>
            </w:tcBorders>
            <w:shd w:val="clear" w:color="auto" w:fill="auto"/>
            <w:vAlign w:val="center"/>
          </w:tcPr>
          <w:p>
            <w:pPr>
              <w:pStyle w:val="246"/>
              <w:spacing w:line="240" w:lineRule="auto"/>
              <w:contextualSpacing/>
              <w:rPr>
                <w:rFonts w:eastAsiaTheme="minor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5" w:hRule="atLeast"/>
        </w:trPr>
        <w:tc>
          <w:tcPr>
            <w:tcW w:w="1369" w:type="dxa"/>
            <w:tcBorders>
              <w:left w:val="nil"/>
            </w:tcBorders>
            <w:shd w:val="clear" w:color="auto" w:fill="auto"/>
            <w:vAlign w:val="center"/>
          </w:tcPr>
          <w:p>
            <w:pPr>
              <w:pStyle w:val="246"/>
              <w:spacing w:line="240" w:lineRule="auto"/>
              <w:contextualSpacing/>
              <w:rPr>
                <w:rFonts w:eastAsiaTheme="minorEastAsia"/>
                <w:color w:val="auto"/>
              </w:rPr>
            </w:pPr>
            <w:r>
              <w:rPr>
                <w:rFonts w:eastAsiaTheme="minorEastAsia"/>
                <w:color w:val="auto"/>
              </w:rPr>
              <w:t>矿区面积</w:t>
            </w:r>
          </w:p>
        </w:tc>
        <w:tc>
          <w:tcPr>
            <w:tcW w:w="5008" w:type="dxa"/>
            <w:gridSpan w:val="2"/>
            <w:shd w:val="clear" w:color="auto" w:fill="auto"/>
            <w:vAlign w:val="center"/>
          </w:tcPr>
          <w:p>
            <w:pPr>
              <w:pStyle w:val="246"/>
              <w:spacing w:line="240" w:lineRule="auto"/>
              <w:contextualSpacing/>
              <w:rPr>
                <w:rFonts w:eastAsiaTheme="minorEastAsia"/>
                <w:color w:val="auto"/>
              </w:rPr>
            </w:pPr>
            <w:r>
              <w:rPr>
                <w:rFonts w:hint="eastAsia" w:eastAsiaTheme="minorEastAsia"/>
                <w:color w:val="auto"/>
                <w:lang w:eastAsia="zh-CN"/>
              </w:rPr>
              <w:t>0.003555</w:t>
            </w:r>
            <w:r>
              <w:rPr>
                <w:rFonts w:eastAsiaTheme="minorEastAsia"/>
                <w:color w:val="auto"/>
              </w:rPr>
              <w:t>km</w:t>
            </w:r>
            <w:r>
              <w:rPr>
                <w:rFonts w:eastAsiaTheme="minorEastAsia"/>
                <w:color w:val="auto"/>
                <w:vertAlign w:val="superscript"/>
              </w:rPr>
              <w:t>2</w:t>
            </w:r>
          </w:p>
        </w:tc>
        <w:tc>
          <w:tcPr>
            <w:tcW w:w="1929" w:type="dxa"/>
            <w:vMerge w:val="continue"/>
            <w:tcBorders>
              <w:right w:val="nil"/>
            </w:tcBorders>
            <w:shd w:val="clear" w:color="auto" w:fill="auto"/>
            <w:vAlign w:val="center"/>
          </w:tcPr>
          <w:p>
            <w:pPr>
              <w:pStyle w:val="246"/>
              <w:spacing w:line="240" w:lineRule="auto"/>
              <w:contextualSpacing/>
              <w:rPr>
                <w:rFonts w:eastAsiaTheme="minor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5" w:hRule="atLeast"/>
        </w:trPr>
        <w:tc>
          <w:tcPr>
            <w:tcW w:w="1369" w:type="dxa"/>
            <w:tcBorders>
              <w:left w:val="nil"/>
              <w:bottom w:val="single" w:color="auto" w:sz="12" w:space="0"/>
            </w:tcBorders>
            <w:shd w:val="clear" w:color="auto" w:fill="auto"/>
            <w:vAlign w:val="center"/>
          </w:tcPr>
          <w:p>
            <w:pPr>
              <w:pStyle w:val="246"/>
              <w:spacing w:line="240" w:lineRule="auto"/>
              <w:contextualSpacing/>
              <w:rPr>
                <w:rFonts w:eastAsiaTheme="minorEastAsia"/>
                <w:color w:val="auto"/>
              </w:rPr>
            </w:pPr>
            <w:r>
              <w:rPr>
                <w:rFonts w:eastAsiaTheme="minorEastAsia"/>
                <w:color w:val="auto"/>
              </w:rPr>
              <w:t>开采标高</w:t>
            </w:r>
          </w:p>
        </w:tc>
        <w:tc>
          <w:tcPr>
            <w:tcW w:w="5008" w:type="dxa"/>
            <w:gridSpan w:val="2"/>
            <w:tcBorders>
              <w:bottom w:val="single" w:color="auto" w:sz="12" w:space="0"/>
            </w:tcBorders>
            <w:shd w:val="clear" w:color="auto" w:fill="auto"/>
            <w:vAlign w:val="center"/>
          </w:tcPr>
          <w:p>
            <w:pPr>
              <w:pStyle w:val="246"/>
              <w:spacing w:line="240" w:lineRule="auto"/>
              <w:contextualSpacing/>
              <w:rPr>
                <w:rFonts w:hint="eastAsia" w:eastAsiaTheme="minorEastAsia"/>
                <w:color w:val="auto"/>
                <w:lang w:eastAsia="zh-CN"/>
              </w:rPr>
            </w:pPr>
            <w:r>
              <w:rPr>
                <w:rFonts w:hint="eastAsia" w:eastAsiaTheme="minorEastAsia"/>
                <w:color w:val="auto"/>
                <w:lang w:eastAsia="zh-CN"/>
              </w:rPr>
              <w:t>121m－107m</w:t>
            </w:r>
          </w:p>
        </w:tc>
        <w:tc>
          <w:tcPr>
            <w:tcW w:w="1929" w:type="dxa"/>
            <w:vMerge w:val="continue"/>
            <w:tcBorders>
              <w:bottom w:val="single" w:color="auto" w:sz="12" w:space="0"/>
              <w:right w:val="nil"/>
            </w:tcBorders>
            <w:shd w:val="clear" w:color="auto" w:fill="auto"/>
            <w:vAlign w:val="center"/>
          </w:tcPr>
          <w:p>
            <w:pPr>
              <w:pStyle w:val="246"/>
              <w:spacing w:line="240" w:lineRule="auto"/>
              <w:contextualSpacing/>
              <w:rPr>
                <w:rFonts w:eastAsiaTheme="minorEastAsia"/>
                <w:color w:val="auto"/>
              </w:rPr>
            </w:pPr>
          </w:p>
        </w:tc>
      </w:tr>
    </w:tbl>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3.2.2资源储量</w:t>
      </w:r>
    </w:p>
    <w:p>
      <w:pPr>
        <w:pStyle w:val="276"/>
        <w:jc w:val="both"/>
        <w:rPr>
          <w:rFonts w:eastAsiaTheme="minorEastAsia"/>
          <w:color w:val="auto"/>
        </w:rPr>
      </w:pPr>
      <w:r>
        <w:rPr>
          <w:rFonts w:eastAsiaTheme="minorEastAsia"/>
          <w:color w:val="auto"/>
        </w:rPr>
        <w:t>根据《</w:t>
      </w:r>
      <w:r>
        <w:rPr>
          <w:rFonts w:hint="eastAsia" w:eastAsiaTheme="minorEastAsia"/>
          <w:color w:val="auto"/>
          <w:lang w:eastAsia="zh-CN"/>
        </w:rPr>
        <w:t>佳木斯市郊区新华采石场资源储量核实报告</w:t>
      </w:r>
      <w:r>
        <w:rPr>
          <w:rFonts w:eastAsiaTheme="minorEastAsia"/>
          <w:color w:val="auto"/>
        </w:rPr>
        <w:t>》</w:t>
      </w:r>
      <w:r>
        <w:rPr>
          <w:rFonts w:hint="eastAsia" w:eastAsiaTheme="minorEastAsia"/>
          <w:color w:val="auto"/>
          <w:lang w:eastAsia="zh-CN"/>
        </w:rPr>
        <w:t>（含本项目佳华分厂）</w:t>
      </w:r>
      <w:r>
        <w:rPr>
          <w:rFonts w:eastAsiaTheme="minorEastAsia"/>
          <w:color w:val="auto"/>
        </w:rPr>
        <w:t>，该矿采矿许可证内剩余资</w:t>
      </w:r>
      <w:r>
        <w:rPr>
          <w:rFonts w:hint="eastAsia" w:eastAsiaTheme="minorEastAsia"/>
          <w:color w:val="auto"/>
          <w:lang w:eastAsia="zh-CN"/>
        </w:rPr>
        <w:t>源量（333）270365立方米，其中佳华分厂</w:t>
      </w:r>
      <w:r>
        <w:rPr>
          <w:rFonts w:eastAsiaTheme="minorEastAsia"/>
          <w:color w:val="auto"/>
        </w:rPr>
        <w:t>采矿许可证内</w:t>
      </w:r>
      <w:r>
        <w:rPr>
          <w:rFonts w:hint="eastAsia" w:eastAsiaTheme="minorEastAsia"/>
          <w:color w:val="auto"/>
          <w:lang w:eastAsia="zh-CN"/>
        </w:rPr>
        <w:t>可开采剩余</w:t>
      </w:r>
      <w:r>
        <w:rPr>
          <w:rFonts w:eastAsiaTheme="minorEastAsia"/>
          <w:color w:val="auto"/>
        </w:rPr>
        <w:t>资源量（333）</w:t>
      </w:r>
      <w:r>
        <w:rPr>
          <w:rFonts w:hint="eastAsia" w:eastAsiaTheme="minorEastAsia"/>
          <w:color w:val="auto"/>
          <w:lang w:val="en-US" w:eastAsia="zh-CN"/>
        </w:rPr>
        <w:t>90122</w:t>
      </w:r>
      <w:r>
        <w:rPr>
          <w:rFonts w:eastAsiaTheme="minorEastAsia"/>
          <w:color w:val="auto"/>
        </w:rPr>
        <w:t>立方米。</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3.2.3开采方式及开拓运输方案</w:t>
      </w:r>
    </w:p>
    <w:p>
      <w:pPr>
        <w:pStyle w:val="276"/>
        <w:rPr>
          <w:rFonts w:eastAsiaTheme="minorEastAsia"/>
          <w:color w:val="auto"/>
        </w:rPr>
      </w:pPr>
      <w:r>
        <w:rPr>
          <w:rFonts w:eastAsiaTheme="minorEastAsia"/>
          <w:color w:val="auto"/>
        </w:rPr>
        <w:t>矿山开采工艺及首采水平采用自上而下水平分层开采法，首先确定</w:t>
      </w:r>
      <w:r>
        <w:rPr>
          <w:rFonts w:hint="eastAsia" w:eastAsiaTheme="minorEastAsia"/>
          <w:color w:val="auto"/>
          <w:lang w:eastAsia="zh-CN"/>
        </w:rPr>
        <w:t>121</w:t>
      </w:r>
      <w:r>
        <w:rPr>
          <w:rFonts w:eastAsiaTheme="minorEastAsia"/>
          <w:color w:val="auto"/>
        </w:rPr>
        <w:t>m台阶作为首采水平，台阶高度为15m，清扫平台6m，安全平台4m。每一水平开采后，预留安全平台，每隔两水平预留清扫平台，两者交替布置。台阶工作坡面角为75°，台阶最终边坡角为60°。最小工作平台宽度不小于40m；最小工作线长度不小于100米，同时开采工作面数2个。采矿工作面垂直开采方向布置，沿开采方向前推进。采完一水平后，垂直下降开采第二水平。采矿工作面采用中深孔爆破落岩，采用人工及挖掘机装车，汽车运输。</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3.2.4露天采剥工艺</w:t>
      </w:r>
    </w:p>
    <w:p>
      <w:pPr>
        <w:pStyle w:val="276"/>
        <w:rPr>
          <w:rFonts w:eastAsiaTheme="minorEastAsia"/>
          <w:color w:val="auto"/>
        </w:rPr>
      </w:pPr>
      <w:r>
        <w:rPr>
          <w:rFonts w:eastAsiaTheme="minorEastAsia"/>
          <w:color w:val="auto"/>
        </w:rPr>
        <w:t>（1）采矿场要素</w:t>
      </w:r>
    </w:p>
    <w:p>
      <w:pPr>
        <w:pStyle w:val="276"/>
        <w:rPr>
          <w:rFonts w:eastAsiaTheme="minorEastAsia"/>
          <w:color w:val="auto"/>
        </w:rPr>
      </w:pPr>
      <w:r>
        <w:rPr>
          <w:rFonts w:eastAsiaTheme="minorEastAsia"/>
          <w:color w:val="auto"/>
        </w:rPr>
        <w:t>矿体因埋藏较浅，覆盖层厚度 4-6m，土体边坡均在 30°以上。地形较平缓，前期已剥离开采，现剥离量少，实际生产剥采比小，为此选择梯段式露天山坡凹陷及露天开采方式。采矿场要素见表。</w:t>
      </w:r>
    </w:p>
    <w:p>
      <w:pPr>
        <w:pStyle w:val="244"/>
        <w:rPr>
          <w:rFonts w:eastAsiaTheme="minorEastAsia"/>
          <w:color w:val="auto"/>
        </w:rPr>
      </w:pPr>
      <w:r>
        <w:rPr>
          <w:rFonts w:eastAsiaTheme="minorEastAsia"/>
          <w:color w:val="auto"/>
        </w:rPr>
        <w:t>表3-2-3 采石场要素</w:t>
      </w:r>
    </w:p>
    <w:tbl>
      <w:tblPr>
        <w:tblStyle w:val="53"/>
        <w:tblW w:w="8306" w:type="dxa"/>
        <w:jc w:val="center"/>
        <w:tblInd w:w="0" w:type="dxa"/>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325"/>
        <w:gridCol w:w="3737"/>
        <w:gridCol w:w="3244"/>
      </w:tblGrid>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jc w:val="center"/>
        </w:trPr>
        <w:tc>
          <w:tcPr>
            <w:tcW w:w="1325" w:type="dxa"/>
            <w:vAlign w:val="center"/>
          </w:tcPr>
          <w:p>
            <w:pPr>
              <w:pStyle w:val="246"/>
              <w:rPr>
                <w:rFonts w:eastAsiaTheme="minorEastAsia"/>
                <w:color w:val="auto"/>
              </w:rPr>
            </w:pPr>
            <w:r>
              <w:rPr>
                <w:rFonts w:eastAsiaTheme="minorEastAsia"/>
                <w:color w:val="auto"/>
              </w:rPr>
              <w:t>序号</w:t>
            </w:r>
          </w:p>
        </w:tc>
        <w:tc>
          <w:tcPr>
            <w:tcW w:w="3737" w:type="dxa"/>
            <w:vAlign w:val="center"/>
          </w:tcPr>
          <w:p>
            <w:pPr>
              <w:pStyle w:val="246"/>
              <w:rPr>
                <w:rFonts w:eastAsiaTheme="minorEastAsia"/>
                <w:color w:val="auto"/>
              </w:rPr>
            </w:pPr>
            <w:r>
              <w:rPr>
                <w:rFonts w:eastAsiaTheme="minorEastAsia"/>
                <w:color w:val="auto"/>
              </w:rPr>
              <w:t>要素名称</w:t>
            </w:r>
          </w:p>
        </w:tc>
        <w:tc>
          <w:tcPr>
            <w:tcW w:w="3244" w:type="dxa"/>
            <w:vAlign w:val="center"/>
          </w:tcPr>
          <w:p>
            <w:pPr>
              <w:pStyle w:val="246"/>
              <w:rPr>
                <w:rFonts w:eastAsiaTheme="minorEastAsia"/>
                <w:color w:val="auto"/>
              </w:rPr>
            </w:pPr>
            <w:r>
              <w:rPr>
                <w:rFonts w:eastAsiaTheme="minorEastAsia"/>
                <w:color w:val="auto"/>
              </w:rPr>
              <w:t>参数</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jc w:val="center"/>
        </w:trPr>
        <w:tc>
          <w:tcPr>
            <w:tcW w:w="1325" w:type="dxa"/>
            <w:vAlign w:val="center"/>
          </w:tcPr>
          <w:p>
            <w:pPr>
              <w:pStyle w:val="246"/>
              <w:rPr>
                <w:rFonts w:eastAsiaTheme="minorEastAsia"/>
                <w:color w:val="auto"/>
              </w:rPr>
            </w:pPr>
            <w:r>
              <w:rPr>
                <w:rFonts w:eastAsiaTheme="minorEastAsia"/>
                <w:color w:val="auto"/>
              </w:rPr>
              <w:t>1</w:t>
            </w:r>
          </w:p>
        </w:tc>
        <w:tc>
          <w:tcPr>
            <w:tcW w:w="3737" w:type="dxa"/>
            <w:vAlign w:val="center"/>
          </w:tcPr>
          <w:p>
            <w:pPr>
              <w:pStyle w:val="246"/>
              <w:rPr>
                <w:rFonts w:eastAsiaTheme="minorEastAsia"/>
                <w:color w:val="auto"/>
              </w:rPr>
            </w:pPr>
            <w:r>
              <w:rPr>
                <w:rFonts w:eastAsiaTheme="minorEastAsia"/>
                <w:color w:val="auto"/>
              </w:rPr>
              <w:t>采高</w:t>
            </w:r>
          </w:p>
        </w:tc>
        <w:tc>
          <w:tcPr>
            <w:tcW w:w="3244" w:type="dxa"/>
            <w:vAlign w:val="center"/>
          </w:tcPr>
          <w:p>
            <w:pPr>
              <w:pStyle w:val="246"/>
              <w:rPr>
                <w:rFonts w:eastAsiaTheme="minorEastAsia"/>
                <w:color w:val="auto"/>
              </w:rPr>
            </w:pPr>
            <w:r>
              <w:rPr>
                <w:rFonts w:eastAsiaTheme="minorEastAsia"/>
                <w:color w:val="auto"/>
              </w:rPr>
              <w:t>1</w:t>
            </w:r>
            <w:r>
              <w:rPr>
                <w:rFonts w:hint="eastAsia" w:eastAsiaTheme="minorEastAsia"/>
                <w:color w:val="auto"/>
                <w:lang w:val="en-US" w:eastAsia="zh-CN"/>
              </w:rPr>
              <w:t>4</w:t>
            </w:r>
            <w:r>
              <w:rPr>
                <w:rFonts w:eastAsiaTheme="minorEastAsia"/>
                <w:color w:val="auto"/>
              </w:rPr>
              <w:t>m</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jc w:val="center"/>
        </w:trPr>
        <w:tc>
          <w:tcPr>
            <w:tcW w:w="1325" w:type="dxa"/>
            <w:vAlign w:val="center"/>
          </w:tcPr>
          <w:p>
            <w:pPr>
              <w:pStyle w:val="246"/>
              <w:rPr>
                <w:rFonts w:eastAsiaTheme="minorEastAsia"/>
                <w:color w:val="auto"/>
              </w:rPr>
            </w:pPr>
            <w:r>
              <w:rPr>
                <w:rFonts w:eastAsiaTheme="minorEastAsia"/>
                <w:color w:val="auto"/>
              </w:rPr>
              <w:t>2</w:t>
            </w:r>
          </w:p>
        </w:tc>
        <w:tc>
          <w:tcPr>
            <w:tcW w:w="3737" w:type="dxa"/>
            <w:vAlign w:val="center"/>
          </w:tcPr>
          <w:p>
            <w:pPr>
              <w:pStyle w:val="246"/>
              <w:rPr>
                <w:rFonts w:eastAsiaTheme="minorEastAsia"/>
                <w:color w:val="auto"/>
              </w:rPr>
            </w:pPr>
            <w:r>
              <w:rPr>
                <w:rFonts w:eastAsiaTheme="minorEastAsia"/>
                <w:color w:val="auto"/>
              </w:rPr>
              <w:t>采矿台阶数</w:t>
            </w:r>
          </w:p>
        </w:tc>
        <w:tc>
          <w:tcPr>
            <w:tcW w:w="3244" w:type="dxa"/>
            <w:vAlign w:val="center"/>
          </w:tcPr>
          <w:p>
            <w:pPr>
              <w:pStyle w:val="246"/>
              <w:rPr>
                <w:rFonts w:eastAsiaTheme="minorEastAsia"/>
                <w:color w:val="auto"/>
              </w:rPr>
            </w:pPr>
            <w:r>
              <w:rPr>
                <w:rFonts w:eastAsiaTheme="minorEastAsia"/>
                <w:color w:val="auto"/>
              </w:rPr>
              <w:t>4个</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jc w:val="center"/>
        </w:trPr>
        <w:tc>
          <w:tcPr>
            <w:tcW w:w="1325" w:type="dxa"/>
            <w:vAlign w:val="center"/>
          </w:tcPr>
          <w:p>
            <w:pPr>
              <w:pStyle w:val="246"/>
              <w:rPr>
                <w:rFonts w:eastAsiaTheme="minorEastAsia"/>
                <w:color w:val="auto"/>
              </w:rPr>
            </w:pPr>
            <w:r>
              <w:rPr>
                <w:rFonts w:eastAsiaTheme="minorEastAsia"/>
                <w:color w:val="auto"/>
              </w:rPr>
              <w:t>3</w:t>
            </w:r>
          </w:p>
        </w:tc>
        <w:tc>
          <w:tcPr>
            <w:tcW w:w="3737" w:type="dxa"/>
            <w:vAlign w:val="center"/>
          </w:tcPr>
          <w:p>
            <w:pPr>
              <w:pStyle w:val="246"/>
              <w:rPr>
                <w:rFonts w:eastAsiaTheme="minorEastAsia"/>
                <w:color w:val="auto"/>
              </w:rPr>
            </w:pPr>
            <w:r>
              <w:rPr>
                <w:rFonts w:eastAsiaTheme="minorEastAsia"/>
                <w:color w:val="auto"/>
              </w:rPr>
              <w:t>采矿工作台阶高度</w:t>
            </w:r>
          </w:p>
        </w:tc>
        <w:tc>
          <w:tcPr>
            <w:tcW w:w="3244" w:type="dxa"/>
            <w:vAlign w:val="center"/>
          </w:tcPr>
          <w:p>
            <w:pPr>
              <w:pStyle w:val="246"/>
              <w:rPr>
                <w:rFonts w:eastAsiaTheme="minorEastAsia"/>
                <w:color w:val="auto"/>
              </w:rPr>
            </w:pPr>
            <w:r>
              <w:rPr>
                <w:rFonts w:eastAsiaTheme="minorEastAsia"/>
                <w:color w:val="auto"/>
              </w:rPr>
              <w:t>68-84°</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jc w:val="center"/>
        </w:trPr>
        <w:tc>
          <w:tcPr>
            <w:tcW w:w="1325" w:type="dxa"/>
            <w:vAlign w:val="center"/>
          </w:tcPr>
          <w:p>
            <w:pPr>
              <w:pStyle w:val="246"/>
              <w:rPr>
                <w:rFonts w:eastAsiaTheme="minorEastAsia"/>
                <w:color w:val="auto"/>
              </w:rPr>
            </w:pPr>
            <w:r>
              <w:rPr>
                <w:rFonts w:eastAsiaTheme="minorEastAsia"/>
                <w:color w:val="auto"/>
              </w:rPr>
              <w:t>4</w:t>
            </w:r>
          </w:p>
        </w:tc>
        <w:tc>
          <w:tcPr>
            <w:tcW w:w="3737" w:type="dxa"/>
            <w:vAlign w:val="center"/>
          </w:tcPr>
          <w:p>
            <w:pPr>
              <w:pStyle w:val="246"/>
              <w:rPr>
                <w:rFonts w:eastAsiaTheme="minorEastAsia"/>
                <w:color w:val="auto"/>
              </w:rPr>
            </w:pPr>
            <w:r>
              <w:rPr>
                <w:rFonts w:eastAsiaTheme="minorEastAsia"/>
                <w:color w:val="auto"/>
              </w:rPr>
              <w:t>采矿台阶坡面角</w:t>
            </w:r>
          </w:p>
        </w:tc>
        <w:tc>
          <w:tcPr>
            <w:tcW w:w="3244" w:type="dxa"/>
            <w:vAlign w:val="center"/>
          </w:tcPr>
          <w:p>
            <w:pPr>
              <w:pStyle w:val="246"/>
              <w:rPr>
                <w:rFonts w:eastAsiaTheme="minorEastAsia"/>
                <w:color w:val="auto"/>
              </w:rPr>
            </w:pPr>
            <w:r>
              <w:rPr>
                <w:rFonts w:eastAsiaTheme="minorEastAsia"/>
                <w:color w:val="auto"/>
              </w:rPr>
              <w:t>60°</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jc w:val="center"/>
        </w:trPr>
        <w:tc>
          <w:tcPr>
            <w:tcW w:w="1325" w:type="dxa"/>
            <w:vAlign w:val="center"/>
          </w:tcPr>
          <w:p>
            <w:pPr>
              <w:pStyle w:val="246"/>
              <w:rPr>
                <w:rFonts w:eastAsiaTheme="minorEastAsia"/>
                <w:color w:val="auto"/>
              </w:rPr>
            </w:pPr>
            <w:r>
              <w:rPr>
                <w:rFonts w:eastAsiaTheme="minorEastAsia"/>
                <w:color w:val="auto"/>
              </w:rPr>
              <w:t>5</w:t>
            </w:r>
          </w:p>
        </w:tc>
        <w:tc>
          <w:tcPr>
            <w:tcW w:w="3737" w:type="dxa"/>
            <w:vAlign w:val="center"/>
          </w:tcPr>
          <w:p>
            <w:pPr>
              <w:pStyle w:val="246"/>
              <w:rPr>
                <w:rFonts w:eastAsiaTheme="minorEastAsia"/>
                <w:color w:val="auto"/>
              </w:rPr>
            </w:pPr>
            <w:r>
              <w:rPr>
                <w:rFonts w:eastAsiaTheme="minorEastAsia"/>
                <w:color w:val="auto"/>
              </w:rPr>
              <w:t>工作平台宽度</w:t>
            </w:r>
          </w:p>
        </w:tc>
        <w:tc>
          <w:tcPr>
            <w:tcW w:w="3244" w:type="dxa"/>
            <w:vAlign w:val="center"/>
          </w:tcPr>
          <w:p>
            <w:pPr>
              <w:pStyle w:val="246"/>
              <w:rPr>
                <w:rFonts w:eastAsiaTheme="minorEastAsia"/>
                <w:color w:val="auto"/>
              </w:rPr>
            </w:pPr>
            <w:r>
              <w:rPr>
                <w:rFonts w:eastAsiaTheme="minorEastAsia"/>
                <w:color w:val="auto"/>
              </w:rPr>
              <w:t>6m</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jc w:val="center"/>
        </w:trPr>
        <w:tc>
          <w:tcPr>
            <w:tcW w:w="1325" w:type="dxa"/>
            <w:vAlign w:val="center"/>
          </w:tcPr>
          <w:p>
            <w:pPr>
              <w:pStyle w:val="246"/>
              <w:rPr>
                <w:rFonts w:eastAsiaTheme="minorEastAsia"/>
                <w:color w:val="auto"/>
              </w:rPr>
            </w:pPr>
            <w:r>
              <w:rPr>
                <w:rFonts w:eastAsiaTheme="minorEastAsia"/>
                <w:color w:val="auto"/>
              </w:rPr>
              <w:t>6</w:t>
            </w:r>
          </w:p>
        </w:tc>
        <w:tc>
          <w:tcPr>
            <w:tcW w:w="3737" w:type="dxa"/>
            <w:vAlign w:val="center"/>
          </w:tcPr>
          <w:p>
            <w:pPr>
              <w:pStyle w:val="246"/>
              <w:rPr>
                <w:rFonts w:eastAsiaTheme="minorEastAsia"/>
                <w:color w:val="auto"/>
              </w:rPr>
            </w:pPr>
            <w:r>
              <w:rPr>
                <w:rFonts w:eastAsiaTheme="minorEastAsia"/>
                <w:color w:val="auto"/>
              </w:rPr>
              <w:t>清扫平台宽度</w:t>
            </w:r>
          </w:p>
        </w:tc>
        <w:tc>
          <w:tcPr>
            <w:tcW w:w="3244" w:type="dxa"/>
            <w:vAlign w:val="center"/>
          </w:tcPr>
          <w:p>
            <w:pPr>
              <w:pStyle w:val="246"/>
              <w:rPr>
                <w:rFonts w:eastAsiaTheme="minorEastAsia"/>
                <w:color w:val="auto"/>
              </w:rPr>
            </w:pPr>
            <w:r>
              <w:rPr>
                <w:rFonts w:eastAsiaTheme="minorEastAsia"/>
                <w:color w:val="auto"/>
              </w:rPr>
              <w:t>8m</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jc w:val="center"/>
        </w:trPr>
        <w:tc>
          <w:tcPr>
            <w:tcW w:w="1325" w:type="dxa"/>
            <w:vAlign w:val="center"/>
          </w:tcPr>
          <w:p>
            <w:pPr>
              <w:pStyle w:val="246"/>
              <w:rPr>
                <w:rFonts w:eastAsiaTheme="minorEastAsia"/>
                <w:color w:val="auto"/>
              </w:rPr>
            </w:pPr>
            <w:r>
              <w:rPr>
                <w:rFonts w:eastAsiaTheme="minorEastAsia"/>
                <w:color w:val="auto"/>
              </w:rPr>
              <w:t>7</w:t>
            </w:r>
          </w:p>
        </w:tc>
        <w:tc>
          <w:tcPr>
            <w:tcW w:w="3737" w:type="dxa"/>
            <w:vAlign w:val="center"/>
          </w:tcPr>
          <w:p>
            <w:pPr>
              <w:pStyle w:val="246"/>
              <w:rPr>
                <w:rFonts w:eastAsiaTheme="minorEastAsia"/>
                <w:color w:val="auto"/>
              </w:rPr>
            </w:pPr>
            <w:r>
              <w:rPr>
                <w:rFonts w:eastAsiaTheme="minorEastAsia"/>
                <w:color w:val="auto"/>
              </w:rPr>
              <w:t>安全爆破距离</w:t>
            </w:r>
          </w:p>
        </w:tc>
        <w:tc>
          <w:tcPr>
            <w:tcW w:w="3244" w:type="dxa"/>
            <w:vAlign w:val="center"/>
          </w:tcPr>
          <w:p>
            <w:pPr>
              <w:pStyle w:val="246"/>
              <w:rPr>
                <w:rFonts w:eastAsiaTheme="minorEastAsia"/>
                <w:color w:val="auto"/>
              </w:rPr>
            </w:pPr>
            <w:r>
              <w:rPr>
                <w:rFonts w:eastAsiaTheme="minorEastAsia"/>
                <w:color w:val="auto"/>
              </w:rPr>
              <w:t>300m</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jc w:val="center"/>
        </w:trPr>
        <w:tc>
          <w:tcPr>
            <w:tcW w:w="1325" w:type="dxa"/>
            <w:vAlign w:val="center"/>
          </w:tcPr>
          <w:p>
            <w:pPr>
              <w:pStyle w:val="246"/>
              <w:rPr>
                <w:rFonts w:eastAsiaTheme="minorEastAsia"/>
                <w:color w:val="auto"/>
              </w:rPr>
            </w:pPr>
            <w:r>
              <w:rPr>
                <w:rFonts w:eastAsiaTheme="minorEastAsia"/>
                <w:color w:val="auto"/>
              </w:rPr>
              <w:t>8</w:t>
            </w:r>
          </w:p>
        </w:tc>
        <w:tc>
          <w:tcPr>
            <w:tcW w:w="3737" w:type="dxa"/>
            <w:vAlign w:val="center"/>
          </w:tcPr>
          <w:p>
            <w:pPr>
              <w:pStyle w:val="246"/>
              <w:rPr>
                <w:rFonts w:eastAsiaTheme="minorEastAsia"/>
                <w:color w:val="auto"/>
              </w:rPr>
            </w:pPr>
            <w:r>
              <w:rPr>
                <w:rFonts w:eastAsiaTheme="minorEastAsia"/>
                <w:color w:val="auto"/>
              </w:rPr>
              <w:t>钻孔直径</w:t>
            </w:r>
          </w:p>
        </w:tc>
        <w:tc>
          <w:tcPr>
            <w:tcW w:w="3244" w:type="dxa"/>
            <w:vAlign w:val="center"/>
          </w:tcPr>
          <w:p>
            <w:pPr>
              <w:pStyle w:val="246"/>
              <w:rPr>
                <w:rFonts w:eastAsiaTheme="minorEastAsia"/>
                <w:color w:val="auto"/>
              </w:rPr>
            </w:pPr>
            <w:r>
              <w:rPr>
                <w:rFonts w:eastAsiaTheme="minorEastAsia"/>
                <w:color w:val="auto"/>
              </w:rPr>
              <w:t>95mm</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jc w:val="center"/>
        </w:trPr>
        <w:tc>
          <w:tcPr>
            <w:tcW w:w="1325" w:type="dxa"/>
            <w:vAlign w:val="center"/>
          </w:tcPr>
          <w:p>
            <w:pPr>
              <w:pStyle w:val="246"/>
              <w:rPr>
                <w:rFonts w:eastAsiaTheme="minorEastAsia"/>
                <w:color w:val="auto"/>
              </w:rPr>
            </w:pPr>
            <w:r>
              <w:rPr>
                <w:rFonts w:eastAsiaTheme="minorEastAsia"/>
                <w:color w:val="auto"/>
              </w:rPr>
              <w:t>9</w:t>
            </w:r>
          </w:p>
        </w:tc>
        <w:tc>
          <w:tcPr>
            <w:tcW w:w="3737" w:type="dxa"/>
            <w:vAlign w:val="center"/>
          </w:tcPr>
          <w:p>
            <w:pPr>
              <w:pStyle w:val="246"/>
              <w:rPr>
                <w:rFonts w:eastAsiaTheme="minorEastAsia"/>
                <w:color w:val="auto"/>
              </w:rPr>
            </w:pPr>
            <w:r>
              <w:rPr>
                <w:rFonts w:eastAsiaTheme="minorEastAsia"/>
                <w:color w:val="auto"/>
              </w:rPr>
              <w:t>钻孔深度</w:t>
            </w:r>
          </w:p>
        </w:tc>
        <w:tc>
          <w:tcPr>
            <w:tcW w:w="3244" w:type="dxa"/>
            <w:vAlign w:val="center"/>
          </w:tcPr>
          <w:p>
            <w:pPr>
              <w:pStyle w:val="246"/>
              <w:rPr>
                <w:rFonts w:eastAsiaTheme="minorEastAsia"/>
                <w:color w:val="auto"/>
              </w:rPr>
            </w:pPr>
            <w:r>
              <w:rPr>
                <w:rFonts w:eastAsiaTheme="minorEastAsia"/>
                <w:color w:val="auto"/>
              </w:rPr>
              <w:t>21mm</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jc w:val="center"/>
        </w:trPr>
        <w:tc>
          <w:tcPr>
            <w:tcW w:w="1325" w:type="dxa"/>
            <w:vAlign w:val="center"/>
          </w:tcPr>
          <w:p>
            <w:pPr>
              <w:pStyle w:val="246"/>
              <w:rPr>
                <w:rFonts w:eastAsiaTheme="minorEastAsia"/>
                <w:color w:val="auto"/>
              </w:rPr>
            </w:pPr>
            <w:r>
              <w:rPr>
                <w:rFonts w:eastAsiaTheme="minorEastAsia"/>
                <w:color w:val="auto"/>
              </w:rPr>
              <w:t>10</w:t>
            </w:r>
          </w:p>
        </w:tc>
        <w:tc>
          <w:tcPr>
            <w:tcW w:w="3737" w:type="dxa"/>
            <w:vAlign w:val="center"/>
          </w:tcPr>
          <w:p>
            <w:pPr>
              <w:pStyle w:val="246"/>
              <w:rPr>
                <w:rFonts w:eastAsiaTheme="minorEastAsia"/>
                <w:color w:val="auto"/>
              </w:rPr>
            </w:pPr>
            <w:r>
              <w:rPr>
                <w:rFonts w:eastAsiaTheme="minorEastAsia"/>
                <w:color w:val="auto"/>
              </w:rPr>
              <w:t>炮孔直径</w:t>
            </w:r>
          </w:p>
        </w:tc>
        <w:tc>
          <w:tcPr>
            <w:tcW w:w="3244" w:type="dxa"/>
            <w:vAlign w:val="center"/>
          </w:tcPr>
          <w:p>
            <w:pPr>
              <w:pStyle w:val="246"/>
              <w:rPr>
                <w:rFonts w:eastAsiaTheme="minorEastAsia"/>
                <w:color w:val="auto"/>
              </w:rPr>
            </w:pPr>
            <w:r>
              <w:rPr>
                <w:rFonts w:eastAsiaTheme="minorEastAsia"/>
                <w:color w:val="auto"/>
              </w:rPr>
              <w:t>95mm</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jc w:val="center"/>
        </w:trPr>
        <w:tc>
          <w:tcPr>
            <w:tcW w:w="1325" w:type="dxa"/>
            <w:vAlign w:val="center"/>
          </w:tcPr>
          <w:p>
            <w:pPr>
              <w:pStyle w:val="246"/>
              <w:rPr>
                <w:rFonts w:eastAsiaTheme="minorEastAsia"/>
                <w:color w:val="auto"/>
              </w:rPr>
            </w:pPr>
            <w:r>
              <w:rPr>
                <w:rFonts w:eastAsiaTheme="minorEastAsia"/>
                <w:color w:val="auto"/>
              </w:rPr>
              <w:t>11</w:t>
            </w:r>
          </w:p>
        </w:tc>
        <w:tc>
          <w:tcPr>
            <w:tcW w:w="3737" w:type="dxa"/>
            <w:vAlign w:val="center"/>
          </w:tcPr>
          <w:p>
            <w:pPr>
              <w:pStyle w:val="246"/>
              <w:rPr>
                <w:rFonts w:eastAsiaTheme="minorEastAsia"/>
                <w:color w:val="auto"/>
              </w:rPr>
            </w:pPr>
            <w:r>
              <w:rPr>
                <w:rFonts w:eastAsiaTheme="minorEastAsia"/>
                <w:color w:val="auto"/>
              </w:rPr>
              <w:t>炮孔深</w:t>
            </w:r>
          </w:p>
        </w:tc>
        <w:tc>
          <w:tcPr>
            <w:tcW w:w="3244" w:type="dxa"/>
            <w:vAlign w:val="center"/>
          </w:tcPr>
          <w:p>
            <w:pPr>
              <w:pStyle w:val="246"/>
              <w:rPr>
                <w:rFonts w:eastAsiaTheme="minorEastAsia"/>
                <w:color w:val="auto"/>
              </w:rPr>
            </w:pPr>
            <w:r>
              <w:rPr>
                <w:rFonts w:eastAsiaTheme="minorEastAsia"/>
                <w:color w:val="auto"/>
              </w:rPr>
              <w:t>16mm</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jc w:val="center"/>
        </w:trPr>
        <w:tc>
          <w:tcPr>
            <w:tcW w:w="1325" w:type="dxa"/>
            <w:vAlign w:val="center"/>
          </w:tcPr>
          <w:p>
            <w:pPr>
              <w:pStyle w:val="246"/>
              <w:rPr>
                <w:rFonts w:eastAsiaTheme="minorEastAsia"/>
                <w:color w:val="auto"/>
              </w:rPr>
            </w:pPr>
            <w:r>
              <w:rPr>
                <w:rFonts w:eastAsiaTheme="minorEastAsia"/>
                <w:color w:val="auto"/>
              </w:rPr>
              <w:t>12</w:t>
            </w:r>
          </w:p>
        </w:tc>
        <w:tc>
          <w:tcPr>
            <w:tcW w:w="3737" w:type="dxa"/>
            <w:vAlign w:val="center"/>
          </w:tcPr>
          <w:p>
            <w:pPr>
              <w:pStyle w:val="246"/>
              <w:rPr>
                <w:rFonts w:eastAsiaTheme="minorEastAsia"/>
                <w:color w:val="auto"/>
              </w:rPr>
            </w:pPr>
            <w:r>
              <w:rPr>
                <w:rFonts w:eastAsiaTheme="minorEastAsia"/>
                <w:color w:val="auto"/>
              </w:rPr>
              <w:t>炮孔爆破网度</w:t>
            </w:r>
          </w:p>
        </w:tc>
        <w:tc>
          <w:tcPr>
            <w:tcW w:w="3244" w:type="dxa"/>
            <w:vAlign w:val="center"/>
          </w:tcPr>
          <w:p>
            <w:pPr>
              <w:pStyle w:val="246"/>
              <w:rPr>
                <w:rFonts w:eastAsiaTheme="minorEastAsia"/>
                <w:color w:val="auto"/>
              </w:rPr>
            </w:pPr>
            <w:r>
              <w:rPr>
                <w:rFonts w:eastAsiaTheme="minorEastAsia"/>
                <w:color w:val="auto"/>
              </w:rPr>
              <w:t>3m</w:t>
            </w:r>
            <w:r>
              <w:rPr>
                <w:rFonts w:hint="eastAsia" w:ascii="宋体" w:hAnsi="宋体" w:cs="宋体"/>
                <w:color w:val="auto"/>
              </w:rPr>
              <w:t>╳</w:t>
            </w:r>
            <w:r>
              <w:rPr>
                <w:rFonts w:eastAsiaTheme="minorEastAsia"/>
                <w:color w:val="auto"/>
              </w:rPr>
              <w:t>4m</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jc w:val="center"/>
        </w:trPr>
        <w:tc>
          <w:tcPr>
            <w:tcW w:w="1325" w:type="dxa"/>
            <w:vAlign w:val="center"/>
          </w:tcPr>
          <w:p>
            <w:pPr>
              <w:pStyle w:val="246"/>
              <w:rPr>
                <w:rFonts w:eastAsiaTheme="minorEastAsia"/>
                <w:color w:val="auto"/>
              </w:rPr>
            </w:pPr>
            <w:r>
              <w:rPr>
                <w:rFonts w:eastAsiaTheme="minorEastAsia"/>
                <w:color w:val="auto"/>
              </w:rPr>
              <w:t>13</w:t>
            </w:r>
          </w:p>
        </w:tc>
        <w:tc>
          <w:tcPr>
            <w:tcW w:w="3737" w:type="dxa"/>
            <w:vAlign w:val="center"/>
          </w:tcPr>
          <w:p>
            <w:pPr>
              <w:pStyle w:val="246"/>
              <w:rPr>
                <w:rFonts w:eastAsiaTheme="minorEastAsia"/>
                <w:color w:val="auto"/>
              </w:rPr>
            </w:pPr>
            <w:r>
              <w:rPr>
                <w:rFonts w:eastAsiaTheme="minorEastAsia"/>
                <w:color w:val="auto"/>
              </w:rPr>
              <w:t>炮孔倾角</w:t>
            </w:r>
          </w:p>
        </w:tc>
        <w:tc>
          <w:tcPr>
            <w:tcW w:w="3244" w:type="dxa"/>
            <w:vAlign w:val="center"/>
          </w:tcPr>
          <w:p>
            <w:pPr>
              <w:pStyle w:val="246"/>
              <w:rPr>
                <w:rFonts w:eastAsiaTheme="minorEastAsia"/>
                <w:color w:val="auto"/>
              </w:rPr>
            </w:pPr>
            <w:r>
              <w:rPr>
                <w:rFonts w:eastAsiaTheme="minorEastAsia"/>
                <w:color w:val="auto"/>
              </w:rPr>
              <w:t>75°</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jc w:val="center"/>
        </w:trPr>
        <w:tc>
          <w:tcPr>
            <w:tcW w:w="1325" w:type="dxa"/>
            <w:vAlign w:val="center"/>
          </w:tcPr>
          <w:p>
            <w:pPr>
              <w:pStyle w:val="246"/>
              <w:rPr>
                <w:rFonts w:eastAsiaTheme="minorEastAsia"/>
                <w:color w:val="auto"/>
              </w:rPr>
            </w:pPr>
            <w:r>
              <w:rPr>
                <w:rFonts w:eastAsiaTheme="minorEastAsia"/>
                <w:color w:val="auto"/>
              </w:rPr>
              <w:t>14</w:t>
            </w:r>
          </w:p>
        </w:tc>
        <w:tc>
          <w:tcPr>
            <w:tcW w:w="3737" w:type="dxa"/>
            <w:vAlign w:val="center"/>
          </w:tcPr>
          <w:p>
            <w:pPr>
              <w:pStyle w:val="246"/>
              <w:rPr>
                <w:rFonts w:eastAsiaTheme="minorEastAsia"/>
                <w:color w:val="auto"/>
              </w:rPr>
            </w:pPr>
            <w:r>
              <w:rPr>
                <w:rFonts w:eastAsiaTheme="minorEastAsia"/>
                <w:color w:val="auto"/>
              </w:rPr>
              <w:t>炮孔超深</w:t>
            </w:r>
          </w:p>
        </w:tc>
        <w:tc>
          <w:tcPr>
            <w:tcW w:w="3244" w:type="dxa"/>
            <w:vAlign w:val="center"/>
          </w:tcPr>
          <w:p>
            <w:pPr>
              <w:pStyle w:val="246"/>
              <w:rPr>
                <w:rFonts w:eastAsiaTheme="minorEastAsia"/>
                <w:color w:val="auto"/>
              </w:rPr>
            </w:pPr>
            <w:r>
              <w:rPr>
                <w:rFonts w:eastAsiaTheme="minorEastAsia"/>
                <w:color w:val="auto"/>
              </w:rPr>
              <w:t>1.0m</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jc w:val="center"/>
        </w:trPr>
        <w:tc>
          <w:tcPr>
            <w:tcW w:w="1325" w:type="dxa"/>
            <w:vAlign w:val="center"/>
          </w:tcPr>
          <w:p>
            <w:pPr>
              <w:pStyle w:val="246"/>
              <w:rPr>
                <w:rFonts w:eastAsiaTheme="minorEastAsia"/>
                <w:color w:val="auto"/>
              </w:rPr>
            </w:pPr>
            <w:r>
              <w:rPr>
                <w:rFonts w:eastAsiaTheme="minorEastAsia"/>
                <w:color w:val="auto"/>
              </w:rPr>
              <w:t>15</w:t>
            </w:r>
          </w:p>
        </w:tc>
        <w:tc>
          <w:tcPr>
            <w:tcW w:w="3737" w:type="dxa"/>
            <w:vAlign w:val="center"/>
          </w:tcPr>
          <w:p>
            <w:pPr>
              <w:pStyle w:val="246"/>
              <w:rPr>
                <w:rFonts w:eastAsiaTheme="minorEastAsia"/>
                <w:color w:val="auto"/>
              </w:rPr>
            </w:pPr>
            <w:r>
              <w:rPr>
                <w:rFonts w:eastAsiaTheme="minorEastAsia"/>
                <w:color w:val="auto"/>
              </w:rPr>
              <w:t>碎石生产能力</w:t>
            </w:r>
          </w:p>
        </w:tc>
        <w:tc>
          <w:tcPr>
            <w:tcW w:w="3244" w:type="dxa"/>
            <w:vAlign w:val="center"/>
          </w:tcPr>
          <w:p>
            <w:pPr>
              <w:pStyle w:val="246"/>
              <w:rPr>
                <w:rFonts w:eastAsiaTheme="minorEastAsia"/>
                <w:color w:val="auto"/>
              </w:rPr>
            </w:pPr>
            <w:r>
              <w:rPr>
                <w:rFonts w:hint="eastAsia" w:eastAsiaTheme="minorEastAsia"/>
                <w:color w:val="auto"/>
                <w:lang w:val="en-US" w:eastAsia="zh-CN"/>
              </w:rPr>
              <w:t>3</w:t>
            </w:r>
            <w:r>
              <w:rPr>
                <w:rFonts w:eastAsiaTheme="minorEastAsia"/>
                <w:color w:val="auto"/>
              </w:rPr>
              <w:t>万m</w:t>
            </w:r>
            <w:r>
              <w:rPr>
                <w:rFonts w:eastAsiaTheme="minorEastAsia"/>
                <w:color w:val="auto"/>
                <w:vertAlign w:val="superscript"/>
              </w:rPr>
              <w:t>3</w:t>
            </w:r>
            <w:r>
              <w:rPr>
                <w:rFonts w:eastAsiaTheme="minorEastAsia"/>
                <w:color w:val="auto"/>
              </w:rPr>
              <w:t>/a</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jc w:val="center"/>
        </w:trPr>
        <w:tc>
          <w:tcPr>
            <w:tcW w:w="1325" w:type="dxa"/>
            <w:vAlign w:val="center"/>
          </w:tcPr>
          <w:p>
            <w:pPr>
              <w:pStyle w:val="246"/>
              <w:rPr>
                <w:rFonts w:eastAsiaTheme="minorEastAsia"/>
                <w:color w:val="auto"/>
              </w:rPr>
            </w:pPr>
            <w:r>
              <w:rPr>
                <w:rFonts w:eastAsiaTheme="minorEastAsia"/>
                <w:color w:val="auto"/>
              </w:rPr>
              <w:t>16</w:t>
            </w:r>
          </w:p>
        </w:tc>
        <w:tc>
          <w:tcPr>
            <w:tcW w:w="3737" w:type="dxa"/>
            <w:vAlign w:val="center"/>
          </w:tcPr>
          <w:p>
            <w:pPr>
              <w:pStyle w:val="246"/>
              <w:rPr>
                <w:rFonts w:eastAsiaTheme="minorEastAsia"/>
                <w:color w:val="auto"/>
              </w:rPr>
            </w:pPr>
            <w:r>
              <w:rPr>
                <w:rFonts w:eastAsiaTheme="minorEastAsia"/>
                <w:color w:val="auto"/>
              </w:rPr>
              <w:t>矿山服务年限</w:t>
            </w:r>
          </w:p>
        </w:tc>
        <w:tc>
          <w:tcPr>
            <w:tcW w:w="3244" w:type="dxa"/>
            <w:vAlign w:val="center"/>
          </w:tcPr>
          <w:p>
            <w:pPr>
              <w:pStyle w:val="246"/>
              <w:rPr>
                <w:rFonts w:hint="eastAsia" w:eastAsiaTheme="minorEastAsia"/>
                <w:color w:val="auto"/>
                <w:lang w:val="en-US" w:eastAsia="zh-CN"/>
              </w:rPr>
            </w:pPr>
            <w:r>
              <w:rPr>
                <w:rFonts w:hint="eastAsia" w:eastAsiaTheme="minorEastAsia"/>
                <w:color w:val="auto"/>
                <w:lang w:val="en-US" w:eastAsia="zh-CN"/>
              </w:rPr>
              <w:t>3</w:t>
            </w:r>
          </w:p>
        </w:tc>
      </w:tr>
    </w:tbl>
    <w:p>
      <w:pPr>
        <w:pStyle w:val="276"/>
        <w:rPr>
          <w:rFonts w:eastAsiaTheme="minorEastAsia"/>
          <w:color w:val="auto"/>
        </w:rPr>
      </w:pPr>
      <w:r>
        <w:rPr>
          <w:rFonts w:eastAsiaTheme="minorEastAsia"/>
          <w:color w:val="auto"/>
        </w:rPr>
        <w:t>（2）采剥工艺</w:t>
      </w:r>
    </w:p>
    <w:p>
      <w:pPr>
        <w:pStyle w:val="276"/>
        <w:rPr>
          <w:rFonts w:eastAsiaTheme="minorEastAsia"/>
          <w:color w:val="auto"/>
        </w:rPr>
      </w:pPr>
      <w:r>
        <w:rPr>
          <w:rFonts w:eastAsiaTheme="minorEastAsia"/>
          <w:color w:val="auto"/>
        </w:rPr>
        <w:t>矿山按照自上而下水平分层开采，采用推土机结合人工剥离覆盖物、基岩爆破、机械铲装、公路运输。</w:t>
      </w:r>
    </w:p>
    <w:p>
      <w:pPr>
        <w:pStyle w:val="276"/>
        <w:rPr>
          <w:rFonts w:eastAsiaTheme="minorEastAsia"/>
          <w:color w:val="auto"/>
        </w:rPr>
      </w:pPr>
      <w:r>
        <w:rPr>
          <w:rFonts w:eastAsiaTheme="minorEastAsia"/>
          <w:color w:val="auto"/>
        </w:rPr>
        <w:t>（3）穿爆作业</w:t>
      </w:r>
    </w:p>
    <w:p>
      <w:pPr>
        <w:pStyle w:val="276"/>
        <w:jc w:val="both"/>
        <w:rPr>
          <w:rFonts w:eastAsiaTheme="minorEastAsia"/>
          <w:color w:val="auto"/>
        </w:rPr>
      </w:pPr>
      <w:r>
        <w:rPr>
          <w:rFonts w:eastAsiaTheme="minorEastAsia"/>
          <w:color w:val="auto"/>
        </w:rPr>
        <w:t>根据矿岩的物理机械性质、国内外凿岩设备的效率及质量情况，结合本项目矿山规模、资金情况，穿孔设备采用高效液压岩凿机，钻凿φ160mm 爆破孔，作为主要生产钻机。该钻机性能好、效率高、可靠率高。选用一台履带式液压钻机，钻凿φ100mm爆破孔，作为辅助生产钻机，用作采准、工作面残留三角矿体的处理等，炮孔布置见示意图3-2-1。</w:t>
      </w:r>
    </w:p>
    <w:p>
      <w:pPr>
        <w:pStyle w:val="276"/>
        <w:spacing w:line="240" w:lineRule="auto"/>
        <w:ind w:firstLine="0" w:firstLineChars="0"/>
        <w:rPr>
          <w:rFonts w:eastAsiaTheme="minorEastAsia"/>
          <w:color w:val="auto"/>
        </w:rPr>
      </w:pPr>
      <w:r>
        <w:rPr>
          <w:rFonts w:eastAsiaTheme="minorEastAsia"/>
          <w:color w:val="auto"/>
        </w:rPr>
        <w:drawing>
          <wp:inline distT="0" distB="0" distL="0" distR="0">
            <wp:extent cx="5274310" cy="1790700"/>
            <wp:effectExtent l="0" t="0" r="254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0" y="0"/>
                      <a:ext cx="5274310" cy="1790700"/>
                    </a:xfrm>
                    <a:prstGeom prst="rect">
                      <a:avLst/>
                    </a:prstGeom>
                  </pic:spPr>
                </pic:pic>
              </a:graphicData>
            </a:graphic>
          </wp:inline>
        </w:drawing>
      </w:r>
    </w:p>
    <w:p>
      <w:pPr>
        <w:pStyle w:val="276"/>
        <w:jc w:val="center"/>
        <w:rPr>
          <w:rFonts w:eastAsiaTheme="minorEastAsia"/>
          <w:color w:val="auto"/>
        </w:rPr>
      </w:pPr>
      <w:r>
        <w:rPr>
          <w:rFonts w:eastAsiaTheme="minorEastAsia"/>
          <w:color w:val="auto"/>
        </w:rPr>
        <w:t>图3-2-1炮孔布置示意图</w:t>
      </w:r>
    </w:p>
    <w:p>
      <w:pPr>
        <w:pStyle w:val="276"/>
        <w:rPr>
          <w:rFonts w:eastAsiaTheme="minorEastAsia"/>
          <w:color w:val="auto"/>
        </w:rPr>
      </w:pPr>
      <w:r>
        <w:rPr>
          <w:rFonts w:eastAsiaTheme="minorEastAsia"/>
          <w:color w:val="auto"/>
        </w:rPr>
        <w:t>（4）装载工作</w:t>
      </w:r>
    </w:p>
    <w:p>
      <w:pPr>
        <w:pStyle w:val="276"/>
        <w:jc w:val="both"/>
        <w:rPr>
          <w:rFonts w:eastAsiaTheme="minorEastAsia"/>
          <w:color w:val="auto"/>
        </w:rPr>
      </w:pPr>
      <w:r>
        <w:rPr>
          <w:rFonts w:eastAsiaTheme="minorEastAsia"/>
          <w:color w:val="auto"/>
        </w:rPr>
        <w:t>根据采场工作面布置、生产能力，设计采用2台（329型）挖掘机进行装载作业。</w:t>
      </w:r>
    </w:p>
    <w:p>
      <w:pPr>
        <w:pStyle w:val="276"/>
        <w:rPr>
          <w:rFonts w:eastAsiaTheme="minorEastAsia"/>
          <w:color w:val="auto"/>
        </w:rPr>
      </w:pPr>
      <w:r>
        <w:rPr>
          <w:rFonts w:eastAsiaTheme="minorEastAsia"/>
          <w:color w:val="auto"/>
        </w:rPr>
        <w:t>（5）开拓运输方案</w:t>
      </w:r>
    </w:p>
    <w:p>
      <w:pPr>
        <w:pStyle w:val="276"/>
        <w:rPr>
          <w:rFonts w:eastAsiaTheme="minorEastAsia"/>
          <w:color w:val="auto"/>
        </w:rPr>
      </w:pPr>
      <w:r>
        <w:rPr>
          <w:rFonts w:eastAsiaTheme="minorEastAsia"/>
          <w:color w:val="auto"/>
        </w:rPr>
        <w:t>矿山货物的运输采用汽车运输，矿石采用自卸汽车运输方式。</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3.2.5项目组成及内容</w:t>
      </w:r>
    </w:p>
    <w:bookmarkEnd w:id="109"/>
    <w:bookmarkEnd w:id="110"/>
    <w:bookmarkEnd w:id="111"/>
    <w:bookmarkEnd w:id="112"/>
    <w:p>
      <w:pPr>
        <w:pStyle w:val="276"/>
        <w:jc w:val="both"/>
        <w:rPr>
          <w:rFonts w:eastAsiaTheme="minorEastAsia"/>
          <w:color w:val="auto"/>
        </w:rPr>
      </w:pPr>
      <w:r>
        <w:rPr>
          <w:rFonts w:eastAsiaTheme="minorEastAsia"/>
          <w:color w:val="auto"/>
        </w:rPr>
        <w:t>本项目总用地面积为</w:t>
      </w:r>
      <w:r>
        <w:rPr>
          <w:rFonts w:hint="eastAsia" w:eastAsiaTheme="minorEastAsia"/>
          <w:color w:val="auto"/>
          <w:lang w:eastAsia="zh-CN"/>
        </w:rPr>
        <w:t>0.014185</w:t>
      </w:r>
      <w:r>
        <w:rPr>
          <w:rFonts w:eastAsiaTheme="minorEastAsia"/>
          <w:color w:val="auto"/>
        </w:rPr>
        <w:t>km</w:t>
      </w:r>
      <w:r>
        <w:rPr>
          <w:rFonts w:eastAsiaTheme="minorEastAsia"/>
          <w:color w:val="auto"/>
          <w:vertAlign w:val="superscript"/>
        </w:rPr>
        <w:t>2</w:t>
      </w:r>
      <w:r>
        <w:rPr>
          <w:rFonts w:eastAsiaTheme="minorEastAsia"/>
          <w:color w:val="auto"/>
        </w:rPr>
        <w:t>，其中开采区面积为</w:t>
      </w:r>
      <w:r>
        <w:rPr>
          <w:rFonts w:hint="eastAsia" w:eastAsiaTheme="minorEastAsia"/>
          <w:color w:val="auto"/>
          <w:lang w:eastAsia="zh-CN"/>
        </w:rPr>
        <w:t>0.003555</w:t>
      </w:r>
      <w:r>
        <w:rPr>
          <w:rFonts w:eastAsiaTheme="minorEastAsia"/>
          <w:color w:val="auto"/>
        </w:rPr>
        <w:t>km</w:t>
      </w:r>
      <w:r>
        <w:rPr>
          <w:rFonts w:eastAsiaTheme="minorEastAsia"/>
          <w:color w:val="auto"/>
          <w:vertAlign w:val="superscript"/>
        </w:rPr>
        <w:t>2</w:t>
      </w:r>
      <w:r>
        <w:rPr>
          <w:rFonts w:eastAsiaTheme="minorEastAsia"/>
          <w:color w:val="auto"/>
        </w:rPr>
        <w:t>。年开采加工</w:t>
      </w:r>
      <w:r>
        <w:rPr>
          <w:rFonts w:hint="eastAsia" w:eastAsiaTheme="minorEastAsia"/>
          <w:color w:val="auto"/>
          <w:lang w:val="en-US" w:eastAsia="zh-CN"/>
        </w:rPr>
        <w:t>3</w:t>
      </w:r>
      <w:r>
        <w:rPr>
          <w:rFonts w:eastAsiaTheme="minorEastAsia"/>
          <w:color w:val="auto"/>
        </w:rPr>
        <w:t>万m</w:t>
      </w:r>
      <w:r>
        <w:rPr>
          <w:rFonts w:eastAsiaTheme="minorEastAsia"/>
          <w:color w:val="auto"/>
          <w:vertAlign w:val="superscript"/>
        </w:rPr>
        <w:t>3</w:t>
      </w:r>
      <w:r>
        <w:rPr>
          <w:rFonts w:eastAsiaTheme="minorEastAsia"/>
          <w:color w:val="auto"/>
        </w:rPr>
        <w:t>普通建筑用碎石，本项目的工程主要由采矿场及破碎生产线组成，项目组成见表3-2-4。</w:t>
      </w:r>
    </w:p>
    <w:p>
      <w:pPr>
        <w:pStyle w:val="244"/>
        <w:rPr>
          <w:rFonts w:eastAsiaTheme="minorEastAsia"/>
          <w:color w:val="auto"/>
        </w:rPr>
      </w:pPr>
      <w:r>
        <w:rPr>
          <w:rFonts w:eastAsiaTheme="minorEastAsia"/>
          <w:color w:val="auto"/>
        </w:rPr>
        <w:t xml:space="preserve">表3-2-4  </w:t>
      </w:r>
      <w:r>
        <w:rPr>
          <w:rFonts w:eastAsiaTheme="minorEastAsia"/>
          <w:color w:val="auto"/>
        </w:rPr>
        <w:t>项目工程组成一览表</w:t>
      </w:r>
    </w:p>
    <w:tbl>
      <w:tblPr>
        <w:tblStyle w:val="53"/>
        <w:tblW w:w="8533"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45"/>
        <w:gridCol w:w="914"/>
        <w:gridCol w:w="6068"/>
        <w:gridCol w:w="90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blHeader/>
          <w:jc w:val="center"/>
        </w:trPr>
        <w:tc>
          <w:tcPr>
            <w:tcW w:w="645" w:type="dxa"/>
            <w:shd w:val="clear" w:color="auto" w:fill="auto"/>
            <w:vAlign w:val="center"/>
          </w:tcPr>
          <w:p>
            <w:pPr>
              <w:pStyle w:val="246"/>
              <w:rPr>
                <w:rFonts w:eastAsiaTheme="minorEastAsia"/>
                <w:color w:val="auto"/>
              </w:rPr>
            </w:pPr>
            <w:r>
              <w:rPr>
                <w:rFonts w:eastAsiaTheme="minorEastAsia"/>
                <w:color w:val="auto"/>
              </w:rPr>
              <w:t>类别</w:t>
            </w:r>
          </w:p>
        </w:tc>
        <w:tc>
          <w:tcPr>
            <w:tcW w:w="914" w:type="dxa"/>
            <w:shd w:val="clear" w:color="auto" w:fill="auto"/>
            <w:vAlign w:val="center"/>
          </w:tcPr>
          <w:p>
            <w:pPr>
              <w:pStyle w:val="246"/>
              <w:rPr>
                <w:rFonts w:eastAsiaTheme="minorEastAsia"/>
                <w:color w:val="auto"/>
              </w:rPr>
            </w:pPr>
            <w:r>
              <w:rPr>
                <w:rFonts w:eastAsiaTheme="minorEastAsia"/>
                <w:color w:val="auto"/>
              </w:rPr>
              <w:t>名称</w:t>
            </w:r>
          </w:p>
        </w:tc>
        <w:tc>
          <w:tcPr>
            <w:tcW w:w="6068" w:type="dxa"/>
            <w:shd w:val="clear" w:color="auto" w:fill="auto"/>
            <w:vAlign w:val="center"/>
          </w:tcPr>
          <w:p>
            <w:pPr>
              <w:pStyle w:val="246"/>
              <w:rPr>
                <w:rFonts w:eastAsiaTheme="minorEastAsia"/>
                <w:color w:val="auto"/>
              </w:rPr>
            </w:pPr>
            <w:r>
              <w:rPr>
                <w:rFonts w:eastAsiaTheme="minorEastAsia"/>
                <w:color w:val="auto"/>
              </w:rPr>
              <w:t>本项目工程内容</w:t>
            </w:r>
          </w:p>
        </w:tc>
        <w:tc>
          <w:tcPr>
            <w:tcW w:w="906" w:type="dxa"/>
            <w:shd w:val="clear" w:color="auto" w:fill="auto"/>
            <w:vAlign w:val="center"/>
          </w:tcPr>
          <w:p>
            <w:pPr>
              <w:pStyle w:val="246"/>
              <w:rPr>
                <w:rFonts w:eastAsiaTheme="minorEastAsia"/>
                <w:color w:val="auto"/>
              </w:rPr>
            </w:pPr>
            <w:r>
              <w:rPr>
                <w:rFonts w:eastAsiaTheme="minorEastAsia"/>
                <w:color w:val="auto"/>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33" w:hRule="atLeast"/>
          <w:jc w:val="center"/>
        </w:trPr>
        <w:tc>
          <w:tcPr>
            <w:tcW w:w="645" w:type="dxa"/>
            <w:vMerge w:val="restart"/>
            <w:shd w:val="clear" w:color="auto" w:fill="auto"/>
            <w:vAlign w:val="center"/>
          </w:tcPr>
          <w:p>
            <w:pPr>
              <w:pStyle w:val="246"/>
              <w:rPr>
                <w:rFonts w:eastAsiaTheme="minorEastAsia"/>
                <w:color w:val="auto"/>
              </w:rPr>
            </w:pPr>
            <w:r>
              <w:rPr>
                <w:rFonts w:eastAsiaTheme="minorEastAsia"/>
                <w:color w:val="auto"/>
              </w:rPr>
              <w:t>主体工程</w:t>
            </w:r>
          </w:p>
        </w:tc>
        <w:tc>
          <w:tcPr>
            <w:tcW w:w="914" w:type="dxa"/>
            <w:shd w:val="clear" w:color="auto" w:fill="auto"/>
            <w:vAlign w:val="center"/>
          </w:tcPr>
          <w:p>
            <w:pPr>
              <w:pStyle w:val="246"/>
              <w:rPr>
                <w:rFonts w:eastAsiaTheme="minorEastAsia"/>
                <w:color w:val="auto"/>
              </w:rPr>
            </w:pPr>
            <w:r>
              <w:rPr>
                <w:rFonts w:eastAsiaTheme="minorEastAsia"/>
                <w:color w:val="auto"/>
              </w:rPr>
              <w:t>开采区域</w:t>
            </w:r>
          </w:p>
        </w:tc>
        <w:tc>
          <w:tcPr>
            <w:tcW w:w="6068" w:type="dxa"/>
            <w:shd w:val="clear" w:color="auto" w:fill="auto"/>
            <w:vAlign w:val="center"/>
          </w:tcPr>
          <w:p>
            <w:pPr>
              <w:pStyle w:val="246"/>
              <w:jc w:val="both"/>
              <w:rPr>
                <w:rFonts w:eastAsiaTheme="minorEastAsia"/>
                <w:color w:val="auto"/>
              </w:rPr>
            </w:pPr>
            <w:r>
              <w:rPr>
                <w:rFonts w:eastAsiaTheme="minorEastAsia"/>
                <w:color w:val="auto"/>
              </w:rPr>
              <w:t>开采区面积</w:t>
            </w:r>
            <w:r>
              <w:rPr>
                <w:rFonts w:hint="eastAsia" w:eastAsiaTheme="minorEastAsia"/>
                <w:color w:val="auto"/>
                <w:lang w:eastAsia="zh-CN"/>
              </w:rPr>
              <w:t>0.003555</w:t>
            </w:r>
            <w:r>
              <w:rPr>
                <w:rFonts w:eastAsiaTheme="minorEastAsia"/>
                <w:color w:val="auto"/>
              </w:rPr>
              <w:t>km</w:t>
            </w:r>
            <w:r>
              <w:rPr>
                <w:rFonts w:eastAsiaTheme="minorEastAsia"/>
                <w:color w:val="auto"/>
                <w:vertAlign w:val="superscript"/>
              </w:rPr>
              <w:t>2</w:t>
            </w:r>
            <w:r>
              <w:rPr>
                <w:rFonts w:eastAsiaTheme="minorEastAsia"/>
                <w:color w:val="auto"/>
              </w:rPr>
              <w:t>，总占地面积为</w:t>
            </w:r>
            <w:r>
              <w:rPr>
                <w:rFonts w:hint="eastAsia" w:eastAsiaTheme="minorEastAsia"/>
                <w:color w:val="auto"/>
                <w:lang w:eastAsia="zh-CN"/>
              </w:rPr>
              <w:t>0.014185</w:t>
            </w:r>
            <w:r>
              <w:rPr>
                <w:rFonts w:eastAsiaTheme="minorEastAsia"/>
                <w:color w:val="auto"/>
              </w:rPr>
              <w:t>km</w:t>
            </w:r>
            <w:r>
              <w:rPr>
                <w:rFonts w:eastAsiaTheme="minorEastAsia"/>
                <w:color w:val="auto"/>
                <w:vertAlign w:val="superscript"/>
              </w:rPr>
              <w:t>2</w:t>
            </w:r>
            <w:r>
              <w:rPr>
                <w:rFonts w:eastAsiaTheme="minorEastAsia"/>
                <w:color w:val="auto"/>
              </w:rPr>
              <w:t>，项目可开采资源储量为</w:t>
            </w:r>
            <w:r>
              <w:rPr>
                <w:rFonts w:hint="eastAsia" w:eastAsiaTheme="minorEastAsia"/>
                <w:color w:val="auto"/>
                <w:lang w:eastAsia="zh-CN"/>
              </w:rPr>
              <w:t>9</w:t>
            </w:r>
            <w:r>
              <w:rPr>
                <w:rFonts w:eastAsiaTheme="minorEastAsia"/>
                <w:color w:val="auto"/>
              </w:rPr>
              <w:t>×10</w:t>
            </w:r>
            <w:r>
              <w:rPr>
                <w:rFonts w:eastAsiaTheme="minorEastAsia"/>
                <w:color w:val="auto"/>
                <w:vertAlign w:val="superscript"/>
              </w:rPr>
              <w:t>4</w:t>
            </w:r>
            <w:r>
              <w:rPr>
                <w:rFonts w:eastAsiaTheme="minorEastAsia"/>
                <w:color w:val="auto"/>
              </w:rPr>
              <w:t>m</w:t>
            </w:r>
            <w:r>
              <w:rPr>
                <w:rFonts w:eastAsiaTheme="minorEastAsia"/>
                <w:color w:val="auto"/>
                <w:vertAlign w:val="superscript"/>
              </w:rPr>
              <w:t>3</w:t>
            </w:r>
            <w:r>
              <w:rPr>
                <w:rFonts w:eastAsiaTheme="minorEastAsia"/>
                <w:color w:val="auto"/>
              </w:rPr>
              <w:t>，开采期</w:t>
            </w:r>
            <w:r>
              <w:rPr>
                <w:rFonts w:hint="eastAsia" w:eastAsiaTheme="minorEastAsia"/>
                <w:color w:val="auto"/>
                <w:lang w:val="en-US" w:eastAsia="zh-CN"/>
              </w:rPr>
              <w:t>3</w:t>
            </w:r>
            <w:r>
              <w:rPr>
                <w:rFonts w:eastAsiaTheme="minorEastAsia"/>
                <w:color w:val="auto"/>
              </w:rPr>
              <w:t>a，采矿生产能力</w:t>
            </w:r>
            <w:r>
              <w:rPr>
                <w:rFonts w:hint="eastAsia" w:eastAsiaTheme="minorEastAsia"/>
                <w:color w:val="auto"/>
                <w:lang w:eastAsia="zh-CN"/>
              </w:rPr>
              <w:t>3×10</w:t>
            </w:r>
            <w:r>
              <w:rPr>
                <w:rFonts w:eastAsiaTheme="minorEastAsia"/>
                <w:color w:val="auto"/>
                <w:vertAlign w:val="superscript"/>
              </w:rPr>
              <w:t>4</w:t>
            </w:r>
            <w:r>
              <w:rPr>
                <w:rFonts w:eastAsiaTheme="minorEastAsia"/>
                <w:color w:val="auto"/>
              </w:rPr>
              <w:t>m</w:t>
            </w:r>
            <w:r>
              <w:rPr>
                <w:rFonts w:eastAsiaTheme="minorEastAsia"/>
                <w:color w:val="auto"/>
                <w:vertAlign w:val="superscript"/>
              </w:rPr>
              <w:t>3</w:t>
            </w:r>
            <w:r>
              <w:rPr>
                <w:rFonts w:eastAsiaTheme="minorEastAsia"/>
                <w:color w:val="auto"/>
              </w:rPr>
              <w:t>/a，开采标高</w:t>
            </w:r>
            <w:r>
              <w:rPr>
                <w:rFonts w:hint="eastAsia" w:eastAsiaTheme="minorEastAsia"/>
                <w:color w:val="auto"/>
                <w:lang w:eastAsia="zh-CN"/>
              </w:rPr>
              <w:t>121m-107m</w:t>
            </w:r>
            <w:r>
              <w:rPr>
                <w:rFonts w:eastAsiaTheme="minorEastAsia"/>
                <w:color w:val="auto"/>
              </w:rPr>
              <w:t>m，共设</w:t>
            </w:r>
            <w:r>
              <w:rPr>
                <w:rFonts w:hint="eastAsia" w:eastAsiaTheme="minorEastAsia"/>
                <w:color w:val="auto"/>
                <w:lang w:val="en-US" w:eastAsia="zh-CN"/>
              </w:rPr>
              <w:t>4</w:t>
            </w:r>
            <w:r>
              <w:rPr>
                <w:rFonts w:eastAsiaTheme="minorEastAsia"/>
                <w:color w:val="auto"/>
              </w:rPr>
              <w:t>个拐点，采用阶梯式露天采剥工艺，1条碎石开采加工的生产线。本项目年爆破次数为20次，每 12天进行一次爆破爆破时间选择在上午9点-10点之间。</w:t>
            </w:r>
          </w:p>
        </w:tc>
        <w:tc>
          <w:tcPr>
            <w:tcW w:w="906" w:type="dxa"/>
            <w:shd w:val="clear" w:color="auto" w:fill="auto"/>
            <w:vAlign w:val="center"/>
          </w:tcPr>
          <w:p>
            <w:pPr>
              <w:pStyle w:val="246"/>
              <w:rPr>
                <w:rFonts w:eastAsiaTheme="minorEastAsia"/>
                <w:color w:val="auto"/>
              </w:rPr>
            </w:pPr>
            <w:r>
              <w:rPr>
                <w:rFonts w:eastAsiaTheme="minorEastAsia"/>
                <w:color w:val="auto"/>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33" w:hRule="atLeast"/>
          <w:jc w:val="center"/>
        </w:trPr>
        <w:tc>
          <w:tcPr>
            <w:tcW w:w="645" w:type="dxa"/>
            <w:vMerge w:val="continue"/>
            <w:shd w:val="clear" w:color="auto" w:fill="auto"/>
            <w:vAlign w:val="center"/>
          </w:tcPr>
          <w:p>
            <w:pPr>
              <w:pStyle w:val="246"/>
              <w:rPr>
                <w:rFonts w:eastAsiaTheme="minorEastAsia"/>
                <w:color w:val="auto"/>
              </w:rPr>
            </w:pPr>
          </w:p>
        </w:tc>
        <w:tc>
          <w:tcPr>
            <w:tcW w:w="914" w:type="dxa"/>
            <w:shd w:val="clear" w:color="auto" w:fill="auto"/>
            <w:vAlign w:val="center"/>
          </w:tcPr>
          <w:p>
            <w:pPr>
              <w:pStyle w:val="246"/>
              <w:rPr>
                <w:rFonts w:eastAsiaTheme="minorEastAsia"/>
                <w:color w:val="auto"/>
              </w:rPr>
            </w:pPr>
            <w:r>
              <w:rPr>
                <w:rFonts w:eastAsiaTheme="minorEastAsia"/>
                <w:color w:val="auto"/>
              </w:rPr>
              <w:t>破碎筛分生产线</w:t>
            </w:r>
          </w:p>
        </w:tc>
        <w:tc>
          <w:tcPr>
            <w:tcW w:w="6068" w:type="dxa"/>
            <w:shd w:val="clear" w:color="auto" w:fill="auto"/>
            <w:vAlign w:val="center"/>
          </w:tcPr>
          <w:p>
            <w:pPr>
              <w:pStyle w:val="246"/>
              <w:rPr>
                <w:rFonts w:eastAsiaTheme="minorEastAsia"/>
                <w:color w:val="auto"/>
              </w:rPr>
            </w:pPr>
            <w:r>
              <w:rPr>
                <w:rFonts w:eastAsiaTheme="minorEastAsia"/>
                <w:color w:val="auto"/>
              </w:rPr>
              <w:t>设有1条生产加工系统设置 1台颚式破碎机、</w:t>
            </w:r>
            <w:r>
              <w:rPr>
                <w:rFonts w:hint="eastAsia" w:eastAsiaTheme="minorEastAsia"/>
                <w:color w:val="auto"/>
                <w:lang w:val="en-US" w:eastAsia="zh-CN"/>
              </w:rPr>
              <w:t>1</w:t>
            </w:r>
            <w:r>
              <w:rPr>
                <w:rFonts w:eastAsiaTheme="minorEastAsia"/>
                <w:color w:val="auto"/>
              </w:rPr>
              <w:t>台</w:t>
            </w:r>
            <w:r>
              <w:rPr>
                <w:rFonts w:hint="eastAsia" w:eastAsiaTheme="minorEastAsia"/>
                <w:color w:val="auto"/>
                <w:lang w:eastAsia="zh-CN"/>
              </w:rPr>
              <w:t>锤式</w:t>
            </w:r>
            <w:r>
              <w:rPr>
                <w:rFonts w:eastAsiaTheme="minorEastAsia"/>
                <w:color w:val="auto"/>
              </w:rPr>
              <w:t>破碎机、</w:t>
            </w:r>
            <w:r>
              <w:rPr>
                <w:rFonts w:hint="eastAsia" w:eastAsiaTheme="minorEastAsia"/>
                <w:color w:val="auto"/>
                <w:lang w:val="en-US" w:eastAsia="zh-CN"/>
              </w:rPr>
              <w:t>1</w:t>
            </w:r>
            <w:r>
              <w:rPr>
                <w:rFonts w:eastAsiaTheme="minorEastAsia"/>
                <w:color w:val="auto"/>
              </w:rPr>
              <w:t>台振动筛、</w:t>
            </w:r>
            <w:r>
              <w:rPr>
                <w:rFonts w:hint="eastAsia" w:eastAsiaTheme="minorEastAsia"/>
                <w:color w:val="auto"/>
                <w:lang w:val="en-US" w:eastAsia="zh-CN"/>
              </w:rPr>
              <w:t>1</w:t>
            </w:r>
            <w:r>
              <w:rPr>
                <w:rFonts w:eastAsiaTheme="minorEastAsia"/>
                <w:color w:val="auto"/>
              </w:rPr>
              <w:t>台给料机及配套皮带输送机，生产设备随生产需要进行移动</w:t>
            </w:r>
          </w:p>
        </w:tc>
        <w:tc>
          <w:tcPr>
            <w:tcW w:w="906" w:type="dxa"/>
            <w:shd w:val="clear" w:color="auto" w:fill="auto"/>
            <w:vAlign w:val="center"/>
          </w:tcPr>
          <w:p>
            <w:pPr>
              <w:pStyle w:val="246"/>
              <w:rPr>
                <w:rFonts w:eastAsiaTheme="minorEastAsia"/>
                <w:color w:val="auto"/>
              </w:rPr>
            </w:pPr>
            <w:r>
              <w:rPr>
                <w:rFonts w:eastAsiaTheme="minorEastAsia"/>
                <w:color w:val="auto"/>
              </w:rPr>
              <w:t>已建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645" w:type="dxa"/>
            <w:vMerge w:val="restart"/>
            <w:tcBorders>
              <w:top w:val="single" w:color="auto" w:sz="4" w:space="0"/>
            </w:tcBorders>
            <w:shd w:val="clear" w:color="auto" w:fill="auto"/>
            <w:vAlign w:val="center"/>
          </w:tcPr>
          <w:p>
            <w:pPr>
              <w:pStyle w:val="246"/>
              <w:rPr>
                <w:rFonts w:eastAsiaTheme="minorEastAsia"/>
                <w:color w:val="auto"/>
              </w:rPr>
            </w:pPr>
            <w:r>
              <w:rPr>
                <w:rFonts w:eastAsiaTheme="minorEastAsia"/>
                <w:color w:val="auto"/>
              </w:rPr>
              <w:t>辅助工程</w:t>
            </w:r>
          </w:p>
        </w:tc>
        <w:tc>
          <w:tcPr>
            <w:tcW w:w="914" w:type="dxa"/>
            <w:shd w:val="clear" w:color="auto" w:fill="auto"/>
            <w:vAlign w:val="center"/>
          </w:tcPr>
          <w:p>
            <w:pPr>
              <w:pStyle w:val="246"/>
              <w:rPr>
                <w:rFonts w:eastAsiaTheme="minorEastAsia"/>
                <w:color w:val="auto"/>
              </w:rPr>
            </w:pPr>
            <w:r>
              <w:rPr>
                <w:rFonts w:eastAsiaTheme="minorEastAsia"/>
                <w:color w:val="auto"/>
              </w:rPr>
              <w:t>临时堆土场</w:t>
            </w:r>
          </w:p>
        </w:tc>
        <w:tc>
          <w:tcPr>
            <w:tcW w:w="6068" w:type="dxa"/>
            <w:shd w:val="clear" w:color="auto" w:fill="auto"/>
            <w:vAlign w:val="center"/>
          </w:tcPr>
          <w:p>
            <w:pPr>
              <w:pStyle w:val="246"/>
              <w:rPr>
                <w:rFonts w:eastAsiaTheme="minorEastAsia"/>
                <w:color w:val="auto"/>
              </w:rPr>
            </w:pPr>
            <w:r>
              <w:rPr>
                <w:rFonts w:eastAsiaTheme="minorEastAsia"/>
                <w:color w:val="auto"/>
              </w:rPr>
              <w:t>设置1个临时堆土场，位于</w:t>
            </w:r>
            <w:r>
              <w:rPr>
                <w:rFonts w:hint="eastAsia" w:eastAsiaTheme="minorEastAsia"/>
                <w:color w:val="auto"/>
                <w:lang w:eastAsia="zh-CN"/>
              </w:rPr>
              <w:t>工业场地内偏西侧</w:t>
            </w:r>
            <w:r>
              <w:rPr>
                <w:rFonts w:eastAsiaTheme="minorEastAsia"/>
                <w:color w:val="auto"/>
              </w:rPr>
              <w:t>，占地面积为</w:t>
            </w:r>
            <w:r>
              <w:rPr>
                <w:rFonts w:hint="eastAsia" w:eastAsiaTheme="minorEastAsia"/>
                <w:color w:val="auto"/>
                <w:lang w:val="en-US" w:eastAsia="zh-CN"/>
              </w:rPr>
              <w:t>40</w:t>
            </w:r>
            <w:r>
              <w:rPr>
                <w:rFonts w:eastAsiaTheme="minorEastAsia"/>
                <w:color w:val="auto"/>
              </w:rPr>
              <w:t>m</w:t>
            </w:r>
            <w:r>
              <w:rPr>
                <w:rFonts w:eastAsiaTheme="minorEastAsia"/>
                <w:color w:val="auto"/>
                <w:vertAlign w:val="superscript"/>
              </w:rPr>
              <w:t>2</w:t>
            </w:r>
            <w:r>
              <w:rPr>
                <w:rFonts w:eastAsiaTheme="minorEastAsia"/>
                <w:color w:val="auto"/>
              </w:rPr>
              <w:t>，</w:t>
            </w:r>
            <w:r>
              <w:rPr>
                <w:rFonts w:hint="eastAsia" w:eastAsiaTheme="minorEastAsia"/>
                <w:color w:val="auto"/>
                <w:lang w:eastAsia="zh-CN"/>
              </w:rPr>
              <w:t>长</w:t>
            </w:r>
            <w:r>
              <w:rPr>
                <w:rFonts w:hint="eastAsia" w:eastAsiaTheme="minorEastAsia"/>
                <w:color w:val="auto"/>
                <w:lang w:val="en-US" w:eastAsia="zh-CN"/>
              </w:rPr>
              <w:t>10m</w:t>
            </w:r>
            <w:r>
              <w:rPr>
                <w:rFonts w:eastAsiaTheme="minorEastAsia"/>
                <w:color w:val="auto"/>
              </w:rPr>
              <w:t>、</w:t>
            </w:r>
            <w:r>
              <w:rPr>
                <w:rFonts w:hint="eastAsia" w:eastAsiaTheme="minorEastAsia"/>
                <w:color w:val="auto"/>
                <w:lang w:eastAsia="zh-CN"/>
              </w:rPr>
              <w:t>宽</w:t>
            </w:r>
            <w:r>
              <w:rPr>
                <w:rFonts w:hint="eastAsia" w:eastAsiaTheme="minorEastAsia"/>
                <w:color w:val="auto"/>
                <w:lang w:val="en-US" w:eastAsia="zh-CN"/>
              </w:rPr>
              <w:t>4m、</w:t>
            </w:r>
            <w:r>
              <w:rPr>
                <w:rFonts w:hint="eastAsia" w:eastAsiaTheme="minorEastAsia"/>
                <w:color w:val="auto"/>
                <w:lang w:eastAsia="zh-CN"/>
              </w:rPr>
              <w:t>堆高</w:t>
            </w:r>
            <w:r>
              <w:rPr>
                <w:rFonts w:hint="eastAsia" w:eastAsiaTheme="minorEastAsia"/>
                <w:color w:val="auto"/>
                <w:lang w:val="en-US" w:eastAsia="zh-CN"/>
              </w:rPr>
              <w:t>3m，</w:t>
            </w:r>
            <w:r>
              <w:rPr>
                <w:rFonts w:eastAsiaTheme="minorEastAsia"/>
                <w:color w:val="auto"/>
              </w:rPr>
              <w:t>设计容积</w:t>
            </w:r>
            <w:r>
              <w:rPr>
                <w:rFonts w:hint="eastAsia" w:eastAsiaTheme="minorEastAsia"/>
                <w:color w:val="auto"/>
                <w:lang w:val="en-US" w:eastAsia="zh-CN"/>
              </w:rPr>
              <w:t>37.5</w:t>
            </w:r>
            <w:r>
              <w:rPr>
                <w:rFonts w:eastAsiaTheme="minorEastAsia"/>
                <w:color w:val="auto"/>
              </w:rPr>
              <w:t>m</w:t>
            </w:r>
            <w:r>
              <w:rPr>
                <w:rFonts w:eastAsiaTheme="minorEastAsia"/>
                <w:color w:val="auto"/>
                <w:vertAlign w:val="superscript"/>
              </w:rPr>
              <w:t>3</w:t>
            </w:r>
            <w:r>
              <w:rPr>
                <w:rFonts w:eastAsiaTheme="minorEastAsia"/>
                <w:color w:val="auto"/>
              </w:rPr>
              <w:t xml:space="preserve"> ，矿体上方的土岩剥离暂存于临时堆土场，定期外售。</w:t>
            </w:r>
          </w:p>
        </w:tc>
        <w:tc>
          <w:tcPr>
            <w:tcW w:w="906" w:type="dxa"/>
            <w:shd w:val="clear" w:color="auto" w:fill="auto"/>
            <w:vAlign w:val="center"/>
          </w:tcPr>
          <w:p>
            <w:pPr>
              <w:pStyle w:val="246"/>
              <w:rPr>
                <w:rFonts w:eastAsiaTheme="minorEastAsia"/>
                <w:color w:val="auto"/>
              </w:rPr>
            </w:pPr>
            <w:r>
              <w:rPr>
                <w:rFonts w:eastAsiaTheme="minorEastAsia"/>
                <w:color w:val="auto"/>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9" w:hRule="atLeast"/>
          <w:jc w:val="center"/>
        </w:trPr>
        <w:tc>
          <w:tcPr>
            <w:tcW w:w="645" w:type="dxa"/>
            <w:vMerge w:val="continue"/>
            <w:shd w:val="clear" w:color="auto" w:fill="auto"/>
            <w:vAlign w:val="center"/>
          </w:tcPr>
          <w:p>
            <w:pPr>
              <w:pStyle w:val="246"/>
              <w:rPr>
                <w:rFonts w:eastAsiaTheme="minorEastAsia"/>
                <w:color w:val="auto"/>
              </w:rPr>
            </w:pPr>
          </w:p>
        </w:tc>
        <w:tc>
          <w:tcPr>
            <w:tcW w:w="914" w:type="dxa"/>
            <w:tcBorders>
              <w:top w:val="single" w:color="auto" w:sz="4" w:space="0"/>
              <w:bottom w:val="single" w:color="auto" w:sz="4" w:space="0"/>
            </w:tcBorders>
            <w:shd w:val="clear" w:color="auto" w:fill="auto"/>
            <w:vAlign w:val="center"/>
          </w:tcPr>
          <w:p>
            <w:pPr>
              <w:pStyle w:val="246"/>
              <w:rPr>
                <w:rFonts w:eastAsiaTheme="minorEastAsia"/>
                <w:color w:val="auto"/>
              </w:rPr>
            </w:pPr>
            <w:r>
              <w:rPr>
                <w:rFonts w:eastAsiaTheme="minorEastAsia"/>
                <w:color w:val="auto"/>
              </w:rPr>
              <w:t>成品料场</w:t>
            </w:r>
          </w:p>
        </w:tc>
        <w:tc>
          <w:tcPr>
            <w:tcW w:w="6068" w:type="dxa"/>
            <w:tcBorders>
              <w:top w:val="single" w:color="auto" w:sz="4" w:space="0"/>
              <w:bottom w:val="single" w:color="auto" w:sz="4" w:space="0"/>
            </w:tcBorders>
            <w:shd w:val="clear" w:color="auto" w:fill="auto"/>
            <w:vAlign w:val="center"/>
          </w:tcPr>
          <w:p>
            <w:pPr>
              <w:pStyle w:val="246"/>
              <w:rPr>
                <w:rFonts w:eastAsiaTheme="minorEastAsia"/>
                <w:color w:val="auto"/>
              </w:rPr>
            </w:pPr>
            <w:r>
              <w:rPr>
                <w:rFonts w:eastAsiaTheme="minorEastAsia"/>
                <w:color w:val="auto"/>
              </w:rPr>
              <w:t>设有一个成品堆场，位于破碎加工系统旁，长</w:t>
            </w:r>
            <w:r>
              <w:rPr>
                <w:rFonts w:hint="eastAsia" w:eastAsiaTheme="minorEastAsia"/>
                <w:color w:val="auto"/>
                <w:lang w:val="en-US" w:eastAsia="zh-CN"/>
              </w:rPr>
              <w:t>4</w:t>
            </w:r>
            <w:r>
              <w:rPr>
                <w:rFonts w:eastAsiaTheme="minorEastAsia"/>
                <w:color w:val="auto"/>
              </w:rPr>
              <w:t>0m、宽</w:t>
            </w:r>
            <w:r>
              <w:rPr>
                <w:rFonts w:hint="eastAsia" w:eastAsiaTheme="minorEastAsia"/>
                <w:color w:val="auto"/>
                <w:lang w:val="en-US" w:eastAsia="zh-CN"/>
              </w:rPr>
              <w:t>20</w:t>
            </w:r>
            <w:r>
              <w:rPr>
                <w:rFonts w:eastAsiaTheme="minorEastAsia"/>
                <w:color w:val="auto"/>
              </w:rPr>
              <w:t>m、面积约为</w:t>
            </w:r>
            <w:r>
              <w:rPr>
                <w:rFonts w:hint="eastAsia" w:eastAsiaTheme="minorEastAsia"/>
                <w:color w:val="auto"/>
                <w:lang w:val="en-US" w:eastAsia="zh-CN"/>
              </w:rPr>
              <w:t>800</w:t>
            </w:r>
            <w:r>
              <w:rPr>
                <w:rFonts w:eastAsiaTheme="minorEastAsia"/>
                <w:color w:val="auto"/>
              </w:rPr>
              <w:t>m</w:t>
            </w:r>
            <w:r>
              <w:rPr>
                <w:rFonts w:eastAsiaTheme="minorEastAsia"/>
                <w:color w:val="auto"/>
                <w:vertAlign w:val="superscript"/>
              </w:rPr>
              <w:t>2</w:t>
            </w:r>
            <w:r>
              <w:rPr>
                <w:rFonts w:eastAsiaTheme="minorEastAsia"/>
                <w:color w:val="auto"/>
              </w:rPr>
              <w:t xml:space="preserve">，用于开采加工后碎石的临时存储。 </w:t>
            </w:r>
          </w:p>
        </w:tc>
        <w:tc>
          <w:tcPr>
            <w:tcW w:w="906" w:type="dxa"/>
            <w:tcBorders>
              <w:top w:val="single" w:color="auto" w:sz="4" w:space="0"/>
              <w:bottom w:val="single" w:color="auto" w:sz="4" w:space="0"/>
            </w:tcBorders>
            <w:shd w:val="clear" w:color="auto" w:fill="auto"/>
            <w:vAlign w:val="center"/>
          </w:tcPr>
          <w:p>
            <w:pPr>
              <w:pStyle w:val="246"/>
              <w:rPr>
                <w:rFonts w:hint="eastAsia" w:eastAsiaTheme="minorEastAsia"/>
                <w:color w:val="auto"/>
                <w:lang w:eastAsia="zh-CN"/>
              </w:rPr>
            </w:pPr>
            <w:r>
              <w:rPr>
                <w:rFonts w:hint="eastAsia" w:eastAsiaTheme="minorEastAsia"/>
                <w:color w:val="auto"/>
                <w:lang w:eastAsia="zh-CN"/>
              </w:rPr>
              <w:t>已建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9" w:hRule="atLeast"/>
          <w:jc w:val="center"/>
        </w:trPr>
        <w:tc>
          <w:tcPr>
            <w:tcW w:w="645" w:type="dxa"/>
            <w:vMerge w:val="continue"/>
            <w:shd w:val="clear" w:color="auto" w:fill="auto"/>
            <w:vAlign w:val="center"/>
          </w:tcPr>
          <w:p>
            <w:pPr>
              <w:pStyle w:val="246"/>
              <w:rPr>
                <w:rFonts w:eastAsiaTheme="minorEastAsia"/>
                <w:color w:val="auto"/>
              </w:rPr>
            </w:pPr>
          </w:p>
        </w:tc>
        <w:tc>
          <w:tcPr>
            <w:tcW w:w="914" w:type="dxa"/>
            <w:tcBorders>
              <w:top w:val="single" w:color="auto" w:sz="4" w:space="0"/>
              <w:bottom w:val="single" w:color="auto" w:sz="4" w:space="0"/>
            </w:tcBorders>
            <w:shd w:val="clear" w:color="auto" w:fill="auto"/>
            <w:vAlign w:val="center"/>
          </w:tcPr>
          <w:p>
            <w:pPr>
              <w:pStyle w:val="246"/>
              <w:rPr>
                <w:rFonts w:eastAsiaTheme="minorEastAsia"/>
                <w:color w:val="auto"/>
              </w:rPr>
            </w:pPr>
            <w:r>
              <w:rPr>
                <w:rFonts w:eastAsiaTheme="minorEastAsia"/>
                <w:color w:val="auto"/>
              </w:rPr>
              <w:t>原矿堆场</w:t>
            </w:r>
          </w:p>
        </w:tc>
        <w:tc>
          <w:tcPr>
            <w:tcW w:w="6068" w:type="dxa"/>
            <w:tcBorders>
              <w:top w:val="single" w:color="auto" w:sz="4" w:space="0"/>
              <w:bottom w:val="single" w:color="auto" w:sz="4" w:space="0"/>
            </w:tcBorders>
            <w:shd w:val="clear" w:color="auto" w:fill="auto"/>
            <w:vAlign w:val="center"/>
          </w:tcPr>
          <w:p>
            <w:pPr>
              <w:pStyle w:val="246"/>
              <w:rPr>
                <w:rFonts w:eastAsiaTheme="minorEastAsia"/>
                <w:color w:val="auto"/>
              </w:rPr>
            </w:pPr>
            <w:r>
              <w:rPr>
                <w:rFonts w:eastAsiaTheme="minorEastAsia"/>
                <w:color w:val="auto"/>
              </w:rPr>
              <w:t>设有一个原矿堆场，位于开采区与加工区之间，长25m、宽20m、面积约为500m</w:t>
            </w:r>
            <w:r>
              <w:rPr>
                <w:rFonts w:eastAsiaTheme="minorEastAsia"/>
                <w:color w:val="auto"/>
                <w:vertAlign w:val="superscript"/>
              </w:rPr>
              <w:t>2</w:t>
            </w:r>
            <w:r>
              <w:rPr>
                <w:rFonts w:eastAsiaTheme="minorEastAsia"/>
                <w:color w:val="auto"/>
              </w:rPr>
              <w:t>，用于开采原料矿临时存储。</w:t>
            </w:r>
          </w:p>
        </w:tc>
        <w:tc>
          <w:tcPr>
            <w:tcW w:w="906" w:type="dxa"/>
            <w:tcBorders>
              <w:top w:val="single" w:color="auto" w:sz="4" w:space="0"/>
              <w:bottom w:val="single" w:color="auto" w:sz="4" w:space="0"/>
            </w:tcBorders>
            <w:shd w:val="clear" w:color="auto" w:fill="auto"/>
            <w:vAlign w:val="center"/>
          </w:tcPr>
          <w:p>
            <w:pPr>
              <w:pStyle w:val="246"/>
              <w:rPr>
                <w:rFonts w:eastAsiaTheme="minorEastAsia"/>
                <w:color w:val="auto"/>
              </w:rPr>
            </w:pPr>
            <w:r>
              <w:rPr>
                <w:rFonts w:eastAsiaTheme="minorEastAsia"/>
                <w:color w:val="auto"/>
              </w:rPr>
              <w:t>已建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9" w:hRule="atLeast"/>
          <w:jc w:val="center"/>
        </w:trPr>
        <w:tc>
          <w:tcPr>
            <w:tcW w:w="645" w:type="dxa"/>
            <w:vMerge w:val="continue"/>
            <w:shd w:val="clear" w:color="auto" w:fill="auto"/>
            <w:vAlign w:val="center"/>
          </w:tcPr>
          <w:p>
            <w:pPr>
              <w:pStyle w:val="246"/>
              <w:rPr>
                <w:rFonts w:eastAsiaTheme="minorEastAsia"/>
                <w:color w:val="auto"/>
              </w:rPr>
            </w:pPr>
          </w:p>
        </w:tc>
        <w:tc>
          <w:tcPr>
            <w:tcW w:w="914" w:type="dxa"/>
            <w:tcBorders>
              <w:top w:val="single" w:color="auto" w:sz="4" w:space="0"/>
              <w:bottom w:val="single" w:color="auto" w:sz="4" w:space="0"/>
            </w:tcBorders>
            <w:shd w:val="clear" w:color="auto" w:fill="auto"/>
            <w:vAlign w:val="center"/>
          </w:tcPr>
          <w:p>
            <w:pPr>
              <w:pStyle w:val="246"/>
              <w:rPr>
                <w:rFonts w:eastAsiaTheme="minorEastAsia"/>
                <w:color w:val="auto"/>
              </w:rPr>
            </w:pPr>
            <w:r>
              <w:rPr>
                <w:rFonts w:eastAsiaTheme="minorEastAsia"/>
                <w:color w:val="auto"/>
              </w:rPr>
              <w:t>石粉仓</w:t>
            </w:r>
          </w:p>
        </w:tc>
        <w:tc>
          <w:tcPr>
            <w:tcW w:w="6068" w:type="dxa"/>
            <w:tcBorders>
              <w:top w:val="single" w:color="auto" w:sz="4" w:space="0"/>
              <w:bottom w:val="single" w:color="auto" w:sz="4" w:space="0"/>
            </w:tcBorders>
            <w:shd w:val="clear" w:color="auto" w:fill="auto"/>
            <w:vAlign w:val="center"/>
          </w:tcPr>
          <w:p>
            <w:pPr>
              <w:pStyle w:val="246"/>
              <w:rPr>
                <w:rFonts w:eastAsiaTheme="minorEastAsia"/>
                <w:color w:val="auto"/>
              </w:rPr>
            </w:pPr>
            <w:r>
              <w:rPr>
                <w:rFonts w:eastAsiaTheme="minorEastAsia"/>
                <w:color w:val="auto"/>
              </w:rPr>
              <w:t>设有一个</w:t>
            </w:r>
            <w:r>
              <w:rPr>
                <w:rFonts w:hint="eastAsia" w:eastAsiaTheme="minorEastAsia"/>
                <w:color w:val="auto"/>
                <w:lang w:eastAsia="zh-CN"/>
              </w:rPr>
              <w:t>石粉仓</w:t>
            </w:r>
            <w:r>
              <w:rPr>
                <w:rFonts w:eastAsiaTheme="minorEastAsia"/>
                <w:color w:val="auto"/>
              </w:rPr>
              <w:t>，位于破碎加工系统旁，长10m、宽5m、面积约为50m</w:t>
            </w:r>
            <w:r>
              <w:rPr>
                <w:rFonts w:eastAsiaTheme="minorEastAsia"/>
                <w:color w:val="auto"/>
                <w:vertAlign w:val="superscript"/>
              </w:rPr>
              <w:t>2</w:t>
            </w:r>
            <w:r>
              <w:rPr>
                <w:rFonts w:eastAsiaTheme="minorEastAsia"/>
                <w:color w:val="auto"/>
              </w:rPr>
              <w:t>，用于石粉储存。</w:t>
            </w:r>
          </w:p>
        </w:tc>
        <w:tc>
          <w:tcPr>
            <w:tcW w:w="906" w:type="dxa"/>
            <w:tcBorders>
              <w:top w:val="single" w:color="auto" w:sz="4" w:space="0"/>
              <w:bottom w:val="single" w:color="auto" w:sz="4" w:space="0"/>
            </w:tcBorders>
            <w:shd w:val="clear" w:color="auto" w:fill="auto"/>
            <w:vAlign w:val="center"/>
          </w:tcPr>
          <w:p>
            <w:pPr>
              <w:pStyle w:val="246"/>
              <w:rPr>
                <w:rFonts w:eastAsiaTheme="minorEastAsia"/>
                <w:color w:val="auto"/>
              </w:rPr>
            </w:pPr>
            <w:r>
              <w:rPr>
                <w:rFonts w:eastAsiaTheme="minorEastAsia"/>
                <w:color w:val="auto"/>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9" w:hRule="atLeast"/>
          <w:jc w:val="center"/>
        </w:trPr>
        <w:tc>
          <w:tcPr>
            <w:tcW w:w="645" w:type="dxa"/>
            <w:vMerge w:val="continue"/>
            <w:shd w:val="clear" w:color="auto" w:fill="auto"/>
            <w:vAlign w:val="center"/>
          </w:tcPr>
          <w:p>
            <w:pPr>
              <w:pStyle w:val="246"/>
              <w:rPr>
                <w:rFonts w:eastAsiaTheme="minorEastAsia"/>
                <w:color w:val="auto"/>
              </w:rPr>
            </w:pPr>
          </w:p>
        </w:tc>
        <w:tc>
          <w:tcPr>
            <w:tcW w:w="914" w:type="dxa"/>
            <w:tcBorders>
              <w:top w:val="single" w:color="auto" w:sz="4" w:space="0"/>
              <w:bottom w:val="single" w:color="auto" w:sz="4" w:space="0"/>
            </w:tcBorders>
            <w:shd w:val="clear" w:color="auto" w:fill="auto"/>
            <w:vAlign w:val="center"/>
          </w:tcPr>
          <w:p>
            <w:pPr>
              <w:pStyle w:val="246"/>
              <w:rPr>
                <w:rFonts w:eastAsiaTheme="minorEastAsia"/>
                <w:color w:val="auto"/>
              </w:rPr>
            </w:pPr>
            <w:r>
              <w:rPr>
                <w:rFonts w:eastAsiaTheme="minorEastAsia"/>
                <w:color w:val="auto"/>
              </w:rPr>
              <w:t>办公室</w:t>
            </w:r>
          </w:p>
        </w:tc>
        <w:tc>
          <w:tcPr>
            <w:tcW w:w="6068" w:type="dxa"/>
            <w:tcBorders>
              <w:top w:val="single" w:color="auto" w:sz="4" w:space="0"/>
              <w:bottom w:val="single" w:color="auto" w:sz="4" w:space="0"/>
            </w:tcBorders>
            <w:shd w:val="clear" w:color="auto" w:fill="auto"/>
            <w:vAlign w:val="center"/>
          </w:tcPr>
          <w:p>
            <w:pPr>
              <w:pStyle w:val="246"/>
              <w:rPr>
                <w:rFonts w:eastAsiaTheme="minorEastAsia"/>
                <w:color w:val="auto"/>
              </w:rPr>
            </w:pPr>
            <w:r>
              <w:rPr>
                <w:rFonts w:eastAsiaTheme="minorEastAsia"/>
                <w:color w:val="auto"/>
              </w:rPr>
              <w:t>1</w:t>
            </w:r>
            <w:r>
              <w:rPr>
                <w:rFonts w:hint="eastAsia" w:eastAsiaTheme="minorEastAsia"/>
                <w:color w:val="auto"/>
                <w:lang w:eastAsia="zh-CN"/>
              </w:rPr>
              <w:t>座</w:t>
            </w:r>
            <w:r>
              <w:rPr>
                <w:rFonts w:eastAsiaTheme="minorEastAsia"/>
                <w:color w:val="auto"/>
              </w:rPr>
              <w:t>办公室，建筑面积</w:t>
            </w:r>
            <w:r>
              <w:rPr>
                <w:rFonts w:hint="eastAsia" w:eastAsiaTheme="minorEastAsia"/>
                <w:color w:val="auto"/>
                <w:lang w:val="en-US" w:eastAsia="zh-CN"/>
              </w:rPr>
              <w:t>40</w:t>
            </w:r>
            <w:r>
              <w:rPr>
                <w:rFonts w:eastAsiaTheme="minorEastAsia"/>
                <w:color w:val="auto"/>
              </w:rPr>
              <w:t>m</w:t>
            </w:r>
            <w:r>
              <w:rPr>
                <w:rFonts w:eastAsiaTheme="minorEastAsia"/>
                <w:color w:val="auto"/>
                <w:vertAlign w:val="superscript"/>
              </w:rPr>
              <w:t>2</w:t>
            </w:r>
            <w:r>
              <w:rPr>
                <w:rFonts w:eastAsiaTheme="minorEastAsia"/>
                <w:color w:val="auto"/>
              </w:rPr>
              <w:t>，危废暂存间位于其中，建筑面积5m</w:t>
            </w:r>
            <w:r>
              <w:rPr>
                <w:rFonts w:eastAsiaTheme="minorEastAsia"/>
                <w:color w:val="auto"/>
                <w:vertAlign w:val="superscript"/>
              </w:rPr>
              <w:t>2</w:t>
            </w:r>
          </w:p>
        </w:tc>
        <w:tc>
          <w:tcPr>
            <w:tcW w:w="906" w:type="dxa"/>
            <w:tcBorders>
              <w:top w:val="single" w:color="auto" w:sz="4" w:space="0"/>
              <w:bottom w:val="single" w:color="auto" w:sz="4" w:space="0"/>
            </w:tcBorders>
            <w:shd w:val="clear" w:color="auto" w:fill="auto"/>
            <w:vAlign w:val="center"/>
          </w:tcPr>
          <w:p>
            <w:pPr>
              <w:pStyle w:val="246"/>
              <w:rPr>
                <w:rFonts w:eastAsiaTheme="minorEastAsia"/>
                <w:color w:val="auto"/>
              </w:rPr>
            </w:pPr>
            <w:r>
              <w:rPr>
                <w:rFonts w:eastAsiaTheme="minorEastAsia"/>
                <w:color w:val="auto"/>
              </w:rPr>
              <w:t>已建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9" w:hRule="atLeast"/>
          <w:jc w:val="center"/>
        </w:trPr>
        <w:tc>
          <w:tcPr>
            <w:tcW w:w="645" w:type="dxa"/>
            <w:vMerge w:val="continue"/>
            <w:shd w:val="clear" w:color="auto" w:fill="auto"/>
            <w:vAlign w:val="center"/>
          </w:tcPr>
          <w:p>
            <w:pPr>
              <w:pStyle w:val="246"/>
              <w:rPr>
                <w:rFonts w:eastAsiaTheme="minorEastAsia"/>
                <w:color w:val="auto"/>
              </w:rPr>
            </w:pPr>
          </w:p>
        </w:tc>
        <w:tc>
          <w:tcPr>
            <w:tcW w:w="914" w:type="dxa"/>
            <w:tcBorders>
              <w:top w:val="single" w:color="auto" w:sz="4" w:space="0"/>
              <w:bottom w:val="single" w:color="auto" w:sz="4" w:space="0"/>
            </w:tcBorders>
            <w:shd w:val="clear" w:color="auto" w:fill="auto"/>
            <w:vAlign w:val="center"/>
          </w:tcPr>
          <w:p>
            <w:pPr>
              <w:pStyle w:val="246"/>
              <w:rPr>
                <w:rFonts w:hint="eastAsia" w:eastAsiaTheme="minorEastAsia"/>
                <w:color w:val="auto"/>
                <w:lang w:val="en-US" w:eastAsia="zh-CN"/>
              </w:rPr>
            </w:pPr>
            <w:r>
              <w:rPr>
                <w:rFonts w:hint="eastAsia" w:eastAsiaTheme="minorEastAsia"/>
                <w:color w:val="auto"/>
                <w:lang w:val="en-US" w:eastAsia="zh-CN"/>
              </w:rPr>
              <w:t>车库</w:t>
            </w:r>
          </w:p>
        </w:tc>
        <w:tc>
          <w:tcPr>
            <w:tcW w:w="6068" w:type="dxa"/>
            <w:tcBorders>
              <w:top w:val="single" w:color="auto" w:sz="4" w:space="0"/>
              <w:bottom w:val="single" w:color="auto" w:sz="4" w:space="0"/>
            </w:tcBorders>
            <w:shd w:val="clear" w:color="auto" w:fill="auto"/>
            <w:vAlign w:val="center"/>
          </w:tcPr>
          <w:p>
            <w:pPr>
              <w:pStyle w:val="246"/>
              <w:rPr>
                <w:rFonts w:eastAsiaTheme="minorEastAsia"/>
                <w:color w:val="auto"/>
              </w:rPr>
            </w:pPr>
            <w:r>
              <w:rPr>
                <w:rFonts w:eastAsiaTheme="minorEastAsia"/>
                <w:color w:val="auto"/>
              </w:rPr>
              <w:t>1栋，</w:t>
            </w:r>
            <w:r>
              <w:rPr>
                <w:rFonts w:eastAsiaTheme="minorEastAsia"/>
                <w:color w:val="auto"/>
              </w:rPr>
              <w:t>建筑面积</w:t>
            </w:r>
            <w:r>
              <w:rPr>
                <w:rFonts w:hint="eastAsia" w:eastAsiaTheme="minorEastAsia"/>
                <w:color w:val="auto"/>
                <w:lang w:val="en-US" w:eastAsia="zh-CN"/>
              </w:rPr>
              <w:t>4</w:t>
            </w:r>
            <w:r>
              <w:rPr>
                <w:rFonts w:eastAsiaTheme="minorEastAsia"/>
                <w:color w:val="auto"/>
              </w:rPr>
              <w:t>0m</w:t>
            </w:r>
            <w:r>
              <w:rPr>
                <w:rFonts w:eastAsiaTheme="minorEastAsia"/>
                <w:color w:val="auto"/>
                <w:vertAlign w:val="superscript"/>
              </w:rPr>
              <w:t>2</w:t>
            </w:r>
          </w:p>
        </w:tc>
        <w:tc>
          <w:tcPr>
            <w:tcW w:w="906" w:type="dxa"/>
            <w:tcBorders>
              <w:top w:val="single" w:color="auto" w:sz="4" w:space="0"/>
              <w:bottom w:val="single" w:color="auto" w:sz="4" w:space="0"/>
            </w:tcBorders>
            <w:shd w:val="clear" w:color="auto" w:fill="auto"/>
            <w:vAlign w:val="center"/>
          </w:tcPr>
          <w:p>
            <w:pPr>
              <w:pStyle w:val="246"/>
              <w:rPr>
                <w:rFonts w:eastAsiaTheme="minorEastAsia"/>
                <w:color w:val="auto"/>
              </w:rPr>
            </w:pPr>
            <w:r>
              <w:rPr>
                <w:rFonts w:eastAsiaTheme="minorEastAsia"/>
                <w:color w:val="auto"/>
              </w:rPr>
              <w:t>已建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9" w:hRule="atLeast"/>
          <w:jc w:val="center"/>
        </w:trPr>
        <w:tc>
          <w:tcPr>
            <w:tcW w:w="645" w:type="dxa"/>
            <w:vMerge w:val="restart"/>
            <w:tcBorders>
              <w:top w:val="single" w:color="auto" w:sz="4" w:space="0"/>
            </w:tcBorders>
            <w:shd w:val="clear" w:color="auto" w:fill="auto"/>
            <w:vAlign w:val="center"/>
          </w:tcPr>
          <w:p>
            <w:pPr>
              <w:pStyle w:val="246"/>
              <w:rPr>
                <w:rFonts w:eastAsiaTheme="minorEastAsia"/>
                <w:color w:val="auto"/>
              </w:rPr>
            </w:pPr>
            <w:r>
              <w:rPr>
                <w:rFonts w:eastAsiaTheme="minorEastAsia"/>
                <w:color w:val="auto"/>
              </w:rPr>
              <w:t>储运工程</w:t>
            </w:r>
          </w:p>
        </w:tc>
        <w:tc>
          <w:tcPr>
            <w:tcW w:w="914" w:type="dxa"/>
            <w:tcBorders>
              <w:top w:val="single" w:color="auto" w:sz="4" w:space="0"/>
              <w:bottom w:val="single" w:color="auto" w:sz="4" w:space="0"/>
            </w:tcBorders>
            <w:shd w:val="clear" w:color="auto" w:fill="auto"/>
            <w:vAlign w:val="center"/>
          </w:tcPr>
          <w:p>
            <w:pPr>
              <w:pStyle w:val="246"/>
              <w:rPr>
                <w:rFonts w:eastAsiaTheme="minorEastAsia"/>
                <w:color w:val="auto"/>
              </w:rPr>
            </w:pPr>
            <w:r>
              <w:rPr>
                <w:rFonts w:eastAsiaTheme="minorEastAsia"/>
                <w:color w:val="auto"/>
              </w:rPr>
              <w:t>矿区运输道路</w:t>
            </w:r>
          </w:p>
        </w:tc>
        <w:tc>
          <w:tcPr>
            <w:tcW w:w="6068" w:type="dxa"/>
            <w:tcBorders>
              <w:top w:val="single" w:color="auto" w:sz="4" w:space="0"/>
              <w:bottom w:val="single" w:color="auto" w:sz="4" w:space="0"/>
            </w:tcBorders>
            <w:shd w:val="clear" w:color="auto" w:fill="auto"/>
            <w:vAlign w:val="center"/>
          </w:tcPr>
          <w:p>
            <w:pPr>
              <w:pStyle w:val="246"/>
              <w:rPr>
                <w:rFonts w:eastAsiaTheme="minorEastAsia"/>
                <w:color w:val="auto"/>
              </w:rPr>
            </w:pPr>
            <w:r>
              <w:rPr>
                <w:rFonts w:eastAsiaTheme="minorEastAsia"/>
                <w:color w:val="auto"/>
              </w:rPr>
              <w:t>采用汽车运输，矿石采用自卸汽车运输方式，运输道路长约</w:t>
            </w:r>
            <w:r>
              <w:rPr>
                <w:rFonts w:hint="eastAsia" w:eastAsiaTheme="minorEastAsia"/>
                <w:color w:val="auto"/>
                <w:lang w:val="en-US" w:eastAsia="zh-CN"/>
              </w:rPr>
              <w:t>0.38</w:t>
            </w:r>
            <w:r>
              <w:rPr>
                <w:rFonts w:eastAsiaTheme="minorEastAsia"/>
                <w:color w:val="auto"/>
              </w:rPr>
              <w:t>km。现有12m宽砂石道路，运输量</w:t>
            </w:r>
            <w:r>
              <w:rPr>
                <w:rFonts w:hint="eastAsia" w:eastAsiaTheme="minorEastAsia"/>
                <w:color w:val="auto"/>
                <w:lang w:val="en-US" w:eastAsia="zh-CN"/>
              </w:rPr>
              <w:t>26</w:t>
            </w:r>
            <w:r>
              <w:rPr>
                <w:rFonts w:eastAsiaTheme="minorEastAsia"/>
                <w:color w:val="auto"/>
              </w:rPr>
              <w:t>t/次，运输次数约为3125次/a</w:t>
            </w:r>
          </w:p>
        </w:tc>
        <w:tc>
          <w:tcPr>
            <w:tcW w:w="906" w:type="dxa"/>
            <w:tcBorders>
              <w:top w:val="single" w:color="auto" w:sz="4" w:space="0"/>
              <w:bottom w:val="single" w:color="auto" w:sz="4" w:space="0"/>
            </w:tcBorders>
            <w:shd w:val="clear" w:color="auto" w:fill="auto"/>
            <w:vAlign w:val="center"/>
          </w:tcPr>
          <w:p>
            <w:pPr>
              <w:pStyle w:val="246"/>
              <w:rPr>
                <w:rFonts w:eastAsiaTheme="minorEastAsia"/>
                <w:color w:val="auto"/>
              </w:rPr>
            </w:pPr>
            <w:r>
              <w:rPr>
                <w:rFonts w:eastAsiaTheme="minorEastAsia"/>
                <w:color w:val="auto"/>
              </w:rPr>
              <w:t>已建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9" w:hRule="atLeast"/>
          <w:jc w:val="center"/>
        </w:trPr>
        <w:tc>
          <w:tcPr>
            <w:tcW w:w="645" w:type="dxa"/>
            <w:vMerge w:val="continue"/>
            <w:shd w:val="clear" w:color="auto" w:fill="auto"/>
            <w:vAlign w:val="center"/>
          </w:tcPr>
          <w:p>
            <w:pPr>
              <w:pStyle w:val="246"/>
              <w:rPr>
                <w:rFonts w:eastAsiaTheme="minorEastAsia"/>
                <w:color w:val="auto"/>
                <w:highlight w:val="none"/>
              </w:rPr>
            </w:pPr>
          </w:p>
        </w:tc>
        <w:tc>
          <w:tcPr>
            <w:tcW w:w="914" w:type="dxa"/>
            <w:tcBorders>
              <w:top w:val="single" w:color="auto" w:sz="4" w:space="0"/>
              <w:bottom w:val="single" w:color="auto" w:sz="4" w:space="0"/>
            </w:tcBorders>
            <w:shd w:val="clear" w:color="auto" w:fill="auto"/>
            <w:vAlign w:val="center"/>
          </w:tcPr>
          <w:p>
            <w:pPr>
              <w:pStyle w:val="246"/>
              <w:rPr>
                <w:rFonts w:eastAsiaTheme="minorEastAsia"/>
                <w:color w:val="auto"/>
                <w:highlight w:val="none"/>
              </w:rPr>
            </w:pPr>
            <w:r>
              <w:rPr>
                <w:rFonts w:eastAsiaTheme="minorEastAsia"/>
                <w:color w:val="auto"/>
                <w:highlight w:val="none"/>
              </w:rPr>
              <w:t>危险废物暂存间</w:t>
            </w:r>
          </w:p>
        </w:tc>
        <w:tc>
          <w:tcPr>
            <w:tcW w:w="6068" w:type="dxa"/>
            <w:tcBorders>
              <w:top w:val="single" w:color="auto" w:sz="4" w:space="0"/>
              <w:bottom w:val="single" w:color="auto" w:sz="4" w:space="0"/>
            </w:tcBorders>
            <w:shd w:val="clear" w:color="auto" w:fill="auto"/>
            <w:vAlign w:val="center"/>
          </w:tcPr>
          <w:p>
            <w:pPr>
              <w:pStyle w:val="246"/>
              <w:rPr>
                <w:rFonts w:eastAsiaTheme="minorEastAsia"/>
                <w:color w:val="auto"/>
                <w:highlight w:val="none"/>
              </w:rPr>
            </w:pPr>
            <w:r>
              <w:rPr>
                <w:rFonts w:eastAsiaTheme="minorEastAsia"/>
                <w:color w:val="auto"/>
                <w:highlight w:val="none"/>
              </w:rPr>
              <w:t>危废暂存间位于办公室北侧，危险废物暂存间采用高密度聚乙烯</w:t>
            </w:r>
          </w:p>
          <w:p>
            <w:pPr>
              <w:pStyle w:val="246"/>
              <w:rPr>
                <w:rFonts w:eastAsiaTheme="minorEastAsia"/>
                <w:color w:val="auto"/>
                <w:highlight w:val="none"/>
              </w:rPr>
            </w:pPr>
            <w:r>
              <w:rPr>
                <w:rFonts w:eastAsiaTheme="minorEastAsia"/>
                <w:color w:val="auto"/>
                <w:highlight w:val="none"/>
              </w:rPr>
              <w:t>土工膜（HDPE）进行防渗，其渗透系数不大于 1.0×10</w:t>
            </w:r>
            <w:r>
              <w:rPr>
                <w:rFonts w:eastAsiaTheme="minorEastAsia"/>
                <w:color w:val="auto"/>
                <w:highlight w:val="none"/>
                <w:vertAlign w:val="superscript"/>
              </w:rPr>
              <w:t>-10</w:t>
            </w:r>
            <w:r>
              <w:rPr>
                <w:rFonts w:eastAsiaTheme="minorEastAsia"/>
                <w:color w:val="auto"/>
                <w:highlight w:val="none"/>
              </w:rPr>
              <w:t>cm/s，厚</w:t>
            </w:r>
          </w:p>
          <w:p>
            <w:pPr>
              <w:pStyle w:val="246"/>
              <w:rPr>
                <w:rFonts w:eastAsiaTheme="minorEastAsia"/>
                <w:color w:val="auto"/>
                <w:highlight w:val="none"/>
              </w:rPr>
            </w:pPr>
            <w:r>
              <w:rPr>
                <w:rFonts w:eastAsiaTheme="minorEastAsia"/>
                <w:color w:val="auto"/>
                <w:highlight w:val="none"/>
              </w:rPr>
              <w:t>度不小于 1.5mm。HDPE 材料必须是优质品，禁止使用再生产品</w:t>
            </w:r>
          </w:p>
        </w:tc>
        <w:tc>
          <w:tcPr>
            <w:tcW w:w="906" w:type="dxa"/>
            <w:tcBorders>
              <w:top w:val="single" w:color="auto" w:sz="4" w:space="0"/>
              <w:bottom w:val="single" w:color="auto" w:sz="4" w:space="0"/>
            </w:tcBorders>
            <w:shd w:val="clear" w:color="auto" w:fill="auto"/>
            <w:vAlign w:val="center"/>
          </w:tcPr>
          <w:p>
            <w:pPr>
              <w:pStyle w:val="246"/>
              <w:rPr>
                <w:rFonts w:eastAsiaTheme="minorEastAsia"/>
                <w:color w:val="auto"/>
                <w:highlight w:val="none"/>
              </w:rPr>
            </w:pPr>
            <w:r>
              <w:rPr>
                <w:rFonts w:eastAsiaTheme="minorEastAsia"/>
                <w:color w:val="auto"/>
                <w:highlight w:val="none"/>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758" w:hRule="atLeast"/>
          <w:jc w:val="center"/>
        </w:trPr>
        <w:tc>
          <w:tcPr>
            <w:tcW w:w="645" w:type="dxa"/>
            <w:vMerge w:val="restart"/>
            <w:shd w:val="clear" w:color="auto" w:fill="auto"/>
            <w:vAlign w:val="center"/>
          </w:tcPr>
          <w:p>
            <w:pPr>
              <w:pStyle w:val="246"/>
              <w:rPr>
                <w:rFonts w:eastAsiaTheme="minorEastAsia"/>
                <w:color w:val="auto"/>
              </w:rPr>
            </w:pPr>
            <w:r>
              <w:rPr>
                <w:rFonts w:eastAsiaTheme="minorEastAsia"/>
                <w:color w:val="auto"/>
              </w:rPr>
              <w:t>公用</w:t>
            </w:r>
          </w:p>
          <w:p>
            <w:pPr>
              <w:pStyle w:val="246"/>
              <w:rPr>
                <w:rFonts w:eastAsiaTheme="minorEastAsia"/>
                <w:color w:val="auto"/>
              </w:rPr>
            </w:pPr>
            <w:r>
              <w:rPr>
                <w:rFonts w:eastAsiaTheme="minorEastAsia"/>
                <w:color w:val="auto"/>
              </w:rPr>
              <w:t>工程</w:t>
            </w:r>
          </w:p>
        </w:tc>
        <w:tc>
          <w:tcPr>
            <w:tcW w:w="914" w:type="dxa"/>
            <w:shd w:val="clear" w:color="auto" w:fill="auto"/>
            <w:vAlign w:val="center"/>
          </w:tcPr>
          <w:p>
            <w:pPr>
              <w:pStyle w:val="246"/>
              <w:rPr>
                <w:rFonts w:eastAsiaTheme="minorEastAsia"/>
                <w:color w:val="auto"/>
              </w:rPr>
            </w:pPr>
            <w:r>
              <w:rPr>
                <w:rFonts w:eastAsiaTheme="minorEastAsia"/>
                <w:color w:val="auto"/>
              </w:rPr>
              <w:t>给水</w:t>
            </w:r>
          </w:p>
        </w:tc>
        <w:tc>
          <w:tcPr>
            <w:tcW w:w="6068" w:type="dxa"/>
            <w:shd w:val="clear" w:color="auto" w:fill="auto"/>
            <w:vAlign w:val="center"/>
          </w:tcPr>
          <w:p>
            <w:pPr>
              <w:pStyle w:val="246"/>
              <w:rPr>
                <w:rFonts w:eastAsiaTheme="minorEastAsia"/>
                <w:color w:val="auto"/>
              </w:rPr>
            </w:pPr>
            <w:r>
              <w:rPr>
                <w:rFonts w:eastAsiaTheme="minorEastAsia"/>
                <w:color w:val="auto"/>
              </w:rPr>
              <w:t>采石场内设有一口深</w:t>
            </w:r>
            <w:r>
              <w:rPr>
                <w:rFonts w:hint="eastAsia" w:eastAsiaTheme="minorEastAsia"/>
                <w:color w:val="auto"/>
                <w:lang w:val="en-US" w:eastAsia="zh-CN"/>
              </w:rPr>
              <w:t>100</w:t>
            </w:r>
            <w:r>
              <w:rPr>
                <w:rFonts w:eastAsiaTheme="minorEastAsia"/>
                <w:color w:val="auto"/>
              </w:rPr>
              <w:t>m的水井，为本项目提供生活和生产用水</w:t>
            </w:r>
          </w:p>
        </w:tc>
        <w:tc>
          <w:tcPr>
            <w:tcW w:w="906" w:type="dxa"/>
            <w:shd w:val="clear" w:color="auto" w:fill="auto"/>
            <w:vAlign w:val="center"/>
          </w:tcPr>
          <w:p>
            <w:pPr>
              <w:pStyle w:val="246"/>
              <w:rPr>
                <w:rFonts w:eastAsiaTheme="minorEastAsia"/>
                <w:color w:val="auto"/>
              </w:rPr>
            </w:pPr>
            <w:r>
              <w:rPr>
                <w:rFonts w:eastAsiaTheme="minorEastAsia"/>
                <w:color w:val="auto"/>
              </w:rPr>
              <w:t>已建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jc w:val="center"/>
        </w:trPr>
        <w:tc>
          <w:tcPr>
            <w:tcW w:w="645" w:type="dxa"/>
            <w:vMerge w:val="continue"/>
            <w:shd w:val="clear" w:color="auto" w:fill="auto"/>
            <w:vAlign w:val="center"/>
          </w:tcPr>
          <w:p>
            <w:pPr>
              <w:pStyle w:val="246"/>
              <w:rPr>
                <w:rFonts w:eastAsiaTheme="minorEastAsia"/>
                <w:color w:val="auto"/>
                <w:sz w:val="18"/>
                <w:szCs w:val="18"/>
              </w:rPr>
            </w:pPr>
          </w:p>
        </w:tc>
        <w:tc>
          <w:tcPr>
            <w:tcW w:w="914" w:type="dxa"/>
            <w:shd w:val="clear" w:color="auto" w:fill="auto"/>
            <w:vAlign w:val="center"/>
          </w:tcPr>
          <w:p>
            <w:pPr>
              <w:pStyle w:val="246"/>
              <w:rPr>
                <w:rFonts w:eastAsiaTheme="minorEastAsia"/>
                <w:color w:val="auto"/>
              </w:rPr>
            </w:pPr>
            <w:r>
              <w:rPr>
                <w:rFonts w:eastAsiaTheme="minorEastAsia"/>
                <w:color w:val="auto"/>
              </w:rPr>
              <w:t>排水</w:t>
            </w:r>
          </w:p>
        </w:tc>
        <w:tc>
          <w:tcPr>
            <w:tcW w:w="6068" w:type="dxa"/>
            <w:shd w:val="clear" w:color="auto" w:fill="auto"/>
            <w:vAlign w:val="center"/>
          </w:tcPr>
          <w:p>
            <w:pPr>
              <w:pStyle w:val="246"/>
              <w:rPr>
                <w:rFonts w:eastAsiaTheme="minorEastAsia"/>
                <w:color w:val="auto"/>
              </w:rPr>
            </w:pPr>
            <w:r>
              <w:rPr>
                <w:rFonts w:eastAsiaTheme="minorEastAsia"/>
                <w:color w:val="auto"/>
              </w:rPr>
              <w:t>采矿境界汇水上方</w:t>
            </w:r>
            <w:r>
              <w:rPr>
                <w:rFonts w:hint="eastAsia" w:eastAsiaTheme="minorEastAsia"/>
                <w:color w:val="auto"/>
                <w:lang w:eastAsia="zh-CN"/>
              </w:rPr>
              <w:t>设置</w:t>
            </w:r>
            <w:r>
              <w:rPr>
                <w:rFonts w:eastAsiaTheme="minorEastAsia"/>
                <w:color w:val="auto"/>
              </w:rPr>
              <w:t>截流沟</w:t>
            </w:r>
            <w:r>
              <w:rPr>
                <w:rFonts w:hint="eastAsia" w:eastAsiaTheme="minorEastAsia"/>
                <w:color w:val="auto"/>
                <w:lang w:eastAsia="zh-CN"/>
              </w:rPr>
              <w:t>和</w:t>
            </w:r>
            <w:r>
              <w:rPr>
                <w:rFonts w:eastAsiaTheme="minorEastAsia"/>
                <w:color w:val="auto"/>
              </w:rPr>
              <w:t>导流渠，矿区汇水经导流渠汇入</w:t>
            </w:r>
            <w:r>
              <w:rPr>
                <w:rFonts w:hint="eastAsia" w:eastAsiaTheme="minorEastAsia"/>
                <w:color w:val="auto"/>
                <w:lang w:eastAsia="zh-CN"/>
              </w:rPr>
              <w:t>采场底部的</w:t>
            </w:r>
            <w:r>
              <w:rPr>
                <w:rFonts w:eastAsiaTheme="minorEastAsia"/>
                <w:color w:val="auto"/>
              </w:rPr>
              <w:t>贮水池，用于生产降尘；采用水泵从贮水池取水，用罐车运往洒水点；生活污水排入厂区自建的防渗旱厕，</w:t>
            </w:r>
          </w:p>
          <w:p>
            <w:pPr>
              <w:pStyle w:val="246"/>
              <w:rPr>
                <w:rFonts w:eastAsiaTheme="minorEastAsia"/>
                <w:color w:val="auto"/>
              </w:rPr>
            </w:pPr>
            <w:r>
              <w:rPr>
                <w:rFonts w:eastAsiaTheme="minorEastAsia"/>
                <w:color w:val="auto"/>
              </w:rPr>
              <w:t>定期清掏，外运堆肥。</w:t>
            </w:r>
          </w:p>
        </w:tc>
        <w:tc>
          <w:tcPr>
            <w:tcW w:w="906" w:type="dxa"/>
            <w:shd w:val="clear" w:color="auto" w:fill="auto"/>
            <w:vAlign w:val="center"/>
          </w:tcPr>
          <w:p>
            <w:pPr>
              <w:pStyle w:val="246"/>
              <w:rPr>
                <w:rFonts w:eastAsiaTheme="minorEastAsia"/>
                <w:color w:val="auto"/>
              </w:rPr>
            </w:pPr>
            <w:r>
              <w:rPr>
                <w:rFonts w:eastAsiaTheme="minorEastAsia"/>
                <w:color w:val="auto"/>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43" w:hRule="atLeast"/>
          <w:jc w:val="center"/>
        </w:trPr>
        <w:tc>
          <w:tcPr>
            <w:tcW w:w="645" w:type="dxa"/>
            <w:vMerge w:val="continue"/>
            <w:shd w:val="clear" w:color="auto" w:fill="auto"/>
            <w:vAlign w:val="center"/>
          </w:tcPr>
          <w:p>
            <w:pPr>
              <w:pStyle w:val="246"/>
              <w:rPr>
                <w:rFonts w:eastAsiaTheme="minorEastAsia"/>
                <w:color w:val="auto"/>
                <w:sz w:val="18"/>
                <w:szCs w:val="18"/>
              </w:rPr>
            </w:pPr>
          </w:p>
        </w:tc>
        <w:tc>
          <w:tcPr>
            <w:tcW w:w="914" w:type="dxa"/>
            <w:shd w:val="clear" w:color="auto" w:fill="auto"/>
            <w:vAlign w:val="center"/>
          </w:tcPr>
          <w:p>
            <w:pPr>
              <w:pStyle w:val="246"/>
              <w:rPr>
                <w:rFonts w:eastAsiaTheme="minorEastAsia"/>
                <w:color w:val="auto"/>
              </w:rPr>
            </w:pPr>
            <w:r>
              <w:rPr>
                <w:rFonts w:eastAsiaTheme="minorEastAsia"/>
                <w:color w:val="auto"/>
              </w:rPr>
              <w:t>供电</w:t>
            </w:r>
          </w:p>
        </w:tc>
        <w:tc>
          <w:tcPr>
            <w:tcW w:w="6068" w:type="dxa"/>
            <w:shd w:val="clear" w:color="auto" w:fill="auto"/>
            <w:vAlign w:val="center"/>
          </w:tcPr>
          <w:p>
            <w:pPr>
              <w:pStyle w:val="246"/>
              <w:rPr>
                <w:rFonts w:eastAsiaTheme="minorEastAsia"/>
                <w:color w:val="auto"/>
              </w:rPr>
            </w:pPr>
            <w:r>
              <w:rPr>
                <w:rFonts w:eastAsiaTheme="minorEastAsia"/>
                <w:color w:val="auto"/>
              </w:rPr>
              <w:t>供电源采用架空线路接至场内箱式变压器，场内现有变压器容量</w:t>
            </w:r>
          </w:p>
          <w:p>
            <w:pPr>
              <w:pStyle w:val="246"/>
              <w:rPr>
                <w:rFonts w:eastAsiaTheme="minorEastAsia"/>
                <w:color w:val="auto"/>
              </w:rPr>
            </w:pPr>
            <w:r>
              <w:rPr>
                <w:rFonts w:eastAsiaTheme="minorEastAsia"/>
                <w:color w:val="auto"/>
              </w:rPr>
              <w:t>均为 800KVA，为生产提供高压电，由 1 台 315KVA 变压器供生产生活用电使用</w:t>
            </w:r>
          </w:p>
        </w:tc>
        <w:tc>
          <w:tcPr>
            <w:tcW w:w="906" w:type="dxa"/>
            <w:shd w:val="clear" w:color="auto" w:fill="auto"/>
            <w:vAlign w:val="center"/>
          </w:tcPr>
          <w:p>
            <w:pPr>
              <w:pStyle w:val="246"/>
              <w:rPr>
                <w:rFonts w:eastAsiaTheme="minorEastAsia"/>
                <w:color w:val="auto"/>
              </w:rPr>
            </w:pPr>
            <w:r>
              <w:rPr>
                <w:rFonts w:eastAsiaTheme="minorEastAsia"/>
                <w:color w:val="auto"/>
              </w:rPr>
              <w:t>已建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89" w:hRule="atLeast"/>
          <w:jc w:val="center"/>
        </w:trPr>
        <w:tc>
          <w:tcPr>
            <w:tcW w:w="645" w:type="dxa"/>
            <w:vMerge w:val="continue"/>
            <w:tcBorders>
              <w:bottom w:val="single" w:color="auto" w:sz="4" w:space="0"/>
            </w:tcBorders>
            <w:shd w:val="clear" w:color="auto" w:fill="auto"/>
            <w:vAlign w:val="center"/>
          </w:tcPr>
          <w:p>
            <w:pPr>
              <w:pStyle w:val="246"/>
              <w:rPr>
                <w:rFonts w:eastAsiaTheme="minorEastAsia"/>
                <w:color w:val="auto"/>
                <w:sz w:val="18"/>
                <w:szCs w:val="18"/>
              </w:rPr>
            </w:pPr>
          </w:p>
        </w:tc>
        <w:tc>
          <w:tcPr>
            <w:tcW w:w="914" w:type="dxa"/>
            <w:shd w:val="clear" w:color="auto" w:fill="auto"/>
            <w:vAlign w:val="center"/>
          </w:tcPr>
          <w:p>
            <w:pPr>
              <w:pStyle w:val="246"/>
              <w:rPr>
                <w:rFonts w:eastAsiaTheme="minorEastAsia"/>
                <w:color w:val="auto"/>
              </w:rPr>
            </w:pPr>
            <w:r>
              <w:rPr>
                <w:rFonts w:eastAsiaTheme="minorEastAsia"/>
                <w:color w:val="auto"/>
              </w:rPr>
              <w:t>供暖</w:t>
            </w:r>
          </w:p>
        </w:tc>
        <w:tc>
          <w:tcPr>
            <w:tcW w:w="6068" w:type="dxa"/>
            <w:shd w:val="clear" w:color="auto" w:fill="auto"/>
            <w:vAlign w:val="center"/>
          </w:tcPr>
          <w:p>
            <w:pPr>
              <w:pStyle w:val="246"/>
              <w:rPr>
                <w:rFonts w:eastAsiaTheme="minorEastAsia"/>
                <w:color w:val="auto"/>
              </w:rPr>
            </w:pPr>
            <w:r>
              <w:rPr>
                <w:rFonts w:eastAsiaTheme="minorEastAsia"/>
                <w:color w:val="auto"/>
              </w:rPr>
              <w:t>办公室采用电取暖</w:t>
            </w:r>
          </w:p>
        </w:tc>
        <w:tc>
          <w:tcPr>
            <w:tcW w:w="906" w:type="dxa"/>
            <w:shd w:val="clear" w:color="auto" w:fill="auto"/>
            <w:vAlign w:val="center"/>
          </w:tcPr>
          <w:p>
            <w:pPr>
              <w:pStyle w:val="246"/>
              <w:rPr>
                <w:rFonts w:eastAsiaTheme="minorEastAsia"/>
                <w:color w:val="auto"/>
              </w:rPr>
            </w:pPr>
            <w:r>
              <w:rPr>
                <w:rFonts w:eastAsiaTheme="minorEastAsia"/>
                <w:color w:val="auto"/>
              </w:rPr>
              <w:t>已建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884" w:hRule="atLeast"/>
          <w:jc w:val="center"/>
        </w:trPr>
        <w:tc>
          <w:tcPr>
            <w:tcW w:w="645" w:type="dxa"/>
            <w:vMerge w:val="restart"/>
            <w:tcBorders>
              <w:top w:val="single" w:color="auto" w:sz="4" w:space="0"/>
            </w:tcBorders>
            <w:shd w:val="clear" w:color="auto" w:fill="auto"/>
            <w:vAlign w:val="center"/>
          </w:tcPr>
          <w:p>
            <w:pPr>
              <w:pStyle w:val="246"/>
              <w:rPr>
                <w:rFonts w:eastAsiaTheme="minorEastAsia"/>
                <w:color w:val="auto"/>
              </w:rPr>
            </w:pPr>
            <w:r>
              <w:rPr>
                <w:rFonts w:eastAsiaTheme="minorEastAsia"/>
                <w:color w:val="auto"/>
              </w:rPr>
              <w:t>环保</w:t>
            </w:r>
          </w:p>
          <w:p>
            <w:pPr>
              <w:pStyle w:val="246"/>
              <w:rPr>
                <w:rFonts w:eastAsiaTheme="minorEastAsia"/>
                <w:color w:val="auto"/>
                <w:sz w:val="18"/>
                <w:szCs w:val="18"/>
              </w:rPr>
            </w:pPr>
            <w:r>
              <w:rPr>
                <w:rFonts w:eastAsiaTheme="minorEastAsia"/>
                <w:color w:val="auto"/>
              </w:rPr>
              <w:t>工程</w:t>
            </w:r>
          </w:p>
        </w:tc>
        <w:tc>
          <w:tcPr>
            <w:tcW w:w="914" w:type="dxa"/>
            <w:shd w:val="clear" w:color="auto" w:fill="auto"/>
            <w:vAlign w:val="center"/>
          </w:tcPr>
          <w:p>
            <w:pPr>
              <w:pStyle w:val="246"/>
              <w:rPr>
                <w:rFonts w:eastAsiaTheme="minorEastAsia"/>
                <w:color w:val="auto"/>
              </w:rPr>
            </w:pPr>
            <w:r>
              <w:rPr>
                <w:rFonts w:eastAsiaTheme="minorEastAsia"/>
                <w:color w:val="auto"/>
              </w:rPr>
              <w:t>污水治理</w:t>
            </w:r>
          </w:p>
        </w:tc>
        <w:tc>
          <w:tcPr>
            <w:tcW w:w="6068" w:type="dxa"/>
            <w:shd w:val="clear" w:color="auto" w:fill="auto"/>
            <w:vAlign w:val="center"/>
          </w:tcPr>
          <w:p>
            <w:pPr>
              <w:pStyle w:val="246"/>
              <w:rPr>
                <w:rFonts w:eastAsiaTheme="minorEastAsia"/>
                <w:color w:val="auto"/>
              </w:rPr>
            </w:pPr>
            <w:r>
              <w:rPr>
                <w:rFonts w:eastAsiaTheme="minorEastAsia"/>
                <w:color w:val="auto"/>
              </w:rPr>
              <w:t>生活污水排入防渗旱厕，定期清掏，外运堆肥；采矿境界汇水上方设置截流沟，长</w:t>
            </w:r>
            <w:r>
              <w:rPr>
                <w:rFonts w:hint="eastAsia" w:eastAsiaTheme="minorEastAsia"/>
                <w:color w:val="auto"/>
                <w:lang w:val="en-US" w:eastAsia="zh-CN"/>
              </w:rPr>
              <w:t>240</w:t>
            </w:r>
            <w:r>
              <w:rPr>
                <w:rFonts w:eastAsiaTheme="minorEastAsia"/>
                <w:color w:val="auto"/>
              </w:rPr>
              <w:t>m，矿区内设置导流渠，长</w:t>
            </w:r>
            <w:r>
              <w:rPr>
                <w:rFonts w:hint="eastAsia" w:eastAsiaTheme="minorEastAsia"/>
                <w:color w:val="auto"/>
                <w:lang w:val="en-US" w:eastAsia="zh-CN"/>
              </w:rPr>
              <w:t>150</w:t>
            </w:r>
            <w:r>
              <w:rPr>
                <w:rFonts w:eastAsiaTheme="minorEastAsia"/>
                <w:color w:val="auto"/>
              </w:rPr>
              <w:t>m，矿区汇水经导流</w:t>
            </w:r>
            <w:r>
              <w:rPr>
                <w:rFonts w:eastAsiaTheme="minorEastAsia"/>
                <w:color w:val="auto"/>
                <w:highlight w:val="none"/>
              </w:rPr>
              <w:t>渠汇入</w:t>
            </w:r>
            <w:r>
              <w:rPr>
                <w:rFonts w:hint="eastAsia" w:eastAsiaTheme="minorEastAsia"/>
                <w:color w:val="auto"/>
                <w:highlight w:val="none"/>
                <w:lang w:val="en-US" w:eastAsia="zh-CN"/>
              </w:rPr>
              <w:t>9</w:t>
            </w:r>
            <w:r>
              <w:rPr>
                <w:rFonts w:hint="eastAsia" w:eastAsiaTheme="minorEastAsia"/>
                <w:color w:val="auto"/>
                <w:highlight w:val="none"/>
                <w:lang w:eastAsia="zh-CN"/>
              </w:rPr>
              <w:t>00m</w:t>
            </w:r>
            <w:r>
              <w:rPr>
                <w:rFonts w:eastAsiaTheme="minorEastAsia"/>
                <w:color w:val="auto"/>
                <w:highlight w:val="none"/>
                <w:vertAlign w:val="superscript"/>
              </w:rPr>
              <w:t>3</w:t>
            </w:r>
            <w:r>
              <w:rPr>
                <w:rFonts w:eastAsiaTheme="minorEastAsia"/>
                <w:color w:val="auto"/>
                <w:highlight w:val="none"/>
              </w:rPr>
              <w:t>贮水池</w:t>
            </w:r>
            <w:r>
              <w:rPr>
                <w:rFonts w:eastAsiaTheme="minorEastAsia"/>
                <w:color w:val="auto"/>
              </w:rPr>
              <w:t>，用于生产降尘。</w:t>
            </w:r>
          </w:p>
        </w:tc>
        <w:tc>
          <w:tcPr>
            <w:tcW w:w="906" w:type="dxa"/>
            <w:shd w:val="clear" w:color="auto" w:fill="auto"/>
            <w:vAlign w:val="center"/>
          </w:tcPr>
          <w:p>
            <w:pPr>
              <w:pStyle w:val="246"/>
              <w:rPr>
                <w:rFonts w:eastAsiaTheme="minorEastAsia"/>
                <w:color w:val="auto"/>
              </w:rPr>
            </w:pPr>
            <w:r>
              <w:rPr>
                <w:rFonts w:eastAsiaTheme="minorEastAsia"/>
                <w:color w:val="auto"/>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78" w:hRule="atLeast"/>
          <w:jc w:val="center"/>
        </w:trPr>
        <w:tc>
          <w:tcPr>
            <w:tcW w:w="645" w:type="dxa"/>
            <w:vMerge w:val="continue"/>
            <w:shd w:val="clear" w:color="auto" w:fill="auto"/>
            <w:vAlign w:val="center"/>
          </w:tcPr>
          <w:p>
            <w:pPr>
              <w:pStyle w:val="246"/>
              <w:rPr>
                <w:rFonts w:eastAsiaTheme="minorEastAsia"/>
                <w:color w:val="auto"/>
                <w:sz w:val="18"/>
                <w:szCs w:val="18"/>
              </w:rPr>
            </w:pPr>
          </w:p>
        </w:tc>
        <w:tc>
          <w:tcPr>
            <w:tcW w:w="914" w:type="dxa"/>
            <w:tcBorders>
              <w:bottom w:val="single" w:color="auto" w:sz="4" w:space="0"/>
            </w:tcBorders>
            <w:shd w:val="clear" w:color="auto" w:fill="auto"/>
            <w:vAlign w:val="center"/>
          </w:tcPr>
          <w:p>
            <w:pPr>
              <w:pStyle w:val="246"/>
              <w:rPr>
                <w:rFonts w:eastAsiaTheme="minorEastAsia"/>
                <w:color w:val="auto"/>
              </w:rPr>
            </w:pPr>
            <w:r>
              <w:rPr>
                <w:rFonts w:eastAsiaTheme="minorEastAsia"/>
                <w:color w:val="auto"/>
              </w:rPr>
              <w:t>大气治理</w:t>
            </w:r>
          </w:p>
        </w:tc>
        <w:tc>
          <w:tcPr>
            <w:tcW w:w="6068" w:type="dxa"/>
            <w:tcBorders>
              <w:bottom w:val="single" w:color="auto" w:sz="4" w:space="0"/>
            </w:tcBorders>
            <w:shd w:val="clear" w:color="auto" w:fill="auto"/>
            <w:vAlign w:val="center"/>
          </w:tcPr>
          <w:p>
            <w:pPr>
              <w:pStyle w:val="246"/>
              <w:spacing w:line="240" w:lineRule="auto"/>
              <w:rPr>
                <w:rFonts w:eastAsiaTheme="minorEastAsia"/>
                <w:color w:val="auto"/>
              </w:rPr>
            </w:pPr>
            <w:r>
              <w:rPr>
                <w:rFonts w:hint="eastAsia" w:eastAsiaTheme="minorEastAsia"/>
                <w:color w:val="auto"/>
                <w:lang w:val="en-US" w:eastAsia="zh-CN"/>
              </w:rPr>
              <w:t>1</w:t>
            </w:r>
            <w:r>
              <w:rPr>
                <w:rFonts w:eastAsiaTheme="minorEastAsia"/>
                <w:color w:val="auto"/>
              </w:rPr>
              <w:t>台</w:t>
            </w:r>
            <w:r>
              <w:rPr>
                <w:rFonts w:hint="eastAsia" w:eastAsiaTheme="minorEastAsia"/>
                <w:color w:val="auto"/>
                <w:lang w:eastAsia="zh-CN"/>
              </w:rPr>
              <w:t>颚式破碎机、</w:t>
            </w:r>
            <w:r>
              <w:rPr>
                <w:rFonts w:hint="eastAsia" w:eastAsiaTheme="minorEastAsia"/>
                <w:color w:val="auto"/>
                <w:lang w:val="en-US" w:eastAsia="zh-CN"/>
              </w:rPr>
              <w:t>1台</w:t>
            </w:r>
            <w:r>
              <w:rPr>
                <w:rFonts w:hint="eastAsia" w:eastAsiaTheme="minorEastAsia"/>
                <w:color w:val="auto"/>
                <w:lang w:eastAsia="zh-CN"/>
              </w:rPr>
              <w:t>锤式</w:t>
            </w:r>
            <w:r>
              <w:rPr>
                <w:rFonts w:eastAsiaTheme="minorEastAsia"/>
                <w:color w:val="auto"/>
              </w:rPr>
              <w:t>破碎机</w:t>
            </w:r>
            <w:r>
              <w:rPr>
                <w:rFonts w:hint="eastAsia" w:eastAsiaTheme="minorEastAsia"/>
                <w:color w:val="auto"/>
                <w:lang w:eastAsia="zh-CN"/>
              </w:rPr>
              <w:t>、</w:t>
            </w:r>
            <w:r>
              <w:rPr>
                <w:rFonts w:hint="eastAsia" w:eastAsiaTheme="minorEastAsia"/>
                <w:color w:val="auto"/>
                <w:lang w:val="en-US" w:eastAsia="zh-CN"/>
              </w:rPr>
              <w:t>1台振动筛分别</w:t>
            </w:r>
            <w:r>
              <w:rPr>
                <w:rFonts w:eastAsiaTheme="minorEastAsia"/>
                <w:color w:val="auto"/>
              </w:rPr>
              <w:t>设置 1台布袋除尘器，除尘效率可达为 99%，</w:t>
            </w:r>
            <w:r>
              <w:rPr>
                <w:rFonts w:hint="eastAsia" w:eastAsiaTheme="minorEastAsia"/>
                <w:color w:val="auto"/>
                <w:lang w:eastAsia="zh-CN"/>
              </w:rPr>
              <w:t>分别</w:t>
            </w:r>
            <w:r>
              <w:rPr>
                <w:rFonts w:eastAsiaTheme="minorEastAsia"/>
                <w:color w:val="auto"/>
              </w:rPr>
              <w:t>经 15m高排气筒排放。对运输道路适当洒水降尘；对钻孔、爆破洒水降尘，破碎机及振动筛设备四周设置彩钢板使其封闭，留有检修及维护仓门，入料口位于封闭仓内，石料从破碎机送至振动筛过程采用全封闭皮带式廊道运输，下料口处设置洒水喷淋设施抑尘。</w:t>
            </w:r>
          </w:p>
          <w:p>
            <w:pPr>
              <w:pStyle w:val="246"/>
              <w:rPr>
                <w:rFonts w:eastAsiaTheme="minorEastAsia"/>
                <w:color w:val="auto"/>
              </w:rPr>
            </w:pPr>
            <w:r>
              <w:rPr>
                <w:rFonts w:eastAsiaTheme="minorEastAsia"/>
                <w:color w:val="auto"/>
              </w:rPr>
              <w:t>临时堆土场设置喷淋洒水装置。新建封闭石粉仓容积</w:t>
            </w:r>
            <w:r>
              <w:rPr>
                <w:rFonts w:hint="eastAsia" w:eastAsiaTheme="minorEastAsia"/>
                <w:color w:val="auto"/>
                <w:lang w:val="en-US" w:eastAsia="zh-CN"/>
              </w:rPr>
              <w:t>3</w:t>
            </w:r>
            <w:r>
              <w:rPr>
                <w:rFonts w:eastAsiaTheme="minorEastAsia"/>
                <w:color w:val="auto"/>
              </w:rPr>
              <w:t>0t。</w:t>
            </w:r>
          </w:p>
        </w:tc>
        <w:tc>
          <w:tcPr>
            <w:tcW w:w="906" w:type="dxa"/>
            <w:tcBorders>
              <w:bottom w:val="single" w:color="auto" w:sz="4" w:space="0"/>
            </w:tcBorders>
            <w:shd w:val="clear" w:color="auto" w:fill="auto"/>
            <w:vAlign w:val="center"/>
          </w:tcPr>
          <w:p>
            <w:pPr>
              <w:pStyle w:val="246"/>
              <w:rPr>
                <w:rFonts w:eastAsiaTheme="minorEastAsia"/>
                <w:color w:val="auto"/>
              </w:rPr>
            </w:pPr>
            <w:r>
              <w:rPr>
                <w:rFonts w:eastAsiaTheme="minorEastAsia"/>
                <w:color w:val="auto"/>
              </w:rPr>
              <w:t>已建袋除尘器</w:t>
            </w:r>
            <w:r>
              <w:rPr>
                <w:rFonts w:hint="eastAsia" w:eastAsiaTheme="minorEastAsia"/>
                <w:color w:val="auto"/>
                <w:lang w:val="en-US" w:eastAsia="zh-CN"/>
              </w:rPr>
              <w:t>1</w:t>
            </w:r>
            <w:r>
              <w:rPr>
                <w:rFonts w:eastAsiaTheme="minorEastAsia"/>
                <w:color w:val="auto"/>
              </w:rPr>
              <w:t>台，其余环保措施为新建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jc w:val="center"/>
        </w:trPr>
        <w:tc>
          <w:tcPr>
            <w:tcW w:w="645" w:type="dxa"/>
            <w:vMerge w:val="continue"/>
            <w:shd w:val="clear" w:color="auto" w:fill="auto"/>
            <w:vAlign w:val="center"/>
          </w:tcPr>
          <w:p>
            <w:pPr>
              <w:pStyle w:val="246"/>
              <w:rPr>
                <w:rFonts w:eastAsiaTheme="minorEastAsia"/>
                <w:color w:val="auto"/>
                <w:sz w:val="18"/>
                <w:szCs w:val="18"/>
              </w:rPr>
            </w:pPr>
          </w:p>
        </w:tc>
        <w:tc>
          <w:tcPr>
            <w:tcW w:w="914" w:type="dxa"/>
            <w:tcBorders>
              <w:bottom w:val="single" w:color="auto" w:sz="4" w:space="0"/>
            </w:tcBorders>
            <w:shd w:val="clear" w:color="auto" w:fill="auto"/>
            <w:vAlign w:val="center"/>
          </w:tcPr>
          <w:p>
            <w:pPr>
              <w:pStyle w:val="246"/>
              <w:rPr>
                <w:rFonts w:eastAsiaTheme="minorEastAsia"/>
                <w:color w:val="auto"/>
              </w:rPr>
            </w:pPr>
            <w:r>
              <w:rPr>
                <w:rFonts w:eastAsiaTheme="minorEastAsia"/>
                <w:color w:val="auto"/>
              </w:rPr>
              <w:t>噪声</w:t>
            </w:r>
          </w:p>
        </w:tc>
        <w:tc>
          <w:tcPr>
            <w:tcW w:w="6068" w:type="dxa"/>
            <w:tcBorders>
              <w:bottom w:val="single" w:color="auto" w:sz="4" w:space="0"/>
            </w:tcBorders>
            <w:shd w:val="clear" w:color="auto" w:fill="auto"/>
            <w:vAlign w:val="center"/>
          </w:tcPr>
          <w:p>
            <w:pPr>
              <w:pStyle w:val="246"/>
              <w:rPr>
                <w:rFonts w:eastAsiaTheme="minorEastAsia"/>
                <w:color w:val="auto"/>
              </w:rPr>
            </w:pPr>
            <w:r>
              <w:rPr>
                <w:rFonts w:eastAsiaTheme="minorEastAsia"/>
                <w:color w:val="auto"/>
              </w:rPr>
              <w:t>安装减振降噪装置，优化爆破手段，爆破控制总装药量，采取多段微差起爆，中深孔爆破手段，每段起爆装药量小于200kg的方法。</w:t>
            </w:r>
          </w:p>
        </w:tc>
        <w:tc>
          <w:tcPr>
            <w:tcW w:w="906" w:type="dxa"/>
            <w:tcBorders>
              <w:bottom w:val="single" w:color="auto" w:sz="4" w:space="0"/>
            </w:tcBorders>
            <w:shd w:val="clear" w:color="auto" w:fill="auto"/>
            <w:vAlign w:val="center"/>
          </w:tcPr>
          <w:p>
            <w:pPr>
              <w:pStyle w:val="246"/>
              <w:rPr>
                <w:rFonts w:eastAsiaTheme="minorEastAsia"/>
                <w:color w:val="auto"/>
              </w:rPr>
            </w:pPr>
            <w:r>
              <w:rPr>
                <w:rFonts w:eastAsiaTheme="minorEastAsia"/>
                <w:color w:val="auto"/>
              </w:rPr>
              <w:t>爆破外委</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780" w:hRule="atLeast"/>
          <w:jc w:val="center"/>
        </w:trPr>
        <w:tc>
          <w:tcPr>
            <w:tcW w:w="645" w:type="dxa"/>
            <w:vMerge w:val="continue"/>
            <w:shd w:val="clear" w:color="auto" w:fill="auto"/>
            <w:vAlign w:val="center"/>
          </w:tcPr>
          <w:p>
            <w:pPr>
              <w:pStyle w:val="246"/>
              <w:rPr>
                <w:rFonts w:eastAsiaTheme="minorEastAsia"/>
                <w:color w:val="auto"/>
                <w:sz w:val="18"/>
                <w:szCs w:val="18"/>
              </w:rPr>
            </w:pPr>
          </w:p>
        </w:tc>
        <w:tc>
          <w:tcPr>
            <w:tcW w:w="914" w:type="dxa"/>
            <w:tcBorders>
              <w:top w:val="single" w:color="auto" w:sz="4" w:space="0"/>
            </w:tcBorders>
            <w:shd w:val="clear" w:color="auto" w:fill="auto"/>
            <w:vAlign w:val="center"/>
          </w:tcPr>
          <w:p>
            <w:pPr>
              <w:pStyle w:val="246"/>
              <w:rPr>
                <w:rFonts w:eastAsiaTheme="minorEastAsia"/>
                <w:color w:val="auto"/>
              </w:rPr>
            </w:pPr>
            <w:r>
              <w:rPr>
                <w:rFonts w:eastAsiaTheme="minorEastAsia"/>
                <w:color w:val="auto"/>
              </w:rPr>
              <w:t>固体废物</w:t>
            </w:r>
          </w:p>
        </w:tc>
        <w:tc>
          <w:tcPr>
            <w:tcW w:w="6068" w:type="dxa"/>
            <w:tcBorders>
              <w:top w:val="single" w:color="auto" w:sz="4" w:space="0"/>
            </w:tcBorders>
            <w:shd w:val="clear" w:color="auto" w:fill="auto"/>
            <w:vAlign w:val="center"/>
          </w:tcPr>
          <w:p>
            <w:pPr>
              <w:pStyle w:val="246"/>
              <w:rPr>
                <w:rFonts w:eastAsiaTheme="minorEastAsia"/>
                <w:color w:val="auto"/>
              </w:rPr>
            </w:pPr>
            <w:r>
              <w:rPr>
                <w:rFonts w:eastAsiaTheme="minorEastAsia"/>
                <w:color w:val="auto"/>
              </w:rPr>
              <w:t>开采剥离的土岩暂存于临时堆土场内，定期外卖；除尘器收集粉尘及筛分下来的石粉集中收集后定期外卖，用于生产建材和建筑用途；生活垃圾由当地环卫部门统一处理；炸药包装物（纸壳、塑料等）由爆破公司进行回收再利用；机械设备定期更换的废机油属于危险废物（（HW08），应单独收集，用设明显标识的密闭桶盛装，暂存于危废暂存间，由有资质单位进行处置。</w:t>
            </w:r>
          </w:p>
        </w:tc>
        <w:tc>
          <w:tcPr>
            <w:tcW w:w="906" w:type="dxa"/>
            <w:tcBorders>
              <w:top w:val="single" w:color="auto" w:sz="4" w:space="0"/>
            </w:tcBorders>
            <w:shd w:val="clear" w:color="auto" w:fill="auto"/>
            <w:vAlign w:val="center"/>
          </w:tcPr>
          <w:p>
            <w:pPr>
              <w:pStyle w:val="246"/>
              <w:rPr>
                <w:rFonts w:eastAsiaTheme="minorEastAsia"/>
                <w:color w:val="auto"/>
              </w:rPr>
            </w:pPr>
            <w:r>
              <w:rPr>
                <w:rFonts w:eastAsiaTheme="minorEastAsia"/>
                <w:color w:val="auto"/>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jc w:val="center"/>
        </w:trPr>
        <w:tc>
          <w:tcPr>
            <w:tcW w:w="645" w:type="dxa"/>
            <w:vMerge w:val="continue"/>
            <w:shd w:val="clear" w:color="auto" w:fill="auto"/>
            <w:vAlign w:val="center"/>
          </w:tcPr>
          <w:p>
            <w:pPr>
              <w:pStyle w:val="246"/>
              <w:rPr>
                <w:rFonts w:eastAsiaTheme="minorEastAsia"/>
                <w:color w:val="auto"/>
              </w:rPr>
            </w:pPr>
          </w:p>
        </w:tc>
        <w:tc>
          <w:tcPr>
            <w:tcW w:w="914" w:type="dxa"/>
            <w:shd w:val="clear" w:color="auto" w:fill="auto"/>
            <w:vAlign w:val="center"/>
          </w:tcPr>
          <w:p>
            <w:pPr>
              <w:pStyle w:val="246"/>
              <w:rPr>
                <w:rFonts w:eastAsiaTheme="minorEastAsia"/>
                <w:color w:val="auto"/>
              </w:rPr>
            </w:pPr>
            <w:r>
              <w:rPr>
                <w:rFonts w:eastAsiaTheme="minorEastAsia"/>
                <w:color w:val="auto"/>
              </w:rPr>
              <w:t>生态措施</w:t>
            </w:r>
          </w:p>
        </w:tc>
        <w:tc>
          <w:tcPr>
            <w:tcW w:w="6068" w:type="dxa"/>
            <w:shd w:val="clear" w:color="auto" w:fill="auto"/>
            <w:vAlign w:val="center"/>
          </w:tcPr>
          <w:p>
            <w:pPr>
              <w:pStyle w:val="246"/>
              <w:rPr>
                <w:rFonts w:eastAsiaTheme="minorEastAsia"/>
                <w:color w:val="auto"/>
              </w:rPr>
            </w:pPr>
            <w:r>
              <w:rPr>
                <w:rFonts w:eastAsiaTheme="minorEastAsia"/>
                <w:color w:val="auto"/>
              </w:rPr>
              <w:t>客土回填</w:t>
            </w:r>
            <w:r>
              <w:rPr>
                <w:rFonts w:hint="eastAsia" w:eastAsiaTheme="minorEastAsia"/>
                <w:color w:val="auto"/>
                <w:lang w:val="en-US" w:eastAsia="zh-CN"/>
              </w:rPr>
              <w:t>2787</w:t>
            </w:r>
            <w:r>
              <w:rPr>
                <w:rFonts w:eastAsiaTheme="minorEastAsia"/>
                <w:color w:val="auto"/>
              </w:rPr>
              <w:t>m</w:t>
            </w:r>
            <w:r>
              <w:rPr>
                <w:rFonts w:eastAsiaTheme="minorEastAsia"/>
                <w:color w:val="auto"/>
                <w:vertAlign w:val="superscript"/>
              </w:rPr>
              <w:t>3</w:t>
            </w:r>
            <w:r>
              <w:rPr>
                <w:rFonts w:eastAsiaTheme="minorEastAsia"/>
                <w:color w:val="auto"/>
              </w:rPr>
              <w:t>，种植杨树</w:t>
            </w:r>
            <w:r>
              <w:rPr>
                <w:rFonts w:hint="eastAsia" w:eastAsiaTheme="minorEastAsia"/>
                <w:color w:val="auto"/>
                <w:lang w:val="en-US" w:eastAsia="zh-CN"/>
              </w:rPr>
              <w:t>1300</w:t>
            </w:r>
            <w:r>
              <w:rPr>
                <w:rFonts w:eastAsiaTheme="minorEastAsia"/>
                <w:color w:val="auto"/>
              </w:rPr>
              <w:t>株；</w:t>
            </w:r>
          </w:p>
          <w:p>
            <w:pPr>
              <w:pStyle w:val="246"/>
              <w:rPr>
                <w:rFonts w:eastAsiaTheme="minorEastAsia"/>
                <w:color w:val="auto"/>
              </w:rPr>
            </w:pPr>
            <w:r>
              <w:rPr>
                <w:rFonts w:eastAsiaTheme="minorEastAsia"/>
                <w:color w:val="auto"/>
              </w:rPr>
              <w:t>临时堆土场土堆边坡小于 1：1.5；在临时堆土场四周布设浆砌石挡墙，浆砌石采用梯形断面，0.5m 宽，</w:t>
            </w:r>
          </w:p>
          <w:p>
            <w:pPr>
              <w:pStyle w:val="246"/>
              <w:rPr>
                <w:rFonts w:eastAsiaTheme="minorEastAsia"/>
                <w:color w:val="auto"/>
              </w:rPr>
            </w:pPr>
            <w:r>
              <w:rPr>
                <w:rFonts w:eastAsiaTheme="minorEastAsia"/>
                <w:color w:val="auto"/>
              </w:rPr>
              <w:t xml:space="preserve">1.5m 高；在临时堆土场四周设置截排水沟， </w:t>
            </w:r>
          </w:p>
          <w:p>
            <w:pPr>
              <w:pStyle w:val="246"/>
              <w:rPr>
                <w:rFonts w:eastAsiaTheme="minorEastAsia"/>
                <w:color w:val="auto"/>
              </w:rPr>
            </w:pPr>
            <w:r>
              <w:rPr>
                <w:rFonts w:eastAsiaTheme="minorEastAsia"/>
                <w:color w:val="auto"/>
              </w:rPr>
              <w:t xml:space="preserve">底宽 0.4m，深 0.4m。 </w:t>
            </w:r>
          </w:p>
        </w:tc>
        <w:tc>
          <w:tcPr>
            <w:tcW w:w="906" w:type="dxa"/>
            <w:shd w:val="clear" w:color="auto" w:fill="auto"/>
            <w:vAlign w:val="center"/>
          </w:tcPr>
          <w:p>
            <w:pPr>
              <w:pStyle w:val="246"/>
              <w:rPr>
                <w:rFonts w:eastAsiaTheme="minorEastAsia"/>
                <w:color w:val="auto"/>
              </w:rPr>
            </w:pPr>
            <w:r>
              <w:rPr>
                <w:rFonts w:eastAsiaTheme="minorEastAsia"/>
                <w:color w:val="auto"/>
              </w:rPr>
              <w:t>新建</w:t>
            </w:r>
          </w:p>
        </w:tc>
      </w:tr>
    </w:tbl>
    <w:p>
      <w:pPr>
        <w:spacing w:line="240" w:lineRule="auto"/>
        <w:rPr>
          <w:rFonts w:eastAsiaTheme="minorEastAsia"/>
          <w:color w:val="auto"/>
          <w:sz w:val="21"/>
          <w:szCs w:val="21"/>
        </w:rPr>
      </w:pPr>
      <w:bookmarkStart w:id="113" w:name="_Toc440973414"/>
      <w:bookmarkStart w:id="114" w:name="_Toc440973044"/>
      <w:bookmarkStart w:id="115" w:name="_Toc440973680"/>
      <w:r>
        <w:rPr>
          <w:rFonts w:eastAsiaTheme="minorEastAsia"/>
          <w:color w:val="auto"/>
          <w:sz w:val="21"/>
          <w:szCs w:val="21"/>
        </w:rPr>
        <w:t>注：本项目不新建炸药库，爆破过程使用成品炸药，用时</w:t>
      </w:r>
      <w:r>
        <w:rPr>
          <w:rFonts w:hint="eastAsia" w:eastAsiaTheme="minorEastAsia"/>
          <w:color w:val="auto"/>
          <w:sz w:val="21"/>
          <w:szCs w:val="21"/>
          <w:lang w:eastAsia="zh-CN"/>
        </w:rPr>
        <w:t>外委有资质的单位派送</w:t>
      </w:r>
      <w:r>
        <w:rPr>
          <w:rFonts w:eastAsiaTheme="minorEastAsia"/>
          <w:color w:val="auto"/>
          <w:sz w:val="21"/>
          <w:szCs w:val="21"/>
        </w:rPr>
        <w:t>专业人员到现场监督指导及操作。</w:t>
      </w:r>
    </w:p>
    <w:p>
      <w:pPr>
        <w:pStyle w:val="242"/>
        <w:rPr>
          <w:rFonts w:ascii="Times New Roman" w:hAnsi="Times New Roman" w:cs="Times New Roman" w:eastAsiaTheme="minorEastAsia"/>
          <w:color w:val="auto"/>
        </w:rPr>
      </w:pPr>
      <w:r>
        <w:rPr>
          <w:rFonts w:ascii="Times New Roman" w:hAnsi="Times New Roman" w:cs="Times New Roman" w:eastAsiaTheme="minorEastAsia"/>
          <w:color w:val="auto"/>
        </w:rPr>
        <w:t>3.2.5.1主体工程</w:t>
      </w:r>
    </w:p>
    <w:p>
      <w:pPr>
        <w:pStyle w:val="276"/>
        <w:rPr>
          <w:rFonts w:eastAsiaTheme="minorEastAsia"/>
          <w:color w:val="auto"/>
        </w:rPr>
      </w:pPr>
      <w:r>
        <w:rPr>
          <w:rFonts w:eastAsiaTheme="minorEastAsia"/>
          <w:color w:val="auto"/>
        </w:rPr>
        <w:t>（1）开采区</w:t>
      </w:r>
    </w:p>
    <w:p>
      <w:pPr>
        <w:pStyle w:val="276"/>
        <w:jc w:val="both"/>
        <w:rPr>
          <w:rFonts w:eastAsiaTheme="minorEastAsia"/>
          <w:color w:val="auto"/>
        </w:rPr>
      </w:pPr>
      <w:r>
        <w:rPr>
          <w:rFonts w:eastAsiaTheme="minorEastAsia"/>
          <w:color w:val="auto"/>
        </w:rPr>
        <w:t>本项目总占地面积为</w:t>
      </w:r>
      <w:r>
        <w:rPr>
          <w:rFonts w:hint="eastAsia" w:eastAsiaTheme="minorEastAsia"/>
          <w:color w:val="auto"/>
          <w:lang w:eastAsia="zh-CN"/>
        </w:rPr>
        <w:t>0.014185</w:t>
      </w:r>
      <w:r>
        <w:rPr>
          <w:rFonts w:eastAsiaTheme="minorEastAsia"/>
          <w:color w:val="auto"/>
        </w:rPr>
        <w:t>km</w:t>
      </w:r>
      <w:r>
        <w:rPr>
          <w:rFonts w:eastAsiaTheme="minorEastAsia"/>
          <w:color w:val="auto"/>
          <w:vertAlign w:val="superscript"/>
        </w:rPr>
        <w:t>2</w:t>
      </w:r>
      <w:r>
        <w:rPr>
          <w:rFonts w:eastAsiaTheme="minorEastAsia"/>
          <w:color w:val="auto"/>
        </w:rPr>
        <w:t>，采矿区总面积为</w:t>
      </w:r>
      <w:r>
        <w:rPr>
          <w:rFonts w:hint="eastAsia" w:eastAsiaTheme="minorEastAsia"/>
          <w:color w:val="auto"/>
          <w:lang w:eastAsia="zh-CN"/>
        </w:rPr>
        <w:t>0.003555</w:t>
      </w:r>
      <w:r>
        <w:rPr>
          <w:rFonts w:eastAsiaTheme="minorEastAsia"/>
          <w:color w:val="auto"/>
        </w:rPr>
        <w:t>km</w:t>
      </w:r>
      <w:r>
        <w:rPr>
          <w:rFonts w:eastAsiaTheme="minorEastAsia"/>
          <w:color w:val="auto"/>
          <w:vertAlign w:val="superscript"/>
        </w:rPr>
        <w:t>2</w:t>
      </w:r>
      <w:r>
        <w:rPr>
          <w:rFonts w:eastAsiaTheme="minorEastAsia"/>
          <w:color w:val="auto"/>
        </w:rPr>
        <w:t>，矿区可开采资源量</w:t>
      </w:r>
      <w:r>
        <w:rPr>
          <w:rFonts w:hint="eastAsia" w:eastAsiaTheme="minorEastAsia"/>
          <w:color w:val="auto"/>
          <w:lang w:eastAsia="zh-CN"/>
        </w:rPr>
        <w:t>90122</w:t>
      </w:r>
      <w:r>
        <w:rPr>
          <w:rFonts w:eastAsiaTheme="minorEastAsia"/>
          <w:color w:val="auto"/>
        </w:rPr>
        <w:t>m</w:t>
      </w:r>
      <w:r>
        <w:rPr>
          <w:rFonts w:eastAsiaTheme="minorEastAsia"/>
          <w:color w:val="auto"/>
          <w:vertAlign w:val="superscript"/>
        </w:rPr>
        <w:t>3</w:t>
      </w:r>
      <w:r>
        <w:rPr>
          <w:rFonts w:eastAsiaTheme="minorEastAsia"/>
          <w:color w:val="auto"/>
        </w:rPr>
        <w:t>，年生产能力</w:t>
      </w:r>
      <w:r>
        <w:rPr>
          <w:rFonts w:hint="eastAsia" w:eastAsiaTheme="minorEastAsia"/>
          <w:color w:val="auto"/>
          <w:lang w:eastAsia="zh-CN"/>
        </w:rPr>
        <w:t>3万</w:t>
      </w:r>
      <w:r>
        <w:rPr>
          <w:rFonts w:eastAsiaTheme="minorEastAsia"/>
          <w:color w:val="auto"/>
        </w:rPr>
        <w:t>m</w:t>
      </w:r>
      <w:r>
        <w:rPr>
          <w:rFonts w:eastAsiaTheme="minorEastAsia"/>
          <w:color w:val="auto"/>
          <w:vertAlign w:val="superscript"/>
        </w:rPr>
        <w:t>3</w:t>
      </w:r>
      <w:r>
        <w:rPr>
          <w:rFonts w:eastAsiaTheme="minorEastAsia"/>
          <w:color w:val="auto"/>
        </w:rPr>
        <w:t>/年，可服务</w:t>
      </w:r>
      <w:r>
        <w:rPr>
          <w:rFonts w:hint="eastAsia" w:eastAsiaTheme="minorEastAsia"/>
          <w:color w:val="auto"/>
          <w:lang w:eastAsia="zh-CN"/>
        </w:rPr>
        <w:t>3年</w:t>
      </w:r>
      <w:r>
        <w:rPr>
          <w:rFonts w:eastAsiaTheme="minorEastAsia"/>
          <w:color w:val="auto"/>
        </w:rPr>
        <w:t>。</w:t>
      </w:r>
    </w:p>
    <w:p>
      <w:pPr>
        <w:pStyle w:val="276"/>
        <w:jc w:val="both"/>
        <w:rPr>
          <w:rFonts w:eastAsiaTheme="minorEastAsia"/>
          <w:color w:val="auto"/>
        </w:rPr>
      </w:pPr>
      <w:r>
        <w:rPr>
          <w:rFonts w:eastAsiaTheme="minorEastAsia"/>
          <w:color w:val="auto"/>
        </w:rPr>
        <w:t>矿山开采工艺及首采水平采用自上而下水平分层开采法，首先确定</w:t>
      </w:r>
      <w:r>
        <w:rPr>
          <w:rFonts w:hint="eastAsia" w:eastAsiaTheme="minorEastAsia"/>
          <w:color w:val="auto"/>
          <w:lang w:eastAsia="zh-CN"/>
        </w:rPr>
        <w:t>121</w:t>
      </w:r>
      <w:r>
        <w:rPr>
          <w:rFonts w:eastAsiaTheme="minorEastAsia"/>
          <w:color w:val="auto"/>
        </w:rPr>
        <w:t>m台阶作为首采水平，台阶高度为15m，清扫平台6m，安全平台4m。每一水平开采后，预留安全平台，每隔两水平预留清扫平台，两者交替布置。台阶工作坡面角为75°，台阶最终边坡角为60°。</w:t>
      </w:r>
    </w:p>
    <w:p>
      <w:pPr>
        <w:pStyle w:val="276"/>
        <w:rPr>
          <w:rFonts w:eastAsiaTheme="minorEastAsia"/>
          <w:color w:val="auto"/>
        </w:rPr>
      </w:pPr>
      <w:r>
        <w:rPr>
          <w:rFonts w:eastAsiaTheme="minorEastAsia"/>
          <w:color w:val="auto"/>
        </w:rPr>
        <w:t>（2）破碎筛分生产线</w:t>
      </w:r>
    </w:p>
    <w:p>
      <w:pPr>
        <w:autoSpaceDE w:val="0"/>
        <w:autoSpaceDN w:val="0"/>
        <w:adjustRightInd w:val="0"/>
        <w:spacing w:line="500" w:lineRule="exact"/>
        <w:ind w:firstLine="480" w:firstLineChars="200"/>
        <w:rPr>
          <w:rFonts w:eastAsiaTheme="minorEastAsia"/>
          <w:color w:val="auto"/>
          <w:kern w:val="0"/>
          <w:szCs w:val="24"/>
        </w:rPr>
      </w:pPr>
      <w:r>
        <w:rPr>
          <w:rFonts w:eastAsiaTheme="minorEastAsia"/>
          <w:color w:val="auto"/>
          <w:kern w:val="0"/>
          <w:szCs w:val="24"/>
        </w:rPr>
        <w:t>本项目破碎筛分工艺采用颚式破碎机、</w:t>
      </w:r>
      <w:r>
        <w:rPr>
          <w:rFonts w:hint="eastAsia" w:eastAsiaTheme="minorEastAsia"/>
          <w:color w:val="auto"/>
          <w:kern w:val="0"/>
          <w:szCs w:val="24"/>
          <w:lang w:eastAsia="zh-CN"/>
        </w:rPr>
        <w:t>锤式</w:t>
      </w:r>
      <w:r>
        <w:rPr>
          <w:rFonts w:eastAsiaTheme="minorEastAsia"/>
          <w:color w:val="auto"/>
          <w:kern w:val="0"/>
          <w:szCs w:val="24"/>
        </w:rPr>
        <w:t>破碎设备及振动筛对石料进行破碎和筛分。本项目破碎筛分工序设置1台颚式破碎机、</w:t>
      </w:r>
      <w:r>
        <w:rPr>
          <w:rFonts w:hint="eastAsia" w:eastAsiaTheme="minorEastAsia"/>
          <w:color w:val="auto"/>
          <w:kern w:val="0"/>
          <w:szCs w:val="24"/>
          <w:lang w:val="en-US" w:eastAsia="zh-CN"/>
        </w:rPr>
        <w:t>1</w:t>
      </w:r>
      <w:r>
        <w:rPr>
          <w:rFonts w:eastAsiaTheme="minorEastAsia"/>
          <w:color w:val="auto"/>
          <w:kern w:val="0"/>
          <w:szCs w:val="24"/>
        </w:rPr>
        <w:t>台</w:t>
      </w:r>
      <w:r>
        <w:rPr>
          <w:rFonts w:hint="eastAsia" w:eastAsiaTheme="minorEastAsia"/>
          <w:color w:val="auto"/>
          <w:kern w:val="0"/>
          <w:szCs w:val="24"/>
          <w:lang w:eastAsia="zh-CN"/>
        </w:rPr>
        <w:t>锤式</w:t>
      </w:r>
      <w:r>
        <w:rPr>
          <w:rFonts w:eastAsiaTheme="minorEastAsia"/>
          <w:color w:val="auto"/>
          <w:kern w:val="0"/>
          <w:szCs w:val="24"/>
        </w:rPr>
        <w:t>破碎机和</w:t>
      </w:r>
      <w:r>
        <w:rPr>
          <w:rFonts w:hint="eastAsia" w:eastAsiaTheme="minorEastAsia"/>
          <w:color w:val="auto"/>
          <w:kern w:val="0"/>
          <w:szCs w:val="24"/>
          <w:lang w:val="en-US" w:eastAsia="zh-CN"/>
        </w:rPr>
        <w:t>1</w:t>
      </w:r>
      <w:r>
        <w:rPr>
          <w:rFonts w:eastAsiaTheme="minorEastAsia"/>
          <w:color w:val="auto"/>
          <w:kern w:val="0"/>
          <w:szCs w:val="24"/>
        </w:rPr>
        <w:t xml:space="preserve">台振动筛。 </w:t>
      </w:r>
    </w:p>
    <w:p>
      <w:pPr>
        <w:autoSpaceDE w:val="0"/>
        <w:autoSpaceDN w:val="0"/>
        <w:adjustRightInd w:val="0"/>
        <w:spacing w:line="500" w:lineRule="exact"/>
        <w:ind w:firstLine="480" w:firstLineChars="200"/>
        <w:rPr>
          <w:rFonts w:eastAsiaTheme="minorEastAsia"/>
          <w:color w:val="auto"/>
          <w:kern w:val="0"/>
          <w:szCs w:val="24"/>
        </w:rPr>
      </w:pPr>
      <w:r>
        <w:rPr>
          <w:rFonts w:eastAsiaTheme="minorEastAsia"/>
          <w:color w:val="auto"/>
          <w:kern w:val="0"/>
          <w:szCs w:val="24"/>
        </w:rPr>
        <w:t xml:space="preserve">按《爆破安全规程》（GB6722-2014）计算的安全距离小于深孔爆破个别飞散物对人员的安全允许距离时，应不小于300m。爆破区安全警戒范围界选取为：300m。 </w:t>
      </w:r>
    </w:p>
    <w:p>
      <w:pPr>
        <w:pStyle w:val="276"/>
        <w:rPr>
          <w:rFonts w:eastAsiaTheme="minorEastAsia"/>
          <w:color w:val="auto"/>
        </w:rPr>
      </w:pPr>
      <w:r>
        <w:rPr>
          <w:rFonts w:eastAsiaTheme="minorEastAsia"/>
          <w:color w:val="auto"/>
        </w:rPr>
        <w:t>本项目进出矿山道路为现有道路，为砂石路面，路面宽度12m。</w:t>
      </w:r>
    </w:p>
    <w:p>
      <w:pPr>
        <w:pStyle w:val="242"/>
        <w:rPr>
          <w:rFonts w:ascii="Times New Roman" w:hAnsi="Times New Roman" w:cs="Times New Roman" w:eastAsiaTheme="minorEastAsia"/>
          <w:color w:val="auto"/>
        </w:rPr>
      </w:pPr>
      <w:r>
        <w:rPr>
          <w:rFonts w:ascii="Times New Roman" w:hAnsi="Times New Roman" w:cs="Times New Roman" w:eastAsiaTheme="minorEastAsia"/>
          <w:color w:val="auto"/>
        </w:rPr>
        <w:t>3.2.5.2辅助工程</w:t>
      </w:r>
    </w:p>
    <w:p>
      <w:pPr>
        <w:autoSpaceDE w:val="0"/>
        <w:autoSpaceDN w:val="0"/>
        <w:adjustRightInd w:val="0"/>
        <w:spacing w:line="500" w:lineRule="exact"/>
        <w:ind w:firstLine="480" w:firstLineChars="200"/>
        <w:jc w:val="left"/>
        <w:rPr>
          <w:rFonts w:eastAsiaTheme="minorEastAsia"/>
          <w:color w:val="auto"/>
          <w:kern w:val="0"/>
          <w:szCs w:val="24"/>
        </w:rPr>
      </w:pPr>
      <w:r>
        <w:rPr>
          <w:rFonts w:eastAsiaTheme="minorEastAsia"/>
          <w:color w:val="auto"/>
          <w:kern w:val="0"/>
          <w:szCs w:val="24"/>
        </w:rPr>
        <w:t xml:space="preserve">（1）临时堆土场 </w:t>
      </w:r>
    </w:p>
    <w:p>
      <w:pPr>
        <w:pStyle w:val="276"/>
        <w:rPr>
          <w:rFonts w:eastAsiaTheme="minorEastAsia"/>
          <w:color w:val="auto"/>
        </w:rPr>
      </w:pPr>
      <w:r>
        <w:rPr>
          <w:rFonts w:eastAsiaTheme="minorEastAsia"/>
          <w:color w:val="auto"/>
        </w:rPr>
        <w:t>矿体上方的土岩剥离暂存于临时堆土场，堆土场面积为</w:t>
      </w:r>
      <w:r>
        <w:rPr>
          <w:rFonts w:hint="eastAsia" w:eastAsiaTheme="minorEastAsia"/>
          <w:color w:val="auto"/>
          <w:lang w:val="en-US" w:eastAsia="zh-CN"/>
        </w:rPr>
        <w:t>40</w:t>
      </w:r>
      <w:r>
        <w:rPr>
          <w:rFonts w:eastAsiaTheme="minorEastAsia"/>
          <w:color w:val="auto"/>
        </w:rPr>
        <w:t>m</w:t>
      </w:r>
      <w:r>
        <w:rPr>
          <w:rFonts w:eastAsiaTheme="minorEastAsia"/>
          <w:color w:val="auto"/>
          <w:vertAlign w:val="superscript"/>
        </w:rPr>
        <w:t>2</w:t>
      </w:r>
      <w:r>
        <w:rPr>
          <w:rFonts w:eastAsiaTheme="minorEastAsia"/>
          <w:color w:val="auto"/>
        </w:rPr>
        <w:t>，垒高为3m，采用浆砌石挡墙，并在浆砌石挡墙边设排水沟，定期外售。</w:t>
      </w:r>
    </w:p>
    <w:p>
      <w:pPr>
        <w:pStyle w:val="276"/>
        <w:jc w:val="both"/>
        <w:rPr>
          <w:rFonts w:eastAsiaTheme="minorEastAsia"/>
          <w:color w:val="auto"/>
        </w:rPr>
      </w:pPr>
      <w:r>
        <w:rPr>
          <w:rFonts w:eastAsiaTheme="minorEastAsia"/>
          <w:color w:val="auto"/>
        </w:rPr>
        <w:t>（</w:t>
      </w:r>
      <w:r>
        <w:rPr>
          <w:rFonts w:hint="eastAsia" w:eastAsiaTheme="minorEastAsia"/>
          <w:color w:val="auto"/>
          <w:lang w:val="en-US" w:eastAsia="zh-CN"/>
        </w:rPr>
        <w:t>2</w:t>
      </w:r>
      <w:r>
        <w:rPr>
          <w:rFonts w:eastAsiaTheme="minorEastAsia"/>
          <w:color w:val="auto"/>
        </w:rPr>
        <w:t xml:space="preserve">）成品堆场 </w:t>
      </w:r>
    </w:p>
    <w:p>
      <w:pPr>
        <w:pStyle w:val="276"/>
        <w:jc w:val="both"/>
        <w:rPr>
          <w:rFonts w:eastAsiaTheme="minorEastAsia"/>
          <w:color w:val="auto"/>
        </w:rPr>
      </w:pPr>
      <w:r>
        <w:rPr>
          <w:rFonts w:eastAsiaTheme="minorEastAsia"/>
          <w:color w:val="auto"/>
        </w:rPr>
        <w:t>项目矿山开采的石块全部作为产品外售，所有开采加工后的矿石均堆置于成品堆场内，定期外卖。本项目成品堆场，</w:t>
      </w:r>
      <w:r>
        <w:rPr>
          <w:rFonts w:eastAsiaTheme="minorEastAsia"/>
          <w:color w:val="auto"/>
          <w:szCs w:val="21"/>
        </w:rPr>
        <w:t>占地面积约为</w:t>
      </w:r>
      <w:r>
        <w:rPr>
          <w:rFonts w:hint="eastAsia" w:eastAsiaTheme="minorEastAsia"/>
          <w:color w:val="auto"/>
          <w:szCs w:val="21"/>
          <w:lang w:val="en-US" w:eastAsia="zh-CN"/>
        </w:rPr>
        <w:t>8</w:t>
      </w:r>
      <w:r>
        <w:rPr>
          <w:rFonts w:eastAsiaTheme="minorEastAsia"/>
          <w:color w:val="auto"/>
          <w:szCs w:val="21"/>
        </w:rPr>
        <w:t>00m</w:t>
      </w:r>
      <w:r>
        <w:rPr>
          <w:rFonts w:eastAsiaTheme="minorEastAsia"/>
          <w:color w:val="auto"/>
          <w:szCs w:val="21"/>
          <w:vertAlign w:val="superscript"/>
        </w:rPr>
        <w:t>2</w:t>
      </w:r>
      <w:r>
        <w:rPr>
          <w:rFonts w:eastAsiaTheme="minorEastAsia"/>
          <w:color w:val="auto"/>
          <w:szCs w:val="21"/>
        </w:rPr>
        <w:t>。成品料场存储能力为</w:t>
      </w:r>
      <w:r>
        <w:rPr>
          <w:rFonts w:hint="eastAsia" w:eastAsiaTheme="minorEastAsia"/>
          <w:color w:val="auto"/>
          <w:szCs w:val="21"/>
          <w:lang w:val="en-US" w:eastAsia="zh-CN"/>
        </w:rPr>
        <w:t>2400</w:t>
      </w:r>
      <w:r>
        <w:rPr>
          <w:rFonts w:eastAsiaTheme="minorEastAsia"/>
          <w:color w:val="auto"/>
          <w:szCs w:val="21"/>
        </w:rPr>
        <w:t>m</w:t>
      </w:r>
      <w:r>
        <w:rPr>
          <w:rFonts w:eastAsiaTheme="minorEastAsia"/>
          <w:color w:val="auto"/>
          <w:szCs w:val="21"/>
          <w:vertAlign w:val="superscript"/>
        </w:rPr>
        <w:t>3</w:t>
      </w:r>
      <w:r>
        <w:rPr>
          <w:rFonts w:eastAsiaTheme="minorEastAsia"/>
          <w:color w:val="auto"/>
          <w:szCs w:val="21"/>
        </w:rPr>
        <w:t>。</w:t>
      </w:r>
      <w:r>
        <w:rPr>
          <w:rFonts w:eastAsiaTheme="minorEastAsia"/>
          <w:color w:val="auto"/>
        </w:rPr>
        <w:t>成品区选址现状为采矿用地。</w:t>
      </w:r>
    </w:p>
    <w:p>
      <w:pPr>
        <w:pStyle w:val="276"/>
        <w:jc w:val="both"/>
        <w:rPr>
          <w:rFonts w:eastAsiaTheme="minorEastAsia"/>
          <w:color w:val="auto"/>
        </w:rPr>
      </w:pPr>
      <w:r>
        <w:rPr>
          <w:rFonts w:eastAsiaTheme="minorEastAsia"/>
          <w:color w:val="auto"/>
        </w:rPr>
        <w:t>（</w:t>
      </w:r>
      <w:r>
        <w:rPr>
          <w:rFonts w:hint="eastAsia" w:eastAsiaTheme="minorEastAsia"/>
          <w:color w:val="auto"/>
          <w:lang w:val="en-US" w:eastAsia="zh-CN"/>
        </w:rPr>
        <w:t>3</w:t>
      </w:r>
      <w:r>
        <w:rPr>
          <w:rFonts w:eastAsiaTheme="minorEastAsia"/>
          <w:color w:val="auto"/>
        </w:rPr>
        <w:t>）原矿堆场</w:t>
      </w:r>
    </w:p>
    <w:p>
      <w:pPr>
        <w:pStyle w:val="299"/>
        <w:spacing w:line="500" w:lineRule="exact"/>
        <w:ind w:firstLine="480"/>
        <w:rPr>
          <w:rFonts w:eastAsiaTheme="minorEastAsia"/>
          <w:color w:val="auto"/>
        </w:rPr>
      </w:pPr>
      <w:r>
        <w:rPr>
          <w:rFonts w:eastAsiaTheme="minorEastAsia"/>
          <w:color w:val="auto"/>
        </w:rPr>
        <w:t>从矿山运来原矿石堆入原矿堆场，原矿堆场占地面积500</w:t>
      </w:r>
      <w:r>
        <w:rPr>
          <w:rFonts w:eastAsiaTheme="minorEastAsia"/>
          <w:color w:val="auto"/>
          <w:szCs w:val="21"/>
        </w:rPr>
        <w:t xml:space="preserve"> m</w:t>
      </w:r>
      <w:r>
        <w:rPr>
          <w:rFonts w:eastAsiaTheme="minorEastAsia"/>
          <w:color w:val="auto"/>
          <w:szCs w:val="21"/>
          <w:vertAlign w:val="superscript"/>
        </w:rPr>
        <w:t>2</w:t>
      </w:r>
      <w:r>
        <w:rPr>
          <w:rFonts w:eastAsiaTheme="minorEastAsia"/>
          <w:color w:val="auto"/>
          <w:szCs w:val="21"/>
        </w:rPr>
        <w:t>。</w:t>
      </w:r>
      <w:r>
        <w:rPr>
          <w:rFonts w:eastAsiaTheme="minorEastAsia"/>
          <w:color w:val="auto"/>
        </w:rPr>
        <w:t>堆场产生组织粉尘，企业采取移动式洒水车，定期洒水，扬尘对环境空气影响较小。</w:t>
      </w:r>
    </w:p>
    <w:p>
      <w:pPr>
        <w:pStyle w:val="276"/>
        <w:jc w:val="both"/>
        <w:rPr>
          <w:rFonts w:eastAsiaTheme="minorEastAsia"/>
          <w:color w:val="auto"/>
          <w:szCs w:val="21"/>
        </w:rPr>
      </w:pPr>
      <w:r>
        <w:rPr>
          <w:rFonts w:eastAsiaTheme="minorEastAsia"/>
          <w:color w:val="auto"/>
          <w:szCs w:val="21"/>
        </w:rPr>
        <w:t>（</w:t>
      </w:r>
      <w:r>
        <w:rPr>
          <w:rFonts w:hint="eastAsia" w:eastAsiaTheme="minorEastAsia"/>
          <w:color w:val="auto"/>
          <w:szCs w:val="21"/>
          <w:lang w:val="en-US" w:eastAsia="zh-CN"/>
        </w:rPr>
        <w:t>4</w:t>
      </w:r>
      <w:r>
        <w:rPr>
          <w:rFonts w:eastAsiaTheme="minorEastAsia"/>
          <w:color w:val="auto"/>
          <w:szCs w:val="21"/>
        </w:rPr>
        <w:t>）办公室</w:t>
      </w:r>
    </w:p>
    <w:p>
      <w:pPr>
        <w:pStyle w:val="276"/>
        <w:jc w:val="both"/>
        <w:rPr>
          <w:rFonts w:eastAsiaTheme="minorEastAsia"/>
          <w:color w:val="auto"/>
          <w:szCs w:val="21"/>
          <w:highlight w:val="none"/>
        </w:rPr>
      </w:pPr>
      <w:r>
        <w:rPr>
          <w:rFonts w:eastAsiaTheme="minorEastAsia"/>
          <w:color w:val="auto"/>
          <w:szCs w:val="21"/>
          <w:highlight w:val="none"/>
        </w:rPr>
        <w:t>办公室建筑面积</w:t>
      </w:r>
      <w:r>
        <w:rPr>
          <w:rFonts w:hint="eastAsia" w:eastAsiaTheme="minorEastAsia"/>
          <w:color w:val="auto"/>
          <w:szCs w:val="21"/>
          <w:highlight w:val="none"/>
          <w:lang w:val="en-US" w:eastAsia="zh-CN"/>
        </w:rPr>
        <w:t>40</w:t>
      </w:r>
      <w:r>
        <w:rPr>
          <w:rFonts w:eastAsiaTheme="minorEastAsia"/>
          <w:color w:val="auto"/>
          <w:szCs w:val="21"/>
          <w:highlight w:val="none"/>
        </w:rPr>
        <w:t>m</w:t>
      </w:r>
      <w:r>
        <w:rPr>
          <w:rFonts w:eastAsiaTheme="minorEastAsia"/>
          <w:color w:val="auto"/>
          <w:szCs w:val="21"/>
          <w:highlight w:val="none"/>
          <w:vertAlign w:val="superscript"/>
        </w:rPr>
        <w:t>2</w:t>
      </w:r>
      <w:r>
        <w:rPr>
          <w:rFonts w:eastAsiaTheme="minorEastAsia"/>
          <w:color w:val="auto"/>
          <w:szCs w:val="21"/>
          <w:highlight w:val="none"/>
        </w:rPr>
        <w:t>，位于厂区</w:t>
      </w:r>
      <w:r>
        <w:rPr>
          <w:rFonts w:hint="eastAsia" w:eastAsiaTheme="minorEastAsia"/>
          <w:color w:val="auto"/>
          <w:szCs w:val="21"/>
          <w:highlight w:val="none"/>
          <w:lang w:eastAsia="zh-CN"/>
        </w:rPr>
        <w:t>北</w:t>
      </w:r>
      <w:r>
        <w:rPr>
          <w:rFonts w:eastAsiaTheme="minorEastAsia"/>
          <w:color w:val="auto"/>
          <w:szCs w:val="21"/>
          <w:highlight w:val="none"/>
        </w:rPr>
        <w:t>侧，其中包含危险废物暂存间，危险废物暂存间面积5m</w:t>
      </w:r>
      <w:r>
        <w:rPr>
          <w:rFonts w:eastAsiaTheme="minorEastAsia"/>
          <w:color w:val="auto"/>
          <w:szCs w:val="21"/>
          <w:highlight w:val="none"/>
          <w:vertAlign w:val="superscript"/>
        </w:rPr>
        <w:t>2</w:t>
      </w:r>
      <w:r>
        <w:rPr>
          <w:rFonts w:eastAsiaTheme="minorEastAsia"/>
          <w:color w:val="auto"/>
          <w:szCs w:val="21"/>
          <w:highlight w:val="none"/>
        </w:rPr>
        <w:t>。</w:t>
      </w:r>
    </w:p>
    <w:p>
      <w:pPr>
        <w:pStyle w:val="242"/>
        <w:rPr>
          <w:rFonts w:ascii="Times New Roman" w:hAnsi="Times New Roman" w:cs="Times New Roman" w:eastAsiaTheme="minorEastAsia"/>
          <w:color w:val="auto"/>
        </w:rPr>
      </w:pPr>
      <w:r>
        <w:rPr>
          <w:rFonts w:ascii="Times New Roman" w:hAnsi="Times New Roman" w:cs="Times New Roman" w:eastAsiaTheme="minorEastAsia"/>
          <w:color w:val="auto"/>
        </w:rPr>
        <w:t>3.2.5.3储运工程</w:t>
      </w:r>
    </w:p>
    <w:p>
      <w:pPr>
        <w:pStyle w:val="276"/>
        <w:jc w:val="both"/>
        <w:rPr>
          <w:rFonts w:eastAsiaTheme="minorEastAsia"/>
          <w:color w:val="auto"/>
        </w:rPr>
      </w:pPr>
      <w:r>
        <w:rPr>
          <w:rFonts w:eastAsiaTheme="minorEastAsia"/>
          <w:color w:val="auto"/>
        </w:rPr>
        <w:t>（1）场内运输</w:t>
      </w:r>
    </w:p>
    <w:p>
      <w:pPr>
        <w:pStyle w:val="276"/>
        <w:jc w:val="both"/>
        <w:rPr>
          <w:rFonts w:eastAsiaTheme="minorEastAsia"/>
          <w:color w:val="auto"/>
        </w:rPr>
      </w:pPr>
      <w:r>
        <w:rPr>
          <w:rFonts w:eastAsiaTheme="minorEastAsia"/>
          <w:color w:val="auto"/>
        </w:rPr>
        <w:t>爆破松散后的矿石采用挖掘机和装载机运至</w:t>
      </w:r>
      <w:r>
        <w:rPr>
          <w:rFonts w:eastAsiaTheme="minorEastAsia"/>
          <w:bCs/>
          <w:color w:val="auto"/>
        </w:rPr>
        <w:t>成品料场</w:t>
      </w:r>
      <w:r>
        <w:rPr>
          <w:rFonts w:eastAsiaTheme="minorEastAsia"/>
          <w:color w:val="auto"/>
        </w:rPr>
        <w:t>。</w:t>
      </w:r>
    </w:p>
    <w:p>
      <w:pPr>
        <w:pStyle w:val="276"/>
        <w:jc w:val="both"/>
        <w:rPr>
          <w:rFonts w:eastAsiaTheme="minorEastAsia"/>
          <w:color w:val="auto"/>
        </w:rPr>
      </w:pPr>
      <w:r>
        <w:rPr>
          <w:rFonts w:eastAsiaTheme="minorEastAsia"/>
          <w:color w:val="auto"/>
        </w:rPr>
        <w:t>（2）场外运输</w:t>
      </w:r>
    </w:p>
    <w:p>
      <w:pPr>
        <w:pStyle w:val="276"/>
        <w:jc w:val="both"/>
        <w:rPr>
          <w:rFonts w:eastAsiaTheme="minorEastAsia"/>
          <w:color w:val="auto"/>
          <w:szCs w:val="21"/>
        </w:rPr>
      </w:pPr>
      <w:r>
        <w:rPr>
          <w:rFonts w:eastAsiaTheme="minorEastAsia"/>
          <w:color w:val="auto"/>
        </w:rPr>
        <w:t>石料外卖时采用现有道路，公路汽车运输</w:t>
      </w:r>
      <w:r>
        <w:rPr>
          <w:rFonts w:eastAsiaTheme="minorEastAsia"/>
          <w:color w:val="auto"/>
          <w:szCs w:val="21"/>
        </w:rPr>
        <w:t>。</w:t>
      </w:r>
    </w:p>
    <w:p>
      <w:pPr>
        <w:pStyle w:val="242"/>
        <w:rPr>
          <w:rFonts w:ascii="Times New Roman" w:hAnsi="Times New Roman" w:cs="Times New Roman" w:eastAsiaTheme="minorEastAsia"/>
          <w:color w:val="auto"/>
        </w:rPr>
      </w:pPr>
      <w:r>
        <w:rPr>
          <w:rFonts w:ascii="Times New Roman" w:hAnsi="Times New Roman" w:cs="Times New Roman" w:eastAsiaTheme="minorEastAsia"/>
          <w:color w:val="auto"/>
        </w:rPr>
        <w:t>3.2.5.4公用工程</w:t>
      </w:r>
    </w:p>
    <w:p>
      <w:pPr>
        <w:pStyle w:val="276"/>
        <w:jc w:val="both"/>
        <w:rPr>
          <w:rFonts w:eastAsiaTheme="minorEastAsia"/>
          <w:color w:val="auto"/>
        </w:rPr>
      </w:pPr>
      <w:r>
        <w:rPr>
          <w:rFonts w:eastAsiaTheme="minorEastAsia"/>
          <w:color w:val="auto"/>
        </w:rPr>
        <w:t>（1）给水</w:t>
      </w:r>
    </w:p>
    <w:p>
      <w:pPr>
        <w:pStyle w:val="276"/>
        <w:jc w:val="both"/>
        <w:rPr>
          <w:rFonts w:hint="eastAsia" w:eastAsiaTheme="minorEastAsia"/>
          <w:color w:val="auto"/>
          <w:lang w:eastAsia="zh-CN"/>
        </w:rPr>
      </w:pPr>
      <w:r>
        <w:rPr>
          <w:rFonts w:hint="eastAsia" w:ascii="宋体" w:hAnsi="宋体" w:cs="宋体"/>
          <w:color w:val="auto"/>
        </w:rPr>
        <w:t>①</w:t>
      </w:r>
      <w:r>
        <w:rPr>
          <w:rFonts w:eastAsiaTheme="minorEastAsia"/>
          <w:color w:val="auto"/>
        </w:rPr>
        <w:t>水源：</w:t>
      </w:r>
      <w:r>
        <w:rPr>
          <w:rFonts w:eastAsiaTheme="minorEastAsia"/>
          <w:color w:val="auto"/>
        </w:rPr>
        <w:t>职工生活用水和部分生产用水由厂区</w:t>
      </w:r>
      <w:r>
        <w:rPr>
          <w:rFonts w:hint="eastAsia" w:eastAsiaTheme="minorEastAsia"/>
          <w:color w:val="auto"/>
          <w:lang w:val="en-US" w:eastAsia="zh-CN"/>
        </w:rPr>
        <w:t>100</w:t>
      </w:r>
      <w:r>
        <w:rPr>
          <w:rFonts w:eastAsiaTheme="minorEastAsia"/>
          <w:color w:val="auto"/>
        </w:rPr>
        <w:t>m深的地下井水供给，新建贮水池，贮水池用于存储矿区汇水，用于生产降尘。项目位于低山丘陵区裂隙水分布不均匀，且开采困难，开采高度远远高于地下水埋深，因此本项目无裂隙水及涌水</w:t>
      </w:r>
      <w:r>
        <w:rPr>
          <w:rFonts w:hint="eastAsia" w:eastAsiaTheme="minorEastAsia"/>
          <w:color w:val="auto"/>
          <w:lang w:eastAsia="zh-CN"/>
        </w:rPr>
        <w:t>。</w:t>
      </w:r>
    </w:p>
    <w:p>
      <w:pPr>
        <w:pStyle w:val="276"/>
        <w:jc w:val="both"/>
        <w:rPr>
          <w:rFonts w:eastAsiaTheme="minorEastAsia"/>
          <w:color w:val="auto"/>
        </w:rPr>
      </w:pPr>
      <w:r>
        <w:rPr>
          <w:rFonts w:hint="eastAsia" w:ascii="宋体" w:hAnsi="宋体" w:cs="宋体"/>
          <w:color w:val="auto"/>
        </w:rPr>
        <w:t>②</w:t>
      </w:r>
      <w:r>
        <w:rPr>
          <w:rFonts w:eastAsiaTheme="minorEastAsia"/>
          <w:color w:val="auto"/>
        </w:rPr>
        <w:t>用水量：露天开采矿区职工生活用水量约为0.25m</w:t>
      </w:r>
      <w:r>
        <w:rPr>
          <w:rFonts w:eastAsiaTheme="minorEastAsia"/>
          <w:color w:val="auto"/>
          <w:vertAlign w:val="superscript"/>
        </w:rPr>
        <w:t>3</w:t>
      </w:r>
      <w:r>
        <w:rPr>
          <w:rFonts w:eastAsiaTheme="minorEastAsia"/>
          <w:color w:val="auto"/>
        </w:rPr>
        <w:t>/d（10人、25L/人•d），生活用水60m</w:t>
      </w:r>
      <w:r>
        <w:rPr>
          <w:rFonts w:eastAsiaTheme="minorEastAsia"/>
          <w:color w:val="auto"/>
          <w:vertAlign w:val="superscript"/>
        </w:rPr>
        <w:t>3</w:t>
      </w:r>
      <w:r>
        <w:rPr>
          <w:rFonts w:eastAsiaTheme="minorEastAsia"/>
          <w:color w:val="auto"/>
        </w:rPr>
        <w:t>/a；生产用水1860m</w:t>
      </w:r>
      <w:r>
        <w:rPr>
          <w:rFonts w:eastAsiaTheme="minorEastAsia"/>
          <w:color w:val="auto"/>
          <w:vertAlign w:val="superscript"/>
        </w:rPr>
        <w:t>3</w:t>
      </w:r>
      <w:r>
        <w:rPr>
          <w:rFonts w:eastAsiaTheme="minorEastAsia"/>
          <w:color w:val="auto"/>
        </w:rPr>
        <w:t>/a（采剥钻孔、爆破、道路等降尘用水），其中矿区</w:t>
      </w:r>
      <w:r>
        <w:rPr>
          <w:rFonts w:hint="eastAsia" w:eastAsiaTheme="minorEastAsia"/>
          <w:color w:val="auto"/>
          <w:lang w:eastAsia="zh-CN"/>
        </w:rPr>
        <w:t>最大</w:t>
      </w:r>
      <w:r>
        <w:rPr>
          <w:rFonts w:eastAsiaTheme="minorEastAsia"/>
          <w:color w:val="auto"/>
        </w:rPr>
        <w:t>汇水</w:t>
      </w:r>
      <w:r>
        <w:rPr>
          <w:rFonts w:hint="eastAsia" w:eastAsiaTheme="minorEastAsia"/>
          <w:color w:val="auto"/>
          <w:lang w:eastAsia="zh-CN"/>
        </w:rPr>
        <w:t>量</w:t>
      </w:r>
      <w:r>
        <w:rPr>
          <w:rFonts w:hint="eastAsia" w:eastAsiaTheme="minorEastAsia"/>
          <w:color w:val="auto"/>
          <w:lang w:val="en-US" w:eastAsia="zh-CN"/>
        </w:rPr>
        <w:t>894</w:t>
      </w:r>
      <w:r>
        <w:rPr>
          <w:rFonts w:eastAsiaTheme="minorEastAsia"/>
          <w:color w:val="auto"/>
        </w:rPr>
        <w:t>m</w:t>
      </w:r>
      <w:r>
        <w:rPr>
          <w:rFonts w:eastAsiaTheme="minorEastAsia"/>
          <w:color w:val="auto"/>
          <w:vertAlign w:val="superscript"/>
        </w:rPr>
        <w:t>3</w:t>
      </w:r>
      <w:r>
        <w:rPr>
          <w:rFonts w:eastAsiaTheme="minorEastAsia"/>
          <w:color w:val="auto"/>
        </w:rPr>
        <w:t>/</w:t>
      </w:r>
      <w:r>
        <w:rPr>
          <w:rFonts w:hint="eastAsia" w:eastAsiaTheme="minorEastAsia"/>
          <w:color w:val="auto"/>
          <w:lang w:eastAsia="zh-CN"/>
        </w:rPr>
        <w:t>次（由于本项目与佳华分厂共用一个采石场，因此两家合建一个</w:t>
      </w:r>
      <w:r>
        <w:rPr>
          <w:rFonts w:hint="eastAsia" w:eastAsiaTheme="minorEastAsia"/>
          <w:color w:val="auto"/>
          <w:lang w:val="en-US" w:eastAsia="zh-CN"/>
        </w:rPr>
        <w:t>900</w:t>
      </w:r>
      <w:r>
        <w:rPr>
          <w:rFonts w:eastAsiaTheme="minorEastAsia"/>
          <w:color w:val="auto"/>
        </w:rPr>
        <w:t>m</w:t>
      </w:r>
      <w:r>
        <w:rPr>
          <w:rFonts w:eastAsiaTheme="minorEastAsia"/>
          <w:color w:val="auto"/>
          <w:vertAlign w:val="superscript"/>
        </w:rPr>
        <w:t>3</w:t>
      </w:r>
      <w:r>
        <w:rPr>
          <w:rFonts w:hint="eastAsia" w:eastAsiaTheme="minorEastAsia"/>
          <w:color w:val="auto"/>
          <w:lang w:eastAsia="zh-CN"/>
        </w:rPr>
        <w:t>贮水池，根据本项目集水面积计算出本项目可用贮水池水</w:t>
      </w:r>
      <w:r>
        <w:rPr>
          <w:rFonts w:hint="eastAsia" w:eastAsiaTheme="minorEastAsia"/>
          <w:color w:val="auto"/>
          <w:lang w:val="en-US" w:eastAsia="zh-CN"/>
        </w:rPr>
        <w:t>449</w:t>
      </w:r>
      <w:r>
        <w:rPr>
          <w:rFonts w:eastAsiaTheme="minorEastAsia"/>
          <w:color w:val="auto"/>
        </w:rPr>
        <w:t>m</w:t>
      </w:r>
      <w:r>
        <w:rPr>
          <w:rFonts w:eastAsiaTheme="minorEastAsia"/>
          <w:color w:val="auto"/>
          <w:vertAlign w:val="superscript"/>
        </w:rPr>
        <w:t>3</w:t>
      </w:r>
      <w:r>
        <w:rPr>
          <w:rFonts w:hint="eastAsia" w:eastAsiaTheme="minorEastAsia"/>
          <w:color w:val="auto"/>
          <w:lang w:eastAsia="zh-CN"/>
        </w:rPr>
        <w:t>）</w:t>
      </w:r>
      <w:r>
        <w:rPr>
          <w:rFonts w:eastAsiaTheme="minorEastAsia"/>
          <w:color w:val="auto"/>
        </w:rPr>
        <w:t>，补新水量约为</w:t>
      </w:r>
      <w:r>
        <w:rPr>
          <w:rFonts w:hint="eastAsia" w:eastAsiaTheme="minorEastAsia"/>
          <w:color w:val="auto"/>
          <w:lang w:eastAsia="zh-CN"/>
        </w:rPr>
        <w:t>1471</w:t>
      </w:r>
      <w:r>
        <w:rPr>
          <w:rFonts w:eastAsiaTheme="minorEastAsia"/>
          <w:color w:val="auto"/>
        </w:rPr>
        <w:t>m</w:t>
      </w:r>
      <w:r>
        <w:rPr>
          <w:rFonts w:eastAsiaTheme="minorEastAsia"/>
          <w:color w:val="auto"/>
          <w:vertAlign w:val="superscript"/>
        </w:rPr>
        <w:t>3</w:t>
      </w:r>
      <w:r>
        <w:rPr>
          <w:rFonts w:eastAsiaTheme="minorEastAsia"/>
          <w:color w:val="auto"/>
        </w:rPr>
        <w:t>/a。室外消防用水量15L/s计，同一时间火灾的次数为一次，火灾延续时间为3h。矿区建有自己完整的给水系统，系统畅通，可以满足项目需要。</w:t>
      </w:r>
    </w:p>
    <w:p>
      <w:pPr>
        <w:pStyle w:val="276"/>
        <w:rPr>
          <w:rFonts w:eastAsiaTheme="minorEastAsia"/>
          <w:color w:val="auto"/>
        </w:rPr>
      </w:pPr>
      <w:r>
        <w:rPr>
          <w:rFonts w:eastAsiaTheme="minorEastAsia"/>
          <w:color w:val="auto"/>
        </w:rPr>
        <w:t>本项目在采矿境界汇水上方设置截流沟，场地内设导流渠，导流渠沟汇水经</w:t>
      </w:r>
      <w:r>
        <w:rPr>
          <w:rFonts w:hint="eastAsia" w:eastAsiaTheme="minorEastAsia"/>
          <w:color w:val="auto"/>
          <w:lang w:val="en-US" w:eastAsia="zh-CN"/>
        </w:rPr>
        <w:t>9</w:t>
      </w:r>
      <w:r>
        <w:rPr>
          <w:rFonts w:hint="eastAsia" w:eastAsiaTheme="minorEastAsia"/>
          <w:color w:val="auto"/>
          <w:lang w:eastAsia="zh-CN"/>
        </w:rPr>
        <w:t>00m</w:t>
      </w:r>
      <w:r>
        <w:rPr>
          <w:rFonts w:eastAsiaTheme="minorEastAsia"/>
          <w:color w:val="auto"/>
          <w:vertAlign w:val="superscript"/>
        </w:rPr>
        <w:t>3</w:t>
      </w:r>
      <w:r>
        <w:rPr>
          <w:rFonts w:eastAsiaTheme="minorEastAsia"/>
          <w:color w:val="auto"/>
        </w:rPr>
        <w:t>沉淀贮水池收集后用于生产过程降尘。</w:t>
      </w:r>
    </w:p>
    <w:p>
      <w:pPr>
        <w:pStyle w:val="276"/>
        <w:rPr>
          <w:rFonts w:eastAsiaTheme="minorEastAsia"/>
          <w:color w:val="auto"/>
        </w:rPr>
      </w:pPr>
      <w:r>
        <w:rPr>
          <w:rFonts w:eastAsiaTheme="minorEastAsia"/>
          <w:color w:val="auto"/>
        </w:rPr>
        <w:t>本项目在工业场地汇水上方设置截流沟，场地内设导流渠，导流渠沟汇水经</w:t>
      </w:r>
      <w:r>
        <w:rPr>
          <w:rFonts w:hint="eastAsia" w:eastAsiaTheme="minorEastAsia"/>
          <w:color w:val="auto"/>
          <w:lang w:val="en-US" w:eastAsia="zh-CN"/>
        </w:rPr>
        <w:t>9</w:t>
      </w:r>
      <w:r>
        <w:rPr>
          <w:rFonts w:hint="eastAsia" w:eastAsiaTheme="minorEastAsia"/>
          <w:color w:val="auto"/>
          <w:lang w:eastAsia="zh-CN"/>
        </w:rPr>
        <w:t>00m</w:t>
      </w:r>
      <w:r>
        <w:rPr>
          <w:rFonts w:eastAsiaTheme="minorEastAsia"/>
          <w:color w:val="auto"/>
          <w:vertAlign w:val="superscript"/>
        </w:rPr>
        <w:t>3</w:t>
      </w:r>
      <w:r>
        <w:rPr>
          <w:rFonts w:eastAsiaTheme="minorEastAsia"/>
          <w:color w:val="auto"/>
        </w:rPr>
        <w:t>沉淀池收集后用于生产过程降尘。露天采坑径流水量按下式计算：</w:t>
      </w:r>
    </w:p>
    <w:p>
      <w:pPr>
        <w:pStyle w:val="276"/>
        <w:jc w:val="center"/>
        <w:rPr>
          <w:rFonts w:eastAsiaTheme="minorEastAsia"/>
          <w:color w:val="auto"/>
        </w:rPr>
      </w:pPr>
      <w:r>
        <w:rPr>
          <w:rFonts w:eastAsiaTheme="minorEastAsia"/>
          <w:color w:val="auto"/>
        </w:rPr>
        <w:t>Q=αHF</w:t>
      </w:r>
    </w:p>
    <w:p>
      <w:pPr>
        <w:autoSpaceDE w:val="0"/>
        <w:autoSpaceDN w:val="0"/>
        <w:adjustRightInd w:val="0"/>
        <w:spacing w:line="500" w:lineRule="exact"/>
        <w:ind w:firstLine="480" w:firstLineChars="200"/>
        <w:jc w:val="left"/>
        <w:rPr>
          <w:rFonts w:eastAsiaTheme="minorEastAsia"/>
          <w:color w:val="auto"/>
          <w:kern w:val="0"/>
          <w:szCs w:val="24"/>
        </w:rPr>
      </w:pPr>
      <w:r>
        <w:rPr>
          <w:rFonts w:eastAsiaTheme="minorEastAsia"/>
          <w:color w:val="auto"/>
          <w:kern w:val="0"/>
          <w:szCs w:val="24"/>
        </w:rPr>
        <w:t>式中：Q—采坑径流水总量，m</w:t>
      </w:r>
      <w:r>
        <w:rPr>
          <w:rFonts w:eastAsiaTheme="minorEastAsia"/>
          <w:color w:val="auto"/>
          <w:kern w:val="0"/>
          <w:szCs w:val="24"/>
          <w:vertAlign w:val="superscript"/>
        </w:rPr>
        <w:t>3</w:t>
      </w:r>
      <w:r>
        <w:rPr>
          <w:rFonts w:eastAsiaTheme="minorEastAsia"/>
          <w:color w:val="auto"/>
          <w:kern w:val="0"/>
          <w:szCs w:val="24"/>
        </w:rPr>
        <w:t xml:space="preserve">； </w:t>
      </w:r>
    </w:p>
    <w:p>
      <w:pPr>
        <w:autoSpaceDE w:val="0"/>
        <w:autoSpaceDN w:val="0"/>
        <w:adjustRightInd w:val="0"/>
        <w:spacing w:line="500" w:lineRule="exact"/>
        <w:ind w:firstLine="480" w:firstLineChars="200"/>
        <w:jc w:val="left"/>
        <w:rPr>
          <w:rFonts w:eastAsiaTheme="minorEastAsia"/>
          <w:color w:val="auto"/>
          <w:kern w:val="0"/>
          <w:szCs w:val="24"/>
        </w:rPr>
      </w:pPr>
      <w:r>
        <w:rPr>
          <w:rFonts w:eastAsiaTheme="minorEastAsia"/>
          <w:color w:val="auto"/>
          <w:kern w:val="0"/>
          <w:szCs w:val="24"/>
        </w:rPr>
        <w:t xml:space="preserve">α—径流系数，取0.15； </w:t>
      </w:r>
    </w:p>
    <w:p>
      <w:pPr>
        <w:autoSpaceDE w:val="0"/>
        <w:autoSpaceDN w:val="0"/>
        <w:adjustRightInd w:val="0"/>
        <w:spacing w:line="500" w:lineRule="exact"/>
        <w:ind w:firstLine="480" w:firstLineChars="200"/>
        <w:jc w:val="left"/>
        <w:rPr>
          <w:rFonts w:eastAsiaTheme="minorEastAsia"/>
          <w:color w:val="auto"/>
          <w:kern w:val="0"/>
          <w:szCs w:val="24"/>
        </w:rPr>
      </w:pPr>
      <w:r>
        <w:rPr>
          <w:rFonts w:eastAsiaTheme="minorEastAsia"/>
          <w:color w:val="auto"/>
          <w:kern w:val="0"/>
          <w:szCs w:val="24"/>
        </w:rPr>
        <w:t>H—当地多年最大日降雨量，取</w:t>
      </w:r>
      <w:r>
        <w:rPr>
          <w:rFonts w:hint="eastAsia" w:eastAsiaTheme="minorEastAsia"/>
          <w:color w:val="auto"/>
          <w:kern w:val="0"/>
          <w:szCs w:val="24"/>
        </w:rPr>
        <w:t>841.1</w:t>
      </w:r>
      <w:r>
        <w:rPr>
          <w:rFonts w:eastAsiaTheme="minorEastAsia"/>
          <w:color w:val="auto"/>
          <w:kern w:val="0"/>
          <w:szCs w:val="24"/>
        </w:rPr>
        <w:t xml:space="preserve">mm； </w:t>
      </w:r>
    </w:p>
    <w:p>
      <w:pPr>
        <w:pStyle w:val="276"/>
        <w:rPr>
          <w:rFonts w:hint="eastAsia" w:eastAsiaTheme="minorEastAsia"/>
          <w:color w:val="auto"/>
          <w:lang w:eastAsia="zh-CN"/>
        </w:rPr>
      </w:pPr>
      <w:r>
        <w:rPr>
          <w:rFonts w:eastAsiaTheme="minorEastAsia"/>
          <w:color w:val="auto"/>
        </w:rPr>
        <w:t>F—</w:t>
      </w:r>
      <w:bookmarkStart w:id="116" w:name="OLE_LINK3"/>
      <w:r>
        <w:rPr>
          <w:rFonts w:eastAsiaTheme="minorEastAsia"/>
          <w:color w:val="auto"/>
        </w:rPr>
        <w:t>集水面积</w:t>
      </w:r>
      <w:bookmarkEnd w:id="116"/>
      <w:r>
        <w:rPr>
          <w:rFonts w:eastAsiaTheme="minorEastAsia"/>
          <w:color w:val="auto"/>
        </w:rPr>
        <w:t>，</w:t>
      </w:r>
      <w:r>
        <w:rPr>
          <w:rFonts w:hint="eastAsia" w:eastAsiaTheme="minorEastAsia"/>
          <w:color w:val="auto"/>
          <w:lang w:eastAsia="zh-CN"/>
        </w:rPr>
        <w:t>（整个矿区采场</w:t>
      </w:r>
      <w:r>
        <w:rPr>
          <w:rFonts w:hint="eastAsia" w:eastAsiaTheme="minorEastAsia"/>
          <w:color w:val="auto"/>
          <w:lang w:val="en-US" w:eastAsia="zh-CN"/>
        </w:rPr>
        <w:t>7085</w:t>
      </w:r>
      <w:r>
        <w:rPr>
          <w:rFonts w:eastAsiaTheme="minorEastAsia"/>
          <w:color w:val="auto"/>
        </w:rPr>
        <w:t>m</w:t>
      </w:r>
      <w:r>
        <w:rPr>
          <w:rFonts w:eastAsiaTheme="minorEastAsia"/>
          <w:color w:val="auto"/>
          <w:vertAlign w:val="superscript"/>
        </w:rPr>
        <w:t>2</w:t>
      </w:r>
      <w:r>
        <w:rPr>
          <w:rFonts w:hint="eastAsia" w:eastAsiaTheme="minorEastAsia"/>
          <w:color w:val="auto"/>
          <w:lang w:val="en-US" w:eastAsia="zh-CN"/>
        </w:rPr>
        <w:t>，本项目占</w:t>
      </w:r>
      <w:r>
        <w:rPr>
          <w:rFonts w:hint="eastAsia" w:eastAsiaTheme="minorEastAsia"/>
          <w:color w:val="auto"/>
          <w:lang w:eastAsia="zh-CN"/>
        </w:rPr>
        <w:t>3555</w:t>
      </w:r>
      <w:r>
        <w:rPr>
          <w:rFonts w:eastAsiaTheme="minorEastAsia"/>
          <w:color w:val="auto"/>
        </w:rPr>
        <w:t>m</w:t>
      </w:r>
      <w:r>
        <w:rPr>
          <w:rFonts w:eastAsiaTheme="minorEastAsia"/>
          <w:color w:val="auto"/>
          <w:vertAlign w:val="superscript"/>
        </w:rPr>
        <w:t>2</w:t>
      </w:r>
      <w:r>
        <w:rPr>
          <w:rFonts w:hint="eastAsia" w:eastAsiaTheme="minorEastAsia"/>
          <w:color w:val="auto"/>
          <w:lang w:eastAsia="zh-CN"/>
        </w:rPr>
        <w:t>）。</w:t>
      </w:r>
    </w:p>
    <w:p>
      <w:pPr>
        <w:pStyle w:val="276"/>
        <w:rPr>
          <w:rFonts w:eastAsiaTheme="minorEastAsia"/>
          <w:color w:val="auto"/>
        </w:rPr>
      </w:pPr>
      <w:r>
        <w:rPr>
          <w:rFonts w:eastAsiaTheme="minorEastAsia"/>
          <w:color w:val="auto"/>
        </w:rPr>
        <w:t>本项目贮水池容积按照区域多年日最大降雨量来计算，经过计算本项目</w:t>
      </w:r>
      <w:r>
        <w:rPr>
          <w:rFonts w:hint="eastAsia" w:eastAsiaTheme="minorEastAsia"/>
          <w:color w:val="auto"/>
          <w:lang w:eastAsia="zh-CN"/>
        </w:rPr>
        <w:t>所在矿区</w:t>
      </w:r>
      <w:r>
        <w:rPr>
          <w:rFonts w:eastAsiaTheme="minorEastAsia"/>
          <w:color w:val="auto"/>
        </w:rPr>
        <w:t>最大日径流量为</w:t>
      </w:r>
      <w:r>
        <w:rPr>
          <w:rFonts w:hint="eastAsia" w:eastAsiaTheme="minorEastAsia"/>
          <w:color w:val="auto"/>
          <w:lang w:eastAsia="zh-CN"/>
        </w:rPr>
        <w:t>894</w:t>
      </w:r>
      <w:r>
        <w:rPr>
          <w:rFonts w:eastAsiaTheme="minorEastAsia"/>
          <w:color w:val="auto"/>
        </w:rPr>
        <w:t>m</w:t>
      </w:r>
      <w:r>
        <w:rPr>
          <w:rFonts w:eastAsiaTheme="minorEastAsia"/>
          <w:color w:val="auto"/>
          <w:vertAlign w:val="superscript"/>
        </w:rPr>
        <w:t>3</w:t>
      </w:r>
      <w:r>
        <w:rPr>
          <w:rFonts w:hint="eastAsia" w:eastAsiaTheme="minorEastAsia"/>
          <w:color w:val="auto"/>
          <w:lang w:eastAsia="zh-CN"/>
        </w:rPr>
        <w:t>，由于本项目与佳华分厂共用一个采石场，因此两家合建一个</w:t>
      </w:r>
      <w:r>
        <w:rPr>
          <w:rFonts w:hint="eastAsia" w:eastAsiaTheme="minorEastAsia"/>
          <w:color w:val="auto"/>
          <w:lang w:val="en-US" w:eastAsia="zh-CN"/>
        </w:rPr>
        <w:t>900</w:t>
      </w:r>
      <w:r>
        <w:rPr>
          <w:rFonts w:eastAsiaTheme="minorEastAsia"/>
          <w:color w:val="auto"/>
        </w:rPr>
        <w:t>m</w:t>
      </w:r>
      <w:r>
        <w:rPr>
          <w:rFonts w:eastAsiaTheme="minorEastAsia"/>
          <w:color w:val="auto"/>
          <w:vertAlign w:val="superscript"/>
        </w:rPr>
        <w:t>3</w:t>
      </w:r>
      <w:r>
        <w:rPr>
          <w:rFonts w:hint="eastAsia" w:eastAsiaTheme="minorEastAsia"/>
          <w:color w:val="auto"/>
          <w:lang w:eastAsia="zh-CN"/>
        </w:rPr>
        <w:t>贮水池，根据本项目集水面积计算出本项目可用贮水池水</w:t>
      </w:r>
      <w:r>
        <w:rPr>
          <w:rFonts w:hint="eastAsia" w:eastAsiaTheme="minorEastAsia"/>
          <w:color w:val="auto"/>
          <w:lang w:val="en-US" w:eastAsia="zh-CN"/>
        </w:rPr>
        <w:t>449</w:t>
      </w:r>
      <w:r>
        <w:rPr>
          <w:rFonts w:eastAsiaTheme="minorEastAsia"/>
          <w:color w:val="auto"/>
        </w:rPr>
        <w:t>m</w:t>
      </w:r>
      <w:r>
        <w:rPr>
          <w:rFonts w:eastAsiaTheme="minorEastAsia"/>
          <w:color w:val="auto"/>
          <w:vertAlign w:val="superscript"/>
        </w:rPr>
        <w:t>3</w:t>
      </w:r>
      <w:r>
        <w:rPr>
          <w:rFonts w:hint="eastAsia" w:eastAsiaTheme="minorEastAsia"/>
          <w:color w:val="auto"/>
          <w:lang w:eastAsia="zh-CN"/>
        </w:rPr>
        <w:t>，由于地势西高东低，矿区汇水经佳华采区流向本项目学刚采区，因此，贮水池设置在本项目学刚采区底部。</w:t>
      </w:r>
      <w:r>
        <w:rPr>
          <w:rFonts w:eastAsiaTheme="minorEastAsia"/>
          <w:color w:val="auto"/>
        </w:rPr>
        <w:t>矿区内设导流渠，矿区汇水经导流渠汇入</w:t>
      </w:r>
      <w:r>
        <w:rPr>
          <w:rFonts w:hint="eastAsia" w:eastAsiaTheme="minorEastAsia"/>
          <w:color w:val="auto"/>
          <w:lang w:val="en-US" w:eastAsia="zh-CN"/>
        </w:rPr>
        <w:t>900</w:t>
      </w:r>
      <w:r>
        <w:rPr>
          <w:rFonts w:eastAsiaTheme="minorEastAsia"/>
          <w:color w:val="auto"/>
        </w:rPr>
        <w:t>m</w:t>
      </w:r>
      <w:r>
        <w:rPr>
          <w:rFonts w:eastAsiaTheme="minorEastAsia"/>
          <w:color w:val="auto"/>
          <w:vertAlign w:val="superscript"/>
        </w:rPr>
        <w:t>3</w:t>
      </w:r>
      <w:r>
        <w:rPr>
          <w:rFonts w:eastAsiaTheme="minorEastAsia"/>
          <w:color w:val="auto"/>
        </w:rPr>
        <w:t>贮水池，收集后用于生产过程降尘。本项目具体用、排水情况见表3-2-5。</w:t>
      </w:r>
    </w:p>
    <w:p>
      <w:pPr>
        <w:pStyle w:val="276"/>
        <w:rPr>
          <w:rFonts w:eastAsiaTheme="minorEastAsia"/>
          <w:color w:val="auto"/>
        </w:rPr>
      </w:pPr>
      <w:r>
        <w:rPr>
          <w:rFonts w:eastAsiaTheme="minorEastAsia"/>
          <w:color w:val="auto"/>
        </w:rPr>
        <w:t>暴雨期间矿坑水以积存大量雨水为主，通过矿区内导流渠汇入</w:t>
      </w:r>
      <w:r>
        <w:rPr>
          <w:rFonts w:hint="eastAsia" w:eastAsiaTheme="minorEastAsia"/>
          <w:color w:val="auto"/>
          <w:lang w:val="en-US" w:eastAsia="zh-CN"/>
        </w:rPr>
        <w:t>9</w:t>
      </w:r>
      <w:r>
        <w:rPr>
          <w:rFonts w:hint="eastAsia" w:eastAsiaTheme="minorEastAsia"/>
          <w:color w:val="auto"/>
          <w:lang w:eastAsia="zh-CN"/>
        </w:rPr>
        <w:t>00m</w:t>
      </w:r>
      <w:r>
        <w:rPr>
          <w:rFonts w:eastAsiaTheme="minorEastAsia"/>
          <w:color w:val="auto"/>
          <w:vertAlign w:val="superscript"/>
        </w:rPr>
        <w:t>3</w:t>
      </w:r>
      <w:r>
        <w:rPr>
          <w:rFonts w:eastAsiaTheme="minorEastAsia"/>
          <w:color w:val="auto"/>
        </w:rPr>
        <w:t>贮水池，山坡露天采用排水沟自流方式外排。</w:t>
      </w:r>
    </w:p>
    <w:p>
      <w:pPr>
        <w:pStyle w:val="276"/>
        <w:rPr>
          <w:rFonts w:eastAsiaTheme="minorEastAsia"/>
          <w:color w:val="auto"/>
        </w:rPr>
      </w:pPr>
      <w:r>
        <w:rPr>
          <w:rFonts w:hint="eastAsia" w:ascii="宋体" w:hAnsi="宋体" w:cs="宋体"/>
          <w:color w:val="auto"/>
        </w:rPr>
        <w:t>③</w:t>
      </w:r>
      <w:r>
        <w:rPr>
          <w:rFonts w:eastAsiaTheme="minorEastAsia"/>
          <w:color w:val="auto"/>
        </w:rPr>
        <w:t>节水措施：本项目设置贮水池及导流渠收集矿区汇水作为采剥钻孔、爆破、临时堆土场及道路降尘用水，节水</w:t>
      </w:r>
      <w:r>
        <w:rPr>
          <w:rFonts w:hint="eastAsia" w:eastAsiaTheme="minorEastAsia"/>
          <w:color w:val="auto"/>
          <w:lang w:val="en-US" w:eastAsia="zh-CN"/>
        </w:rPr>
        <w:t>449</w:t>
      </w:r>
      <w:r>
        <w:rPr>
          <w:rFonts w:eastAsiaTheme="minorEastAsia"/>
          <w:color w:val="auto"/>
        </w:rPr>
        <w:t>m</w:t>
      </w:r>
      <w:r>
        <w:rPr>
          <w:rFonts w:eastAsiaTheme="minorEastAsia"/>
          <w:color w:val="auto"/>
          <w:vertAlign w:val="superscript"/>
        </w:rPr>
        <w:t>3</w:t>
      </w:r>
      <w:r>
        <w:rPr>
          <w:rFonts w:eastAsiaTheme="minorEastAsia"/>
          <w:color w:val="auto"/>
        </w:rPr>
        <w:t>/a。</w:t>
      </w:r>
    </w:p>
    <w:p>
      <w:pPr>
        <w:pStyle w:val="276"/>
        <w:rPr>
          <w:rFonts w:eastAsiaTheme="minorEastAsia"/>
          <w:color w:val="auto"/>
        </w:rPr>
      </w:pPr>
      <w:r>
        <w:rPr>
          <w:rFonts w:hint="eastAsia" w:ascii="宋体" w:hAnsi="宋体" w:cs="宋体"/>
          <w:color w:val="auto"/>
        </w:rPr>
        <w:t>④</w:t>
      </w:r>
      <w:r>
        <w:rPr>
          <w:rFonts w:eastAsiaTheme="minorEastAsia"/>
          <w:color w:val="auto"/>
        </w:rPr>
        <w:t>排水：本项目生产用水不外排，降尘用水绝大多数蒸发掉，很难收集。职工排水按生活用水量80%计，生活排水为0.2m</w:t>
      </w:r>
      <w:r>
        <w:rPr>
          <w:rFonts w:eastAsiaTheme="minorEastAsia"/>
          <w:color w:val="auto"/>
          <w:vertAlign w:val="superscript"/>
        </w:rPr>
        <w:t>3</w:t>
      </w:r>
      <w:r>
        <w:rPr>
          <w:rFonts w:eastAsiaTheme="minorEastAsia"/>
          <w:color w:val="auto"/>
        </w:rPr>
        <w:t>/d，生活污水量较少。经防渗旱厕统一收集，定期清掏，外运堆肥。具体用、排水情况见表3-2-5。</w:t>
      </w:r>
    </w:p>
    <w:p>
      <w:pPr>
        <w:pStyle w:val="244"/>
        <w:rPr>
          <w:rFonts w:eastAsiaTheme="minorEastAsia"/>
          <w:color w:val="auto"/>
        </w:rPr>
      </w:pPr>
      <w:r>
        <w:rPr>
          <w:rFonts w:eastAsiaTheme="minorEastAsia"/>
          <w:color w:val="auto"/>
        </w:rPr>
        <w:t>表3-2-5     用排水情况</w:t>
      </w:r>
    </w:p>
    <w:tbl>
      <w:tblPr>
        <w:tblStyle w:val="53"/>
        <w:tblW w:w="879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7"/>
        <w:gridCol w:w="2552"/>
        <w:gridCol w:w="2693"/>
        <w:gridCol w:w="27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3" w:hRule="atLeast"/>
        </w:trPr>
        <w:tc>
          <w:tcPr>
            <w:tcW w:w="817" w:type="dxa"/>
            <w:tcBorders>
              <w:top w:val="single" w:color="auto" w:sz="12" w:space="0"/>
              <w:left w:val="nil"/>
            </w:tcBorders>
            <w:vAlign w:val="center"/>
          </w:tcPr>
          <w:p>
            <w:pPr>
              <w:pStyle w:val="246"/>
              <w:rPr>
                <w:rFonts w:eastAsiaTheme="minorEastAsia"/>
                <w:color w:val="auto"/>
              </w:rPr>
            </w:pPr>
            <w:r>
              <w:rPr>
                <w:rFonts w:eastAsiaTheme="minorEastAsia"/>
                <w:color w:val="auto"/>
              </w:rPr>
              <w:t>序号</w:t>
            </w:r>
          </w:p>
        </w:tc>
        <w:tc>
          <w:tcPr>
            <w:tcW w:w="2552" w:type="dxa"/>
            <w:tcBorders>
              <w:top w:val="single" w:color="auto" w:sz="12" w:space="0"/>
            </w:tcBorders>
            <w:vAlign w:val="center"/>
          </w:tcPr>
          <w:p>
            <w:pPr>
              <w:pStyle w:val="246"/>
              <w:rPr>
                <w:rFonts w:eastAsiaTheme="minorEastAsia"/>
                <w:color w:val="auto"/>
              </w:rPr>
            </w:pPr>
            <w:r>
              <w:rPr>
                <w:rFonts w:eastAsiaTheme="minorEastAsia"/>
                <w:color w:val="auto"/>
              </w:rPr>
              <w:t>用水工序</w:t>
            </w:r>
          </w:p>
        </w:tc>
        <w:tc>
          <w:tcPr>
            <w:tcW w:w="2693" w:type="dxa"/>
            <w:tcBorders>
              <w:top w:val="single" w:color="auto" w:sz="12" w:space="0"/>
            </w:tcBorders>
            <w:vAlign w:val="center"/>
          </w:tcPr>
          <w:p>
            <w:pPr>
              <w:pStyle w:val="246"/>
              <w:rPr>
                <w:rFonts w:eastAsiaTheme="minorEastAsia"/>
                <w:color w:val="auto"/>
              </w:rPr>
            </w:pPr>
            <w:r>
              <w:rPr>
                <w:rFonts w:eastAsiaTheme="minorEastAsia"/>
                <w:color w:val="auto"/>
              </w:rPr>
              <w:t>用水量</w:t>
            </w:r>
          </w:p>
        </w:tc>
        <w:tc>
          <w:tcPr>
            <w:tcW w:w="2730" w:type="dxa"/>
            <w:tcBorders>
              <w:top w:val="single" w:color="auto" w:sz="12" w:space="0"/>
              <w:right w:val="nil"/>
            </w:tcBorders>
            <w:vAlign w:val="center"/>
          </w:tcPr>
          <w:p>
            <w:pPr>
              <w:pStyle w:val="246"/>
              <w:rPr>
                <w:rFonts w:eastAsiaTheme="minorEastAsia"/>
                <w:color w:val="auto"/>
              </w:rPr>
            </w:pPr>
            <w:r>
              <w:rPr>
                <w:rFonts w:eastAsiaTheme="minorEastAsia"/>
                <w:color w:val="auto"/>
              </w:rPr>
              <w:t>排水量去向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3" w:hRule="atLeast"/>
        </w:trPr>
        <w:tc>
          <w:tcPr>
            <w:tcW w:w="817" w:type="dxa"/>
            <w:tcBorders>
              <w:left w:val="nil"/>
            </w:tcBorders>
            <w:vAlign w:val="center"/>
          </w:tcPr>
          <w:p>
            <w:pPr>
              <w:pStyle w:val="246"/>
              <w:rPr>
                <w:rFonts w:eastAsiaTheme="minorEastAsia"/>
                <w:color w:val="auto"/>
              </w:rPr>
            </w:pPr>
            <w:r>
              <w:rPr>
                <w:rFonts w:eastAsiaTheme="minorEastAsia"/>
                <w:color w:val="auto"/>
              </w:rPr>
              <w:t>1</w:t>
            </w:r>
          </w:p>
        </w:tc>
        <w:tc>
          <w:tcPr>
            <w:tcW w:w="2552" w:type="dxa"/>
            <w:vAlign w:val="center"/>
          </w:tcPr>
          <w:p>
            <w:pPr>
              <w:pStyle w:val="246"/>
              <w:rPr>
                <w:rFonts w:eastAsiaTheme="minorEastAsia"/>
                <w:color w:val="auto"/>
              </w:rPr>
            </w:pPr>
            <w:r>
              <w:rPr>
                <w:rFonts w:eastAsiaTheme="minorEastAsia"/>
                <w:color w:val="auto"/>
              </w:rPr>
              <w:t>采剥钻孔抑尘</w:t>
            </w:r>
          </w:p>
        </w:tc>
        <w:tc>
          <w:tcPr>
            <w:tcW w:w="2693" w:type="dxa"/>
            <w:vAlign w:val="center"/>
          </w:tcPr>
          <w:p>
            <w:pPr>
              <w:pStyle w:val="246"/>
              <w:rPr>
                <w:rFonts w:eastAsiaTheme="minorEastAsia"/>
                <w:color w:val="auto"/>
              </w:rPr>
            </w:pPr>
            <w:r>
              <w:rPr>
                <w:rFonts w:eastAsiaTheme="minorEastAsia"/>
                <w:color w:val="auto"/>
              </w:rPr>
              <w:t>6 m</w:t>
            </w:r>
            <w:r>
              <w:rPr>
                <w:rFonts w:eastAsiaTheme="minorEastAsia"/>
                <w:color w:val="auto"/>
                <w:vertAlign w:val="superscript"/>
              </w:rPr>
              <w:t>3</w:t>
            </w:r>
            <w:r>
              <w:rPr>
                <w:rFonts w:eastAsiaTheme="minorEastAsia"/>
                <w:color w:val="auto"/>
              </w:rPr>
              <w:t>/次，20次/a，120 m</w:t>
            </w:r>
            <w:r>
              <w:rPr>
                <w:rFonts w:eastAsiaTheme="minorEastAsia"/>
                <w:color w:val="auto"/>
                <w:vertAlign w:val="superscript"/>
              </w:rPr>
              <w:t>3</w:t>
            </w:r>
            <w:r>
              <w:rPr>
                <w:rFonts w:eastAsiaTheme="minorEastAsia"/>
                <w:color w:val="auto"/>
              </w:rPr>
              <w:t>/a</w:t>
            </w:r>
          </w:p>
        </w:tc>
        <w:tc>
          <w:tcPr>
            <w:tcW w:w="2730" w:type="dxa"/>
            <w:vMerge w:val="restart"/>
            <w:tcBorders>
              <w:right w:val="nil"/>
            </w:tcBorders>
            <w:vAlign w:val="center"/>
          </w:tcPr>
          <w:p>
            <w:pPr>
              <w:pStyle w:val="246"/>
              <w:rPr>
                <w:rFonts w:eastAsiaTheme="minorEastAsia"/>
                <w:color w:val="auto"/>
              </w:rPr>
            </w:pPr>
            <w:r>
              <w:rPr>
                <w:rFonts w:eastAsiaTheme="minorEastAsia"/>
                <w:color w:val="auto"/>
              </w:rPr>
              <w:t>蒸发消耗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3" w:hRule="atLeast"/>
        </w:trPr>
        <w:tc>
          <w:tcPr>
            <w:tcW w:w="817" w:type="dxa"/>
            <w:tcBorders>
              <w:left w:val="nil"/>
            </w:tcBorders>
            <w:vAlign w:val="center"/>
          </w:tcPr>
          <w:p>
            <w:pPr>
              <w:pStyle w:val="246"/>
              <w:rPr>
                <w:rFonts w:eastAsiaTheme="minorEastAsia"/>
                <w:color w:val="auto"/>
              </w:rPr>
            </w:pPr>
            <w:r>
              <w:rPr>
                <w:rFonts w:eastAsiaTheme="minorEastAsia"/>
                <w:color w:val="auto"/>
              </w:rPr>
              <w:t>2</w:t>
            </w:r>
          </w:p>
        </w:tc>
        <w:tc>
          <w:tcPr>
            <w:tcW w:w="2552" w:type="dxa"/>
            <w:vAlign w:val="center"/>
          </w:tcPr>
          <w:p>
            <w:pPr>
              <w:pStyle w:val="246"/>
              <w:rPr>
                <w:rFonts w:eastAsiaTheme="minorEastAsia"/>
                <w:color w:val="auto"/>
              </w:rPr>
            </w:pPr>
            <w:r>
              <w:rPr>
                <w:rFonts w:eastAsiaTheme="minorEastAsia"/>
                <w:color w:val="auto"/>
              </w:rPr>
              <w:t>爆破抑尘</w:t>
            </w:r>
          </w:p>
        </w:tc>
        <w:tc>
          <w:tcPr>
            <w:tcW w:w="2693" w:type="dxa"/>
            <w:vAlign w:val="center"/>
          </w:tcPr>
          <w:p>
            <w:pPr>
              <w:pStyle w:val="246"/>
              <w:rPr>
                <w:rFonts w:eastAsiaTheme="minorEastAsia"/>
                <w:color w:val="auto"/>
              </w:rPr>
            </w:pPr>
            <w:r>
              <w:rPr>
                <w:rFonts w:eastAsiaTheme="minorEastAsia"/>
                <w:color w:val="auto"/>
              </w:rPr>
              <w:t>9m</w:t>
            </w:r>
            <w:r>
              <w:rPr>
                <w:rFonts w:eastAsiaTheme="minorEastAsia"/>
                <w:color w:val="auto"/>
                <w:vertAlign w:val="superscript"/>
              </w:rPr>
              <w:t>3</w:t>
            </w:r>
            <w:r>
              <w:rPr>
                <w:rFonts w:eastAsiaTheme="minorEastAsia"/>
                <w:color w:val="auto"/>
              </w:rPr>
              <w:t>/次，20次/a，180m</w:t>
            </w:r>
            <w:r>
              <w:rPr>
                <w:rFonts w:eastAsiaTheme="minorEastAsia"/>
                <w:color w:val="auto"/>
                <w:vertAlign w:val="superscript"/>
              </w:rPr>
              <w:t>3</w:t>
            </w:r>
            <w:r>
              <w:rPr>
                <w:rFonts w:eastAsiaTheme="minorEastAsia"/>
                <w:color w:val="auto"/>
              </w:rPr>
              <w:t>/a</w:t>
            </w:r>
          </w:p>
        </w:tc>
        <w:tc>
          <w:tcPr>
            <w:tcW w:w="2730" w:type="dxa"/>
            <w:vMerge w:val="continue"/>
            <w:tcBorders>
              <w:right w:val="nil"/>
            </w:tcBorders>
            <w:vAlign w:val="center"/>
          </w:tcPr>
          <w:p>
            <w:pPr>
              <w:pStyle w:val="246"/>
              <w:rPr>
                <w:rFonts w:eastAsiaTheme="minor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3" w:hRule="atLeast"/>
        </w:trPr>
        <w:tc>
          <w:tcPr>
            <w:tcW w:w="817" w:type="dxa"/>
            <w:tcBorders>
              <w:left w:val="nil"/>
            </w:tcBorders>
            <w:vAlign w:val="center"/>
          </w:tcPr>
          <w:p>
            <w:pPr>
              <w:pStyle w:val="246"/>
              <w:rPr>
                <w:rFonts w:eastAsiaTheme="minorEastAsia"/>
                <w:color w:val="auto"/>
              </w:rPr>
            </w:pPr>
            <w:r>
              <w:rPr>
                <w:rFonts w:eastAsiaTheme="minorEastAsia"/>
                <w:color w:val="auto"/>
              </w:rPr>
              <w:t>3</w:t>
            </w:r>
          </w:p>
        </w:tc>
        <w:tc>
          <w:tcPr>
            <w:tcW w:w="2552" w:type="dxa"/>
            <w:vAlign w:val="center"/>
          </w:tcPr>
          <w:p>
            <w:pPr>
              <w:pStyle w:val="246"/>
              <w:rPr>
                <w:rFonts w:eastAsiaTheme="minorEastAsia"/>
                <w:color w:val="auto"/>
              </w:rPr>
            </w:pPr>
            <w:r>
              <w:rPr>
                <w:rFonts w:eastAsiaTheme="minorEastAsia"/>
                <w:color w:val="auto"/>
              </w:rPr>
              <w:t>临时堆土场、原矿堆场抑尘</w:t>
            </w:r>
          </w:p>
        </w:tc>
        <w:tc>
          <w:tcPr>
            <w:tcW w:w="2693" w:type="dxa"/>
            <w:vAlign w:val="center"/>
          </w:tcPr>
          <w:p>
            <w:pPr>
              <w:pStyle w:val="246"/>
              <w:rPr>
                <w:rFonts w:eastAsiaTheme="minorEastAsia"/>
                <w:color w:val="auto"/>
              </w:rPr>
            </w:pPr>
            <w:r>
              <w:rPr>
                <w:rFonts w:eastAsiaTheme="minorEastAsia"/>
                <w:color w:val="auto"/>
              </w:rPr>
              <w:t>1.5 m</w:t>
            </w:r>
            <w:r>
              <w:rPr>
                <w:rFonts w:eastAsiaTheme="minorEastAsia"/>
                <w:color w:val="auto"/>
                <w:vertAlign w:val="superscript"/>
              </w:rPr>
              <w:t>3</w:t>
            </w:r>
            <w:r>
              <w:rPr>
                <w:rFonts w:eastAsiaTheme="minorEastAsia"/>
                <w:color w:val="auto"/>
              </w:rPr>
              <w:t>/次，240次/a，360m</w:t>
            </w:r>
            <w:r>
              <w:rPr>
                <w:rFonts w:eastAsiaTheme="minorEastAsia"/>
                <w:color w:val="auto"/>
                <w:vertAlign w:val="superscript"/>
              </w:rPr>
              <w:t>3</w:t>
            </w:r>
            <w:r>
              <w:rPr>
                <w:rFonts w:eastAsiaTheme="minorEastAsia"/>
                <w:color w:val="auto"/>
              </w:rPr>
              <w:t>/a</w:t>
            </w:r>
          </w:p>
        </w:tc>
        <w:tc>
          <w:tcPr>
            <w:tcW w:w="2730" w:type="dxa"/>
            <w:vMerge w:val="continue"/>
            <w:tcBorders>
              <w:right w:val="nil"/>
            </w:tcBorders>
            <w:vAlign w:val="center"/>
          </w:tcPr>
          <w:p>
            <w:pPr>
              <w:pStyle w:val="246"/>
              <w:rPr>
                <w:rFonts w:eastAsiaTheme="minor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3" w:hRule="atLeast"/>
        </w:trPr>
        <w:tc>
          <w:tcPr>
            <w:tcW w:w="817" w:type="dxa"/>
            <w:tcBorders>
              <w:left w:val="nil"/>
            </w:tcBorders>
            <w:vAlign w:val="center"/>
          </w:tcPr>
          <w:p>
            <w:pPr>
              <w:pStyle w:val="246"/>
              <w:rPr>
                <w:rFonts w:eastAsiaTheme="minorEastAsia"/>
                <w:color w:val="auto"/>
              </w:rPr>
            </w:pPr>
            <w:r>
              <w:rPr>
                <w:rFonts w:eastAsiaTheme="minorEastAsia"/>
                <w:color w:val="auto"/>
              </w:rPr>
              <w:t>4</w:t>
            </w:r>
          </w:p>
        </w:tc>
        <w:tc>
          <w:tcPr>
            <w:tcW w:w="2552" w:type="dxa"/>
            <w:vAlign w:val="center"/>
          </w:tcPr>
          <w:p>
            <w:pPr>
              <w:pStyle w:val="246"/>
              <w:rPr>
                <w:rFonts w:eastAsiaTheme="minorEastAsia"/>
                <w:color w:val="auto"/>
              </w:rPr>
            </w:pPr>
            <w:r>
              <w:rPr>
                <w:rFonts w:eastAsiaTheme="minorEastAsia"/>
                <w:color w:val="auto"/>
              </w:rPr>
              <w:t>破碎筛分抑尘</w:t>
            </w:r>
          </w:p>
        </w:tc>
        <w:tc>
          <w:tcPr>
            <w:tcW w:w="2693" w:type="dxa"/>
            <w:vAlign w:val="center"/>
          </w:tcPr>
          <w:p>
            <w:pPr>
              <w:pStyle w:val="246"/>
              <w:rPr>
                <w:rFonts w:eastAsiaTheme="minorEastAsia"/>
                <w:color w:val="auto"/>
              </w:rPr>
            </w:pPr>
            <w:r>
              <w:rPr>
                <w:rFonts w:eastAsiaTheme="minorEastAsia"/>
                <w:color w:val="auto"/>
              </w:rPr>
              <w:t>3m</w:t>
            </w:r>
            <w:r>
              <w:rPr>
                <w:rFonts w:eastAsiaTheme="minorEastAsia"/>
                <w:color w:val="auto"/>
                <w:vertAlign w:val="superscript"/>
              </w:rPr>
              <w:t>3</w:t>
            </w:r>
            <w:r>
              <w:rPr>
                <w:rFonts w:eastAsiaTheme="minorEastAsia"/>
                <w:color w:val="auto"/>
              </w:rPr>
              <w:t>/d，240d/a，720 m</w:t>
            </w:r>
            <w:r>
              <w:rPr>
                <w:rFonts w:eastAsiaTheme="minorEastAsia"/>
                <w:color w:val="auto"/>
                <w:vertAlign w:val="superscript"/>
              </w:rPr>
              <w:t>3</w:t>
            </w:r>
            <w:r>
              <w:rPr>
                <w:rFonts w:eastAsiaTheme="minorEastAsia"/>
                <w:color w:val="auto"/>
              </w:rPr>
              <w:t>/a</w:t>
            </w:r>
          </w:p>
        </w:tc>
        <w:tc>
          <w:tcPr>
            <w:tcW w:w="2730" w:type="dxa"/>
            <w:vMerge w:val="continue"/>
            <w:tcBorders>
              <w:right w:val="nil"/>
            </w:tcBorders>
            <w:vAlign w:val="center"/>
          </w:tcPr>
          <w:p>
            <w:pPr>
              <w:pStyle w:val="246"/>
              <w:rPr>
                <w:rFonts w:eastAsiaTheme="minor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3" w:hRule="atLeast"/>
        </w:trPr>
        <w:tc>
          <w:tcPr>
            <w:tcW w:w="817" w:type="dxa"/>
            <w:tcBorders>
              <w:left w:val="nil"/>
            </w:tcBorders>
            <w:vAlign w:val="center"/>
          </w:tcPr>
          <w:p>
            <w:pPr>
              <w:pStyle w:val="246"/>
              <w:rPr>
                <w:rFonts w:eastAsiaTheme="minorEastAsia"/>
                <w:color w:val="auto"/>
              </w:rPr>
            </w:pPr>
            <w:r>
              <w:rPr>
                <w:rFonts w:eastAsiaTheme="minorEastAsia"/>
                <w:color w:val="auto"/>
              </w:rPr>
              <w:t>4</w:t>
            </w:r>
          </w:p>
        </w:tc>
        <w:tc>
          <w:tcPr>
            <w:tcW w:w="2552" w:type="dxa"/>
            <w:vAlign w:val="center"/>
          </w:tcPr>
          <w:p>
            <w:pPr>
              <w:pStyle w:val="246"/>
              <w:rPr>
                <w:rFonts w:eastAsiaTheme="minorEastAsia"/>
                <w:color w:val="auto"/>
              </w:rPr>
            </w:pPr>
            <w:r>
              <w:rPr>
                <w:rFonts w:eastAsiaTheme="minorEastAsia"/>
                <w:color w:val="auto"/>
              </w:rPr>
              <w:t>集堆铲装、道路喷洒用水</w:t>
            </w:r>
          </w:p>
        </w:tc>
        <w:tc>
          <w:tcPr>
            <w:tcW w:w="2693" w:type="dxa"/>
            <w:vAlign w:val="center"/>
          </w:tcPr>
          <w:p>
            <w:pPr>
              <w:pStyle w:val="246"/>
              <w:rPr>
                <w:rFonts w:eastAsiaTheme="minorEastAsia"/>
                <w:color w:val="auto"/>
              </w:rPr>
            </w:pPr>
            <w:r>
              <w:rPr>
                <w:rFonts w:eastAsiaTheme="minorEastAsia"/>
                <w:color w:val="auto"/>
              </w:rPr>
              <w:t>2m</w:t>
            </w:r>
            <w:r>
              <w:rPr>
                <w:rFonts w:eastAsiaTheme="minorEastAsia"/>
                <w:color w:val="auto"/>
                <w:vertAlign w:val="superscript"/>
              </w:rPr>
              <w:t>3</w:t>
            </w:r>
            <w:r>
              <w:rPr>
                <w:rFonts w:eastAsiaTheme="minorEastAsia"/>
                <w:color w:val="auto"/>
              </w:rPr>
              <w:t>/d，240d/a，480 m</w:t>
            </w:r>
            <w:r>
              <w:rPr>
                <w:rFonts w:eastAsiaTheme="minorEastAsia"/>
                <w:color w:val="auto"/>
                <w:vertAlign w:val="superscript"/>
              </w:rPr>
              <w:t>3</w:t>
            </w:r>
            <w:r>
              <w:rPr>
                <w:rFonts w:eastAsiaTheme="minorEastAsia"/>
                <w:color w:val="auto"/>
              </w:rPr>
              <w:t>/a</w:t>
            </w:r>
          </w:p>
        </w:tc>
        <w:tc>
          <w:tcPr>
            <w:tcW w:w="2730" w:type="dxa"/>
            <w:vMerge w:val="continue"/>
            <w:tcBorders>
              <w:right w:val="nil"/>
            </w:tcBorders>
            <w:vAlign w:val="center"/>
          </w:tcPr>
          <w:p>
            <w:pPr>
              <w:pStyle w:val="246"/>
              <w:rPr>
                <w:rFonts w:eastAsiaTheme="minor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7" w:hRule="atLeast"/>
        </w:trPr>
        <w:tc>
          <w:tcPr>
            <w:tcW w:w="817" w:type="dxa"/>
            <w:tcBorders>
              <w:left w:val="nil"/>
              <w:bottom w:val="single" w:color="auto" w:sz="12" w:space="0"/>
            </w:tcBorders>
            <w:vAlign w:val="center"/>
          </w:tcPr>
          <w:p>
            <w:pPr>
              <w:pStyle w:val="246"/>
              <w:rPr>
                <w:rFonts w:eastAsiaTheme="minorEastAsia"/>
                <w:color w:val="auto"/>
              </w:rPr>
            </w:pPr>
            <w:r>
              <w:rPr>
                <w:rFonts w:eastAsiaTheme="minorEastAsia"/>
                <w:color w:val="auto"/>
              </w:rPr>
              <w:t>5</w:t>
            </w:r>
          </w:p>
        </w:tc>
        <w:tc>
          <w:tcPr>
            <w:tcW w:w="2552" w:type="dxa"/>
            <w:tcBorders>
              <w:bottom w:val="single" w:color="auto" w:sz="12" w:space="0"/>
            </w:tcBorders>
            <w:vAlign w:val="center"/>
          </w:tcPr>
          <w:p>
            <w:pPr>
              <w:pStyle w:val="246"/>
              <w:rPr>
                <w:rFonts w:eastAsiaTheme="minorEastAsia"/>
                <w:color w:val="auto"/>
              </w:rPr>
            </w:pPr>
            <w:r>
              <w:rPr>
                <w:rFonts w:eastAsiaTheme="minorEastAsia"/>
                <w:color w:val="auto"/>
              </w:rPr>
              <w:t>职工生活</w:t>
            </w:r>
          </w:p>
        </w:tc>
        <w:tc>
          <w:tcPr>
            <w:tcW w:w="2693" w:type="dxa"/>
            <w:tcBorders>
              <w:bottom w:val="single" w:color="auto" w:sz="12" w:space="0"/>
            </w:tcBorders>
            <w:vAlign w:val="center"/>
          </w:tcPr>
          <w:p>
            <w:pPr>
              <w:pStyle w:val="246"/>
              <w:rPr>
                <w:rFonts w:eastAsiaTheme="minorEastAsia"/>
                <w:color w:val="auto"/>
              </w:rPr>
            </w:pPr>
            <w:r>
              <w:rPr>
                <w:rFonts w:eastAsiaTheme="minorEastAsia"/>
                <w:color w:val="auto"/>
              </w:rPr>
              <w:t>0.25 m</w:t>
            </w:r>
            <w:r>
              <w:rPr>
                <w:rFonts w:eastAsiaTheme="minorEastAsia"/>
                <w:color w:val="auto"/>
                <w:vertAlign w:val="superscript"/>
              </w:rPr>
              <w:t>3</w:t>
            </w:r>
            <w:r>
              <w:rPr>
                <w:rFonts w:eastAsiaTheme="minorEastAsia"/>
                <w:color w:val="auto"/>
              </w:rPr>
              <w:t>/d，240d/a，60 m</w:t>
            </w:r>
            <w:r>
              <w:rPr>
                <w:rFonts w:eastAsiaTheme="minorEastAsia"/>
                <w:color w:val="auto"/>
                <w:vertAlign w:val="superscript"/>
              </w:rPr>
              <w:t>3</w:t>
            </w:r>
            <w:r>
              <w:rPr>
                <w:rFonts w:eastAsiaTheme="minorEastAsia"/>
                <w:color w:val="auto"/>
              </w:rPr>
              <w:t>/a</w:t>
            </w:r>
          </w:p>
        </w:tc>
        <w:tc>
          <w:tcPr>
            <w:tcW w:w="2730" w:type="dxa"/>
            <w:tcBorders>
              <w:bottom w:val="single" w:color="auto" w:sz="12" w:space="0"/>
              <w:right w:val="nil"/>
            </w:tcBorders>
            <w:vAlign w:val="center"/>
          </w:tcPr>
          <w:p>
            <w:pPr>
              <w:pStyle w:val="246"/>
              <w:rPr>
                <w:rFonts w:eastAsiaTheme="minorEastAsia"/>
                <w:color w:val="auto"/>
              </w:rPr>
            </w:pPr>
            <w:r>
              <w:rPr>
                <w:rFonts w:eastAsiaTheme="minorEastAsia"/>
                <w:color w:val="auto"/>
              </w:rPr>
              <w:t>48 m</w:t>
            </w:r>
            <w:r>
              <w:rPr>
                <w:rFonts w:eastAsiaTheme="minorEastAsia"/>
                <w:color w:val="auto"/>
                <w:vertAlign w:val="superscript"/>
              </w:rPr>
              <w:t>3</w:t>
            </w:r>
            <w:r>
              <w:rPr>
                <w:rFonts w:eastAsiaTheme="minorEastAsia"/>
                <w:color w:val="auto"/>
              </w:rPr>
              <w:t>/a防渗旱厕统一收集，定期外运堆肥</w:t>
            </w:r>
          </w:p>
        </w:tc>
      </w:tr>
    </w:tbl>
    <w:p>
      <w:pPr>
        <w:adjustRightInd w:val="0"/>
        <w:snapToGrid w:val="0"/>
        <w:spacing w:line="240" w:lineRule="auto"/>
        <w:jc w:val="center"/>
        <w:rPr>
          <w:rFonts w:eastAsiaTheme="minorEastAsia"/>
          <w:color w:val="auto"/>
        </w:rPr>
      </w:pPr>
    </w:p>
    <w:p>
      <w:pPr>
        <w:pStyle w:val="244"/>
        <w:spacing w:line="240" w:lineRule="auto"/>
        <w:rPr>
          <w:rFonts w:eastAsiaTheme="minorEastAsia"/>
          <w:color w:val="auto"/>
        </w:rPr>
      </w:pPr>
      <w:r>
        <w:rPr>
          <w:rFonts w:eastAsiaTheme="minorEastAsia"/>
          <w:color w:val="auto"/>
        </w:rPr>
        <w:object>
          <v:shape id="_x0000_i1029" o:spt="75" type="#_x0000_t75" style="height:216pt;width:460.5pt;" o:ole="t" filled="f" o:preferrelative="t" stroked="f" coordsize="21600,21600">
            <v:path/>
            <v:fill on="f" focussize="0,0"/>
            <v:stroke on="f"/>
            <v:imagedata r:id="rId20" o:title=""/>
            <o:lock v:ext="edit" aspectratio="t"/>
            <w10:wrap type="none"/>
            <w10:anchorlock/>
          </v:shape>
          <o:OLEObject Type="Embed" ProgID="Visio.Drawing.11" ShapeID="_x0000_i1029" DrawAspect="Content" ObjectID="_1468075729" r:id="rId19">
            <o:LockedField>false</o:LockedField>
          </o:OLEObject>
        </w:object>
      </w:r>
    </w:p>
    <w:p>
      <w:pPr>
        <w:pStyle w:val="244"/>
        <w:rPr>
          <w:rFonts w:eastAsiaTheme="minorEastAsia"/>
          <w:color w:val="auto"/>
        </w:rPr>
      </w:pPr>
      <w:r>
        <w:rPr>
          <w:rFonts w:eastAsiaTheme="minorEastAsia"/>
          <w:color w:val="auto"/>
        </w:rPr>
        <w:t>图3-2-2  水平衡图   单位（t/d）</w:t>
      </w:r>
    </w:p>
    <w:p>
      <w:pPr>
        <w:pStyle w:val="276"/>
        <w:rPr>
          <w:rFonts w:eastAsiaTheme="minorEastAsia"/>
          <w:color w:val="auto"/>
        </w:rPr>
      </w:pPr>
      <w:r>
        <w:rPr>
          <w:rFonts w:eastAsiaTheme="minorEastAsia"/>
          <w:color w:val="auto"/>
        </w:rPr>
        <w:t>（2）排水工程</w:t>
      </w:r>
    </w:p>
    <w:p>
      <w:pPr>
        <w:pStyle w:val="276"/>
        <w:rPr>
          <w:rFonts w:hint="eastAsia" w:eastAsiaTheme="minorEastAsia"/>
          <w:color w:val="auto"/>
          <w:lang w:val="en-US" w:eastAsia="zh-CN"/>
        </w:rPr>
      </w:pPr>
      <w:r>
        <w:rPr>
          <w:rFonts w:eastAsiaTheme="minorEastAsia"/>
          <w:color w:val="auto"/>
        </w:rPr>
        <w:t>本项目矿区内设置一个</w:t>
      </w:r>
      <w:r>
        <w:rPr>
          <w:rFonts w:hint="eastAsia" w:eastAsiaTheme="minorEastAsia"/>
          <w:color w:val="auto"/>
          <w:lang w:val="en-US" w:eastAsia="zh-CN"/>
        </w:rPr>
        <w:t>50</w:t>
      </w:r>
      <w:r>
        <w:rPr>
          <w:rFonts w:eastAsiaTheme="minorEastAsia"/>
          <w:color w:val="auto"/>
        </w:rPr>
        <w:t>m×</w:t>
      </w:r>
      <w:r>
        <w:rPr>
          <w:rFonts w:hint="eastAsia" w:eastAsiaTheme="minorEastAsia"/>
          <w:color w:val="auto"/>
          <w:lang w:val="en-US" w:eastAsia="zh-CN"/>
        </w:rPr>
        <w:t>6</w:t>
      </w:r>
      <w:r>
        <w:rPr>
          <w:rFonts w:eastAsiaTheme="minorEastAsia"/>
          <w:color w:val="auto"/>
        </w:rPr>
        <w:t>m×</w:t>
      </w:r>
      <w:r>
        <w:rPr>
          <w:rFonts w:hint="eastAsia" w:eastAsiaTheme="minorEastAsia"/>
          <w:color w:val="auto"/>
          <w:lang w:val="en-US" w:eastAsia="zh-CN"/>
        </w:rPr>
        <w:t>3</w:t>
      </w:r>
      <w:r>
        <w:rPr>
          <w:rFonts w:eastAsiaTheme="minorEastAsia"/>
          <w:color w:val="auto"/>
        </w:rPr>
        <w:t>m贮水池，容积为</w:t>
      </w:r>
      <w:r>
        <w:rPr>
          <w:rFonts w:hint="eastAsia" w:eastAsiaTheme="minorEastAsia"/>
          <w:color w:val="auto"/>
          <w:lang w:val="en-US" w:eastAsia="zh-CN"/>
        </w:rPr>
        <w:t>9</w:t>
      </w:r>
      <w:r>
        <w:rPr>
          <w:rFonts w:hint="eastAsia" w:eastAsiaTheme="minorEastAsia"/>
          <w:color w:val="auto"/>
          <w:lang w:eastAsia="zh-CN"/>
        </w:rPr>
        <w:t>00m</w:t>
      </w:r>
      <w:r>
        <w:rPr>
          <w:rFonts w:eastAsiaTheme="minorEastAsia"/>
          <w:color w:val="auto"/>
          <w:vertAlign w:val="superscript"/>
        </w:rPr>
        <w:t>3</w:t>
      </w:r>
      <w:r>
        <w:rPr>
          <w:rFonts w:eastAsiaTheme="minorEastAsia"/>
          <w:color w:val="auto"/>
        </w:rPr>
        <w:t>，雨水沿地势坡度排入贮水池，用于矿山降尘，不外排。</w:t>
      </w:r>
      <w:r>
        <w:rPr>
          <w:rFonts w:hint="eastAsia" w:eastAsiaTheme="minorEastAsia"/>
          <w:color w:val="auto"/>
          <w:lang w:val="en-US" w:eastAsia="zh-CN"/>
        </w:rPr>
        <w:t xml:space="preserve">      </w:t>
      </w:r>
      <w:r>
        <w:rPr>
          <w:rFonts w:hint="eastAsia" w:eastAsiaTheme="minorEastAsia"/>
          <w:color w:val="auto"/>
          <w:lang w:val="en-US" w:eastAsia="zh-CN"/>
        </w:rPr>
        <w:t xml:space="preserve">                                                                                                                                                                                                                                                                                                      </w:t>
      </w:r>
    </w:p>
    <w:p>
      <w:pPr>
        <w:pStyle w:val="276"/>
        <w:rPr>
          <w:rFonts w:eastAsiaTheme="minorEastAsia"/>
          <w:color w:val="auto"/>
        </w:rPr>
      </w:pPr>
      <w:r>
        <w:rPr>
          <w:rFonts w:eastAsiaTheme="minorEastAsia"/>
          <w:color w:val="auto"/>
        </w:rPr>
        <w:t>（3）土石方及物料平衡</w:t>
      </w:r>
    </w:p>
    <w:p>
      <w:pPr>
        <w:pStyle w:val="276"/>
        <w:rPr>
          <w:rFonts w:eastAsiaTheme="minorEastAsia"/>
          <w:color w:val="auto"/>
        </w:rPr>
      </w:pPr>
      <w:r>
        <w:rPr>
          <w:rFonts w:eastAsiaTheme="minorEastAsia"/>
          <w:color w:val="auto"/>
        </w:rPr>
        <w:t>本项目土石方平衡情况见表3-2-6。</w:t>
      </w:r>
    </w:p>
    <w:p>
      <w:pPr>
        <w:pStyle w:val="244"/>
        <w:rPr>
          <w:rFonts w:eastAsiaTheme="minorEastAsia"/>
          <w:color w:val="auto"/>
        </w:rPr>
      </w:pPr>
      <w:r>
        <w:rPr>
          <w:rFonts w:eastAsiaTheme="minorEastAsia"/>
          <w:color w:val="auto"/>
        </w:rPr>
        <w:t>表3-2-6  工程土石方平衡表    单位： m</w:t>
      </w:r>
      <w:r>
        <w:rPr>
          <w:rFonts w:eastAsiaTheme="minorEastAsia"/>
          <w:color w:val="auto"/>
          <w:vertAlign w:val="superscript"/>
        </w:rPr>
        <w:t>3</w:t>
      </w:r>
      <w:r>
        <w:rPr>
          <w:rFonts w:eastAsiaTheme="minorEastAsia"/>
          <w:color w:val="auto"/>
        </w:rPr>
        <w:t>/开采期</w:t>
      </w:r>
    </w:p>
    <w:tbl>
      <w:tblPr>
        <w:tblStyle w:val="53"/>
        <w:tblW w:w="8306" w:type="dxa"/>
        <w:jc w:val="center"/>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796"/>
        <w:gridCol w:w="1520"/>
        <w:gridCol w:w="975"/>
        <w:gridCol w:w="5015"/>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48" w:hRule="atLeast"/>
          <w:jc w:val="center"/>
        </w:trPr>
        <w:tc>
          <w:tcPr>
            <w:tcW w:w="796" w:type="dxa"/>
            <w:vAlign w:val="center"/>
          </w:tcPr>
          <w:p>
            <w:pPr>
              <w:pStyle w:val="246"/>
              <w:rPr>
                <w:rFonts w:eastAsiaTheme="minorEastAsia"/>
                <w:color w:val="auto"/>
              </w:rPr>
            </w:pPr>
            <w:r>
              <w:rPr>
                <w:rFonts w:eastAsiaTheme="minorEastAsia"/>
                <w:color w:val="auto"/>
              </w:rPr>
              <w:t>序号</w:t>
            </w:r>
          </w:p>
        </w:tc>
        <w:tc>
          <w:tcPr>
            <w:tcW w:w="1520" w:type="dxa"/>
            <w:vAlign w:val="center"/>
          </w:tcPr>
          <w:p>
            <w:pPr>
              <w:pStyle w:val="246"/>
              <w:rPr>
                <w:rFonts w:eastAsiaTheme="minorEastAsia"/>
                <w:color w:val="auto"/>
              </w:rPr>
            </w:pPr>
            <w:r>
              <w:rPr>
                <w:rFonts w:eastAsiaTheme="minorEastAsia"/>
                <w:color w:val="auto"/>
              </w:rPr>
              <w:t>项目</w:t>
            </w:r>
          </w:p>
        </w:tc>
        <w:tc>
          <w:tcPr>
            <w:tcW w:w="975" w:type="dxa"/>
            <w:vAlign w:val="center"/>
          </w:tcPr>
          <w:p>
            <w:pPr>
              <w:pStyle w:val="246"/>
              <w:rPr>
                <w:rFonts w:eastAsiaTheme="minorEastAsia"/>
                <w:color w:val="auto"/>
              </w:rPr>
            </w:pPr>
            <w:r>
              <w:rPr>
                <w:rFonts w:eastAsiaTheme="minorEastAsia"/>
                <w:color w:val="auto"/>
              </w:rPr>
              <w:t>数量</w:t>
            </w:r>
          </w:p>
        </w:tc>
        <w:tc>
          <w:tcPr>
            <w:tcW w:w="5015" w:type="dxa"/>
            <w:vAlign w:val="center"/>
          </w:tcPr>
          <w:p>
            <w:pPr>
              <w:pStyle w:val="246"/>
              <w:rPr>
                <w:rFonts w:eastAsiaTheme="minorEastAsia"/>
                <w:color w:val="auto"/>
              </w:rPr>
            </w:pPr>
            <w:r>
              <w:rPr>
                <w:rFonts w:eastAsiaTheme="minorEastAsia"/>
                <w:color w:val="auto"/>
              </w:rPr>
              <w:t>备注</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67" w:hRule="atLeast"/>
          <w:jc w:val="center"/>
        </w:trPr>
        <w:tc>
          <w:tcPr>
            <w:tcW w:w="796" w:type="dxa"/>
            <w:vAlign w:val="center"/>
          </w:tcPr>
          <w:p>
            <w:pPr>
              <w:pStyle w:val="246"/>
              <w:rPr>
                <w:rFonts w:hint="eastAsia" w:eastAsiaTheme="minorEastAsia"/>
                <w:color w:val="auto"/>
                <w:lang w:val="en-US" w:eastAsia="zh-CN"/>
              </w:rPr>
            </w:pPr>
            <w:r>
              <w:rPr>
                <w:rFonts w:hint="eastAsia" w:eastAsiaTheme="minorEastAsia"/>
                <w:color w:val="auto"/>
                <w:lang w:val="en-US" w:eastAsia="zh-CN"/>
              </w:rPr>
              <w:t>1</w:t>
            </w:r>
          </w:p>
        </w:tc>
        <w:tc>
          <w:tcPr>
            <w:tcW w:w="1520" w:type="dxa"/>
            <w:vAlign w:val="center"/>
          </w:tcPr>
          <w:p>
            <w:pPr>
              <w:pStyle w:val="246"/>
              <w:rPr>
                <w:rFonts w:hint="eastAsia" w:eastAsiaTheme="minorEastAsia"/>
                <w:color w:val="auto"/>
                <w:lang w:eastAsia="zh-CN"/>
              </w:rPr>
            </w:pPr>
            <w:r>
              <w:rPr>
                <w:rFonts w:hint="eastAsia" w:eastAsiaTheme="minorEastAsia"/>
                <w:color w:val="auto"/>
                <w:lang w:eastAsia="zh-CN"/>
              </w:rPr>
              <w:t>挖方</w:t>
            </w:r>
          </w:p>
        </w:tc>
        <w:tc>
          <w:tcPr>
            <w:tcW w:w="975" w:type="dxa"/>
            <w:vAlign w:val="center"/>
          </w:tcPr>
          <w:p>
            <w:pPr>
              <w:pStyle w:val="246"/>
              <w:rPr>
                <w:rFonts w:hint="eastAsia" w:eastAsiaTheme="minorEastAsia"/>
                <w:color w:val="auto"/>
                <w:lang w:val="en-US" w:eastAsia="zh-CN"/>
              </w:rPr>
            </w:pPr>
            <w:r>
              <w:rPr>
                <w:rFonts w:hint="eastAsia" w:eastAsiaTheme="minorEastAsia"/>
                <w:color w:val="auto"/>
                <w:lang w:val="en-US" w:eastAsia="zh-CN"/>
              </w:rPr>
              <w:t>2787</w:t>
            </w:r>
          </w:p>
        </w:tc>
        <w:tc>
          <w:tcPr>
            <w:tcW w:w="5015" w:type="dxa"/>
            <w:vAlign w:val="center"/>
          </w:tcPr>
          <w:p>
            <w:pPr>
              <w:pStyle w:val="246"/>
              <w:rPr>
                <w:rFonts w:eastAsiaTheme="minorEastAsia"/>
                <w:color w:val="auto"/>
              </w:rPr>
            </w:pPr>
            <w:r>
              <w:rPr>
                <w:rFonts w:eastAsiaTheme="minorEastAsia"/>
                <w:color w:val="auto"/>
              </w:rPr>
              <w:t>剥离的土岩</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67" w:hRule="atLeast"/>
          <w:jc w:val="center"/>
        </w:trPr>
        <w:tc>
          <w:tcPr>
            <w:tcW w:w="796" w:type="dxa"/>
            <w:vAlign w:val="center"/>
          </w:tcPr>
          <w:p>
            <w:pPr>
              <w:pStyle w:val="246"/>
              <w:rPr>
                <w:rFonts w:eastAsiaTheme="minorEastAsia"/>
                <w:color w:val="auto"/>
              </w:rPr>
            </w:pPr>
            <w:r>
              <w:rPr>
                <w:rFonts w:eastAsiaTheme="minorEastAsia"/>
                <w:color w:val="auto"/>
              </w:rPr>
              <w:t>2</w:t>
            </w:r>
          </w:p>
        </w:tc>
        <w:tc>
          <w:tcPr>
            <w:tcW w:w="1520" w:type="dxa"/>
            <w:vAlign w:val="center"/>
          </w:tcPr>
          <w:p>
            <w:pPr>
              <w:pStyle w:val="246"/>
              <w:rPr>
                <w:rFonts w:eastAsiaTheme="minorEastAsia"/>
                <w:color w:val="auto"/>
              </w:rPr>
            </w:pPr>
            <w:r>
              <w:rPr>
                <w:rFonts w:eastAsiaTheme="minorEastAsia"/>
                <w:color w:val="auto"/>
              </w:rPr>
              <w:t>利用方</w:t>
            </w:r>
          </w:p>
        </w:tc>
        <w:tc>
          <w:tcPr>
            <w:tcW w:w="975" w:type="dxa"/>
            <w:vAlign w:val="center"/>
          </w:tcPr>
          <w:p>
            <w:pPr>
              <w:pStyle w:val="246"/>
              <w:rPr>
                <w:rFonts w:hint="eastAsia" w:eastAsiaTheme="minorEastAsia"/>
                <w:color w:val="auto"/>
                <w:lang w:eastAsia="zh-CN"/>
              </w:rPr>
            </w:pPr>
            <w:r>
              <w:rPr>
                <w:rFonts w:hint="eastAsia" w:eastAsiaTheme="minorEastAsia"/>
                <w:color w:val="auto"/>
                <w:lang w:val="en-US" w:eastAsia="zh-CN"/>
              </w:rPr>
              <w:t>0</w:t>
            </w:r>
          </w:p>
        </w:tc>
        <w:tc>
          <w:tcPr>
            <w:tcW w:w="5015" w:type="dxa"/>
            <w:vAlign w:val="center"/>
          </w:tcPr>
          <w:p>
            <w:pPr>
              <w:pStyle w:val="246"/>
              <w:rPr>
                <w:rFonts w:eastAsiaTheme="minorEastAsia"/>
                <w:color w:val="auto"/>
                <w:lang w:val="en-US"/>
              </w:rPr>
            </w:pPr>
            <w:r>
              <w:rPr>
                <w:rFonts w:hint="eastAsia" w:eastAsiaTheme="minorEastAsia"/>
                <w:color w:val="auto"/>
                <w:lang w:eastAsia="zh-CN"/>
              </w:rPr>
              <w:t>开采期已无表土，无可利用方</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jc w:val="center"/>
        </w:trPr>
        <w:tc>
          <w:tcPr>
            <w:tcW w:w="796" w:type="dxa"/>
            <w:vAlign w:val="center"/>
          </w:tcPr>
          <w:p>
            <w:pPr>
              <w:pStyle w:val="246"/>
              <w:rPr>
                <w:rFonts w:hint="eastAsia" w:eastAsiaTheme="minorEastAsia"/>
                <w:color w:val="auto"/>
                <w:lang w:val="en-US" w:eastAsia="zh-CN"/>
              </w:rPr>
            </w:pPr>
            <w:r>
              <w:rPr>
                <w:rFonts w:hint="eastAsia" w:eastAsiaTheme="minorEastAsia"/>
                <w:color w:val="auto"/>
                <w:lang w:val="en-US" w:eastAsia="zh-CN"/>
              </w:rPr>
              <w:t>3</w:t>
            </w:r>
          </w:p>
        </w:tc>
        <w:tc>
          <w:tcPr>
            <w:tcW w:w="1520" w:type="dxa"/>
            <w:vAlign w:val="center"/>
          </w:tcPr>
          <w:p>
            <w:pPr>
              <w:pStyle w:val="246"/>
              <w:rPr>
                <w:rFonts w:hint="eastAsia" w:eastAsiaTheme="minorEastAsia"/>
                <w:color w:val="auto"/>
                <w:lang w:eastAsia="zh-CN"/>
              </w:rPr>
            </w:pPr>
            <w:r>
              <w:rPr>
                <w:rFonts w:hint="eastAsia" w:eastAsiaTheme="minorEastAsia"/>
                <w:color w:val="auto"/>
                <w:lang w:eastAsia="zh-CN"/>
              </w:rPr>
              <w:t>填方</w:t>
            </w:r>
          </w:p>
        </w:tc>
        <w:tc>
          <w:tcPr>
            <w:tcW w:w="975" w:type="dxa"/>
            <w:vAlign w:val="center"/>
          </w:tcPr>
          <w:p>
            <w:pPr>
              <w:pStyle w:val="246"/>
              <w:rPr>
                <w:rFonts w:hint="eastAsia" w:eastAsiaTheme="minorEastAsia"/>
                <w:color w:val="auto"/>
                <w:lang w:val="en-US" w:eastAsia="zh-CN"/>
              </w:rPr>
            </w:pPr>
            <w:r>
              <w:rPr>
                <w:rFonts w:hint="eastAsia" w:eastAsiaTheme="minorEastAsia"/>
                <w:color w:val="auto"/>
                <w:lang w:val="en-US" w:eastAsia="zh-CN"/>
              </w:rPr>
              <w:t>2787</w:t>
            </w:r>
          </w:p>
        </w:tc>
        <w:tc>
          <w:tcPr>
            <w:tcW w:w="5015" w:type="dxa"/>
            <w:vAlign w:val="center"/>
          </w:tcPr>
          <w:p>
            <w:pPr>
              <w:pStyle w:val="246"/>
              <w:rPr>
                <w:rFonts w:eastAsiaTheme="minorEastAsia"/>
                <w:color w:val="auto"/>
              </w:rPr>
            </w:pPr>
            <w:r>
              <w:rPr>
                <w:rFonts w:eastAsiaTheme="minorEastAsia"/>
                <w:color w:val="auto"/>
              </w:rPr>
              <w:t>外购土岩</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139" w:hRule="atLeast"/>
          <w:jc w:val="center"/>
        </w:trPr>
        <w:tc>
          <w:tcPr>
            <w:tcW w:w="796" w:type="dxa"/>
            <w:vAlign w:val="center"/>
          </w:tcPr>
          <w:p>
            <w:pPr>
              <w:pStyle w:val="246"/>
              <w:rPr>
                <w:rFonts w:eastAsiaTheme="minorEastAsia"/>
                <w:color w:val="auto"/>
              </w:rPr>
            </w:pPr>
            <w:r>
              <w:rPr>
                <w:rFonts w:eastAsiaTheme="minorEastAsia"/>
                <w:color w:val="auto"/>
              </w:rPr>
              <w:t>4</w:t>
            </w:r>
          </w:p>
        </w:tc>
        <w:tc>
          <w:tcPr>
            <w:tcW w:w="1520" w:type="dxa"/>
            <w:vAlign w:val="center"/>
          </w:tcPr>
          <w:p>
            <w:pPr>
              <w:pStyle w:val="246"/>
              <w:rPr>
                <w:rFonts w:eastAsiaTheme="minorEastAsia"/>
                <w:color w:val="auto"/>
              </w:rPr>
            </w:pPr>
            <w:r>
              <w:rPr>
                <w:rFonts w:eastAsiaTheme="minorEastAsia"/>
                <w:color w:val="auto"/>
              </w:rPr>
              <w:t>弃方</w:t>
            </w:r>
          </w:p>
        </w:tc>
        <w:tc>
          <w:tcPr>
            <w:tcW w:w="975" w:type="dxa"/>
            <w:vAlign w:val="center"/>
          </w:tcPr>
          <w:p>
            <w:pPr>
              <w:pStyle w:val="246"/>
              <w:rPr>
                <w:rFonts w:hint="eastAsia" w:eastAsiaTheme="minorEastAsia"/>
                <w:color w:val="auto"/>
                <w:lang w:val="en-US" w:eastAsia="zh-CN"/>
              </w:rPr>
            </w:pPr>
            <w:r>
              <w:rPr>
                <w:rFonts w:hint="eastAsia" w:eastAsiaTheme="minorEastAsia"/>
                <w:color w:val="auto"/>
                <w:lang w:val="en-US" w:eastAsia="zh-CN"/>
              </w:rPr>
              <w:t>2787</w:t>
            </w:r>
          </w:p>
        </w:tc>
        <w:tc>
          <w:tcPr>
            <w:tcW w:w="5015" w:type="dxa"/>
            <w:vAlign w:val="center"/>
          </w:tcPr>
          <w:p>
            <w:pPr>
              <w:pStyle w:val="246"/>
              <w:rPr>
                <w:rFonts w:eastAsiaTheme="minorEastAsia"/>
                <w:color w:val="auto"/>
              </w:rPr>
            </w:pPr>
            <w:r>
              <w:rPr>
                <w:rFonts w:eastAsiaTheme="minorEastAsia"/>
                <w:color w:val="auto"/>
              </w:rPr>
              <w:t>主要为土岩，外售</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150" w:hRule="atLeast"/>
          <w:jc w:val="center"/>
        </w:trPr>
        <w:tc>
          <w:tcPr>
            <w:tcW w:w="796" w:type="dxa"/>
            <w:vAlign w:val="center"/>
          </w:tcPr>
          <w:p>
            <w:pPr>
              <w:pStyle w:val="246"/>
              <w:rPr>
                <w:rFonts w:eastAsiaTheme="minorEastAsia"/>
                <w:color w:val="auto"/>
              </w:rPr>
            </w:pPr>
            <w:r>
              <w:rPr>
                <w:rFonts w:eastAsiaTheme="minorEastAsia"/>
                <w:color w:val="auto"/>
              </w:rPr>
              <w:t>5</w:t>
            </w:r>
          </w:p>
        </w:tc>
        <w:tc>
          <w:tcPr>
            <w:tcW w:w="1520" w:type="dxa"/>
            <w:vAlign w:val="center"/>
          </w:tcPr>
          <w:p>
            <w:pPr>
              <w:pStyle w:val="246"/>
              <w:rPr>
                <w:rFonts w:eastAsiaTheme="minorEastAsia"/>
                <w:color w:val="auto"/>
              </w:rPr>
            </w:pPr>
            <w:r>
              <w:rPr>
                <w:rFonts w:eastAsiaTheme="minorEastAsia"/>
                <w:color w:val="auto"/>
              </w:rPr>
              <w:t>借方</w:t>
            </w:r>
          </w:p>
        </w:tc>
        <w:tc>
          <w:tcPr>
            <w:tcW w:w="975" w:type="dxa"/>
            <w:vAlign w:val="center"/>
          </w:tcPr>
          <w:p>
            <w:pPr>
              <w:pStyle w:val="246"/>
              <w:rPr>
                <w:rFonts w:hint="eastAsia" w:eastAsiaTheme="minorEastAsia"/>
                <w:color w:val="auto"/>
                <w:lang w:val="en-US" w:eastAsia="zh-CN"/>
              </w:rPr>
            </w:pPr>
            <w:r>
              <w:rPr>
                <w:rFonts w:hint="eastAsia" w:eastAsiaTheme="minorEastAsia"/>
                <w:color w:val="auto"/>
                <w:lang w:val="en-US" w:eastAsia="zh-CN"/>
              </w:rPr>
              <w:t>2787</w:t>
            </w:r>
          </w:p>
        </w:tc>
        <w:tc>
          <w:tcPr>
            <w:tcW w:w="5015" w:type="dxa"/>
            <w:vAlign w:val="center"/>
          </w:tcPr>
          <w:p>
            <w:pPr>
              <w:pStyle w:val="246"/>
              <w:rPr>
                <w:rFonts w:eastAsiaTheme="minorEastAsia"/>
                <w:color w:val="auto"/>
              </w:rPr>
            </w:pPr>
            <w:r>
              <w:rPr>
                <w:rFonts w:eastAsiaTheme="minorEastAsia"/>
                <w:color w:val="auto"/>
              </w:rPr>
              <w:t>外购土岩</w:t>
            </w:r>
          </w:p>
        </w:tc>
      </w:tr>
    </w:tbl>
    <w:p>
      <w:pPr>
        <w:spacing w:line="240" w:lineRule="auto"/>
        <w:jc w:val="left"/>
        <w:rPr>
          <w:rFonts w:eastAsiaTheme="minorEastAsia"/>
          <w:color w:val="auto"/>
          <w:szCs w:val="24"/>
        </w:rPr>
      </w:pPr>
      <w:r>
        <w:rPr>
          <w:rFonts w:eastAsiaTheme="minorEastAsia"/>
          <w:color w:val="auto"/>
        </w:rPr>
        <mc:AlternateContent>
          <mc:Choice Requires="wpc">
            <w:drawing>
              <wp:inline distT="0" distB="0" distL="0" distR="0">
                <wp:extent cx="5231130" cy="2962910"/>
                <wp:effectExtent l="4445" t="0" r="3175" b="0"/>
                <wp:docPr id="107" name="画布 57"/>
                <wp:cNvGraphicFramePr/>
                <a:graphic xmlns:a="http://schemas.openxmlformats.org/drawingml/2006/main">
                  <a:graphicData uri="http://schemas.microsoft.com/office/word/2010/wordprocessingCanvas">
                    <wpc:wpc>
                      <wpc:bg>
                        <a:noFill/>
                      </wpc:bg>
                      <wpc:whole>
                        <a:ln>
                          <a:noFill/>
                        </a:ln>
                      </wpc:whole>
                      <wps:wsp>
                        <wps:cNvPr id="2" name="Rectangle 59"/>
                        <wps:cNvSpPr>
                          <a:spLocks noChangeArrowheads="1"/>
                        </wps:cNvSpPr>
                        <wps:spPr bwMode="auto">
                          <a:xfrm>
                            <a:off x="0" y="1141730"/>
                            <a:ext cx="906780" cy="309880"/>
                          </a:xfrm>
                          <a:prstGeom prst="rect">
                            <a:avLst/>
                          </a:prstGeom>
                          <a:solidFill>
                            <a:srgbClr val="FFFFFF"/>
                          </a:solidFill>
                          <a:ln w="9525">
                            <a:solidFill>
                              <a:srgbClr val="000000"/>
                            </a:solidFill>
                            <a:miter lim="800000"/>
                          </a:ln>
                        </wps:spPr>
                        <wps:txbx>
                          <w:txbxContent>
                            <w:p>
                              <w:pPr>
                                <w:spacing w:line="240" w:lineRule="auto"/>
                                <w:rPr>
                                  <w:rFonts w:hint="eastAsia" w:eastAsia="宋体"/>
                                  <w:sz w:val="21"/>
                                  <w:szCs w:val="21"/>
                                  <w:lang w:val="en-US" w:eastAsia="zh-CN"/>
                                </w:rPr>
                              </w:pPr>
                              <w:r>
                                <w:rPr>
                                  <w:sz w:val="21"/>
                                  <w:szCs w:val="21"/>
                                </w:rPr>
                                <w:t>储量</w:t>
                              </w:r>
                              <w:r>
                                <w:rPr>
                                  <w:rFonts w:hint="eastAsia"/>
                                  <w:sz w:val="21"/>
                                  <w:szCs w:val="21"/>
                                  <w:lang w:val="en-US" w:eastAsia="zh-CN"/>
                                </w:rPr>
                                <w:t>92909</w:t>
                              </w:r>
                            </w:p>
                          </w:txbxContent>
                        </wps:txbx>
                        <wps:bodyPr rot="0" vert="horz" wrap="square" lIns="91440" tIns="45720" rIns="91440" bIns="45720" anchor="t" anchorCtr="0" upright="1">
                          <a:noAutofit/>
                        </wps:bodyPr>
                      </wps:wsp>
                      <wps:wsp>
                        <wps:cNvPr id="3" name="Rectangle 60"/>
                        <wps:cNvSpPr>
                          <a:spLocks noChangeArrowheads="1"/>
                        </wps:cNvSpPr>
                        <wps:spPr bwMode="auto">
                          <a:xfrm>
                            <a:off x="1223010" y="2329180"/>
                            <a:ext cx="1229995" cy="309880"/>
                          </a:xfrm>
                          <a:prstGeom prst="rect">
                            <a:avLst/>
                          </a:prstGeom>
                          <a:solidFill>
                            <a:srgbClr val="FFFFFF"/>
                          </a:solidFill>
                          <a:ln w="9525">
                            <a:solidFill>
                              <a:srgbClr val="000000"/>
                            </a:solidFill>
                            <a:miter lim="800000"/>
                          </a:ln>
                        </wps:spPr>
                        <wps:txbx>
                          <w:txbxContent>
                            <w:p>
                              <w:pPr>
                                <w:spacing w:line="240" w:lineRule="auto"/>
                                <w:rPr>
                                  <w:rFonts w:hint="eastAsia" w:eastAsia="宋体"/>
                                  <w:sz w:val="21"/>
                                  <w:szCs w:val="21"/>
                                  <w:lang w:val="en-US" w:eastAsia="zh-CN"/>
                                </w:rPr>
                              </w:pPr>
                              <w:r>
                                <w:rPr>
                                  <w:sz w:val="21"/>
                                  <w:szCs w:val="21"/>
                                </w:rPr>
                                <w:t>可开采量</w:t>
                              </w:r>
                              <w:r>
                                <w:rPr>
                                  <w:rFonts w:hint="eastAsia"/>
                                  <w:sz w:val="21"/>
                                  <w:szCs w:val="21"/>
                                  <w:lang w:val="en-US" w:eastAsia="zh-CN"/>
                                </w:rPr>
                                <w:t>90122</w:t>
                              </w:r>
                            </w:p>
                          </w:txbxContent>
                        </wps:txbx>
                        <wps:bodyPr rot="0" vert="horz" wrap="square" lIns="91440" tIns="45720" rIns="91440" bIns="45720" anchor="t" anchorCtr="0" upright="1">
                          <a:noAutofit/>
                        </wps:bodyPr>
                      </wps:wsp>
                      <wps:wsp>
                        <wps:cNvPr id="13" name="Rectangle 62"/>
                        <wps:cNvSpPr>
                          <a:spLocks noChangeArrowheads="1"/>
                        </wps:cNvSpPr>
                        <wps:spPr bwMode="auto">
                          <a:xfrm>
                            <a:off x="1276985" y="1137920"/>
                            <a:ext cx="1259205" cy="309880"/>
                          </a:xfrm>
                          <a:prstGeom prst="rect">
                            <a:avLst/>
                          </a:prstGeom>
                          <a:solidFill>
                            <a:srgbClr val="FFFFFF"/>
                          </a:solidFill>
                          <a:ln w="9525">
                            <a:solidFill>
                              <a:srgbClr val="000000"/>
                            </a:solidFill>
                            <a:miter lim="800000"/>
                          </a:ln>
                        </wps:spPr>
                        <wps:txbx>
                          <w:txbxContent>
                            <w:p>
                              <w:pPr>
                                <w:spacing w:line="240" w:lineRule="auto"/>
                                <w:jc w:val="center"/>
                                <w:rPr>
                                  <w:rFonts w:hint="eastAsia" w:eastAsia="宋体"/>
                                  <w:sz w:val="21"/>
                                  <w:szCs w:val="21"/>
                                  <w:lang w:val="en-US" w:eastAsia="zh-CN"/>
                                </w:rPr>
                              </w:pPr>
                              <w:r>
                                <w:rPr>
                                  <w:rFonts w:hint="eastAsia"/>
                                  <w:sz w:val="21"/>
                                  <w:szCs w:val="21"/>
                                </w:rPr>
                                <w:t>土岩</w:t>
                              </w:r>
                              <w:r>
                                <w:rPr>
                                  <w:rFonts w:hint="eastAsia"/>
                                  <w:sz w:val="21"/>
                                  <w:szCs w:val="21"/>
                                  <w:lang w:val="en-US" w:eastAsia="zh-CN"/>
                                </w:rPr>
                                <w:t>2787</w:t>
                              </w:r>
                            </w:p>
                          </w:txbxContent>
                        </wps:txbx>
                        <wps:bodyPr rot="0" vert="horz" wrap="square" lIns="91440" tIns="45720" rIns="91440" bIns="45720" anchor="t" anchorCtr="0" upright="1">
                          <a:noAutofit/>
                        </wps:bodyPr>
                      </wps:wsp>
                      <wps:wsp>
                        <wps:cNvPr id="20" name="AutoShape 65"/>
                        <wps:cNvCnPr>
                          <a:cxnSpLocks noChangeShapeType="1"/>
                        </wps:cNvCnPr>
                        <wps:spPr bwMode="auto">
                          <a:xfrm>
                            <a:off x="2536190" y="1245235"/>
                            <a:ext cx="688340" cy="3810"/>
                          </a:xfrm>
                          <a:prstGeom prst="straightConnector1">
                            <a:avLst/>
                          </a:prstGeom>
                          <a:noFill/>
                          <a:ln w="9525">
                            <a:solidFill>
                              <a:srgbClr val="000000"/>
                            </a:solidFill>
                            <a:round/>
                            <a:tailEnd type="triangle" w="med" len="med"/>
                          </a:ln>
                        </wps:spPr>
                        <wps:bodyPr/>
                      </wps:wsp>
                      <wps:wsp>
                        <wps:cNvPr id="21" name="Rectangle 66"/>
                        <wps:cNvSpPr>
                          <a:spLocks noChangeArrowheads="1"/>
                        </wps:cNvSpPr>
                        <wps:spPr bwMode="auto">
                          <a:xfrm>
                            <a:off x="3224530" y="1045210"/>
                            <a:ext cx="1259205" cy="495300"/>
                          </a:xfrm>
                          <a:prstGeom prst="rect">
                            <a:avLst/>
                          </a:prstGeom>
                          <a:solidFill>
                            <a:srgbClr val="FFFFFF"/>
                          </a:solidFill>
                          <a:ln w="9525">
                            <a:solidFill>
                              <a:srgbClr val="000000"/>
                            </a:solidFill>
                            <a:miter lim="800000"/>
                          </a:ln>
                        </wps:spPr>
                        <wps:txbx>
                          <w:txbxContent>
                            <w:p>
                              <w:pPr>
                                <w:spacing w:line="240" w:lineRule="auto"/>
                                <w:jc w:val="center"/>
                                <w:rPr>
                                  <w:sz w:val="21"/>
                                  <w:szCs w:val="21"/>
                                </w:rPr>
                              </w:pPr>
                              <w:r>
                                <w:rPr>
                                  <w:sz w:val="21"/>
                                  <w:szCs w:val="21"/>
                                </w:rPr>
                                <w:t>暂存于临时堆土场，定期外售</w:t>
                              </w:r>
                            </w:p>
                          </w:txbxContent>
                        </wps:txbx>
                        <wps:bodyPr rot="0" vert="horz" wrap="square" lIns="91440" tIns="45720" rIns="91440" bIns="45720" anchor="t" anchorCtr="0" upright="1">
                          <a:noAutofit/>
                        </wps:bodyPr>
                      </wps:wsp>
                      <wps:wsp>
                        <wps:cNvPr id="30" name="AutoShape 69"/>
                        <wps:cNvCnPr>
                          <a:cxnSpLocks noChangeShapeType="1"/>
                          <a:stCxn id="2" idx="3"/>
                          <a:endCxn id="13" idx="1"/>
                        </wps:cNvCnPr>
                        <wps:spPr bwMode="auto">
                          <a:xfrm flipV="1">
                            <a:off x="906780" y="1292860"/>
                            <a:ext cx="370205" cy="3810"/>
                          </a:xfrm>
                          <a:prstGeom prst="straightConnector1">
                            <a:avLst/>
                          </a:prstGeom>
                          <a:noFill/>
                          <a:ln w="9525">
                            <a:solidFill>
                              <a:srgbClr val="000000"/>
                            </a:solidFill>
                            <a:round/>
                            <a:tailEnd type="triangle" w="med" len="med"/>
                          </a:ln>
                        </wps:spPr>
                        <wps:bodyPr/>
                      </wps:wsp>
                      <wps:wsp>
                        <wps:cNvPr id="35" name="AutoShape 70"/>
                        <wps:cNvCnPr>
                          <a:cxnSpLocks noChangeShapeType="1"/>
                          <a:stCxn id="2" idx="3"/>
                          <a:endCxn id="3" idx="1"/>
                        </wps:cNvCnPr>
                        <wps:spPr bwMode="auto">
                          <a:xfrm>
                            <a:off x="906780" y="1296670"/>
                            <a:ext cx="316230" cy="1187450"/>
                          </a:xfrm>
                          <a:prstGeom prst="straightConnector1">
                            <a:avLst/>
                          </a:prstGeom>
                          <a:noFill/>
                          <a:ln w="9525">
                            <a:solidFill>
                              <a:srgbClr val="000000"/>
                            </a:solidFill>
                            <a:round/>
                            <a:tailEnd type="triangle" w="med" len="med"/>
                          </a:ln>
                        </wps:spPr>
                        <wps:bodyPr/>
                      </wps:wsp>
                      <wps:wsp>
                        <wps:cNvPr id="36" name="Rectangle 72"/>
                        <wps:cNvSpPr>
                          <a:spLocks noChangeArrowheads="1"/>
                        </wps:cNvSpPr>
                        <wps:spPr bwMode="auto">
                          <a:xfrm>
                            <a:off x="2880361" y="2329180"/>
                            <a:ext cx="1303654" cy="309880"/>
                          </a:xfrm>
                          <a:prstGeom prst="rect">
                            <a:avLst/>
                          </a:prstGeom>
                          <a:solidFill>
                            <a:srgbClr val="FFFFFF"/>
                          </a:solidFill>
                          <a:ln w="9525">
                            <a:solidFill>
                              <a:srgbClr val="000000"/>
                            </a:solidFill>
                            <a:miter lim="800000"/>
                          </a:ln>
                        </wps:spPr>
                        <wps:txbx>
                          <w:txbxContent>
                            <w:p>
                              <w:pPr>
                                <w:spacing w:line="240" w:lineRule="auto"/>
                                <w:jc w:val="center"/>
                                <w:rPr>
                                  <w:rFonts w:hint="eastAsia" w:eastAsia="宋体"/>
                                  <w:sz w:val="21"/>
                                  <w:szCs w:val="21"/>
                                  <w:lang w:val="en-US" w:eastAsia="zh-CN"/>
                                </w:rPr>
                              </w:pPr>
                              <w:r>
                                <w:rPr>
                                  <w:rFonts w:hint="eastAsia"/>
                                  <w:sz w:val="21"/>
                                  <w:szCs w:val="21"/>
                                </w:rPr>
                                <w:t>建筑碎</w:t>
                              </w:r>
                              <w:r>
                                <w:rPr>
                                  <w:rFonts w:hint="eastAsia"/>
                                  <w:sz w:val="21"/>
                                  <w:szCs w:val="21"/>
                                  <w:lang w:val="en-US" w:eastAsia="zh-CN"/>
                                </w:rPr>
                                <w:t>90000</w:t>
                              </w:r>
                            </w:p>
                          </w:txbxContent>
                        </wps:txbx>
                        <wps:bodyPr rot="0" vert="horz" wrap="square" lIns="91440" tIns="45720" rIns="91440" bIns="45720" anchor="t" anchorCtr="0" upright="1">
                          <a:noAutofit/>
                        </wps:bodyPr>
                      </wps:wsp>
                      <wps:wsp>
                        <wps:cNvPr id="39" name="AutoShape 73"/>
                        <wps:cNvCnPr>
                          <a:cxnSpLocks noChangeShapeType="1"/>
                          <a:stCxn id="3" idx="3"/>
                        </wps:cNvCnPr>
                        <wps:spPr bwMode="auto">
                          <a:xfrm>
                            <a:off x="2453005" y="2484120"/>
                            <a:ext cx="427355" cy="2540"/>
                          </a:xfrm>
                          <a:prstGeom prst="straightConnector1">
                            <a:avLst/>
                          </a:prstGeom>
                          <a:noFill/>
                          <a:ln w="9525">
                            <a:solidFill>
                              <a:srgbClr val="000000"/>
                            </a:solidFill>
                            <a:round/>
                            <a:tailEnd type="triangle" w="med" len="med"/>
                          </a:ln>
                        </wps:spPr>
                        <wps:bodyPr/>
                      </wps:wsp>
                      <wps:wsp>
                        <wps:cNvPr id="40" name="AutoShape 75"/>
                        <wps:cNvCnPr>
                          <a:cxnSpLocks noChangeShapeType="1"/>
                        </wps:cNvCnPr>
                        <wps:spPr bwMode="auto">
                          <a:xfrm>
                            <a:off x="3737610" y="2000250"/>
                            <a:ext cx="446405" cy="635"/>
                          </a:xfrm>
                          <a:prstGeom prst="straightConnector1">
                            <a:avLst/>
                          </a:prstGeom>
                          <a:noFill/>
                          <a:ln w="9525">
                            <a:solidFill>
                              <a:srgbClr val="000000"/>
                            </a:solidFill>
                            <a:round/>
                            <a:tailEnd type="triangle" w="med" len="med"/>
                          </a:ln>
                        </wps:spPr>
                        <wps:bodyPr/>
                      </wps:wsp>
                      <wps:wsp>
                        <wps:cNvPr id="41" name="Rectangle 76"/>
                        <wps:cNvSpPr>
                          <a:spLocks noChangeArrowheads="1"/>
                        </wps:cNvSpPr>
                        <wps:spPr bwMode="auto">
                          <a:xfrm>
                            <a:off x="4630420" y="2294890"/>
                            <a:ext cx="525780" cy="309880"/>
                          </a:xfrm>
                          <a:prstGeom prst="rect">
                            <a:avLst/>
                          </a:prstGeom>
                          <a:solidFill>
                            <a:srgbClr val="FFFFFF"/>
                          </a:solidFill>
                          <a:ln w="9525">
                            <a:solidFill>
                              <a:srgbClr val="000000"/>
                            </a:solidFill>
                            <a:miter lim="800000"/>
                          </a:ln>
                        </wps:spPr>
                        <wps:txbx>
                          <w:txbxContent>
                            <w:p>
                              <w:pPr>
                                <w:spacing w:line="240" w:lineRule="auto"/>
                                <w:jc w:val="center"/>
                                <w:rPr>
                                  <w:sz w:val="21"/>
                                  <w:szCs w:val="21"/>
                                </w:rPr>
                              </w:pPr>
                              <w:r>
                                <w:rPr>
                                  <w:sz w:val="21"/>
                                  <w:szCs w:val="21"/>
                                </w:rPr>
                                <w:t>外售</w:t>
                              </w:r>
                            </w:p>
                          </w:txbxContent>
                        </wps:txbx>
                        <wps:bodyPr rot="0" vert="horz" wrap="square" lIns="91440" tIns="45720" rIns="91440" bIns="45720" anchor="t" anchorCtr="0" upright="1">
                          <a:noAutofit/>
                        </wps:bodyPr>
                      </wps:wsp>
                      <wps:wsp>
                        <wps:cNvPr id="84" name="Rectangle 72"/>
                        <wps:cNvSpPr>
                          <a:spLocks noChangeArrowheads="1"/>
                        </wps:cNvSpPr>
                        <wps:spPr bwMode="auto">
                          <a:xfrm>
                            <a:off x="2880361" y="1819275"/>
                            <a:ext cx="929639" cy="390524"/>
                          </a:xfrm>
                          <a:prstGeom prst="rect">
                            <a:avLst/>
                          </a:prstGeom>
                          <a:solidFill>
                            <a:srgbClr val="FFFFFF"/>
                          </a:solidFill>
                          <a:ln w="9525">
                            <a:solidFill>
                              <a:srgbClr val="000000"/>
                            </a:solidFill>
                            <a:miter lim="800000"/>
                          </a:ln>
                        </wps:spPr>
                        <wps:txbx>
                          <w:txbxContent>
                            <w:p>
                              <w:pPr>
                                <w:pStyle w:val="43"/>
                                <w:spacing w:before="0" w:beforeAutospacing="0" w:after="0" w:afterAutospacing="0"/>
                                <w:rPr>
                                  <w:rFonts w:hint="eastAsia" w:eastAsia="宋体"/>
                                  <w:lang w:val="en-US" w:eastAsia="zh-CN"/>
                                </w:rPr>
                              </w:pPr>
                              <w:r>
                                <w:rPr>
                                  <w:rFonts w:hint="eastAsia" w:ascii="Times New Roman"/>
                                  <w:kern w:val="2"/>
                                  <w:sz w:val="21"/>
                                  <w:szCs w:val="21"/>
                                </w:rPr>
                                <w:t>石粉</w:t>
                              </w:r>
                              <w:r>
                                <w:rPr>
                                  <w:rFonts w:hint="eastAsia" w:ascii="Times New Roman"/>
                                  <w:kern w:val="2"/>
                                  <w:sz w:val="21"/>
                                  <w:szCs w:val="21"/>
                                  <w:lang w:val="en-US" w:eastAsia="zh-CN"/>
                                </w:rPr>
                                <w:t>122</w:t>
                              </w:r>
                            </w:p>
                          </w:txbxContent>
                        </wps:txbx>
                        <wps:bodyPr rot="0" vert="horz" wrap="square" lIns="91440" tIns="45720" rIns="91440" bIns="45720" anchor="t" anchorCtr="0" upright="1">
                          <a:noAutofit/>
                        </wps:bodyPr>
                      </wps:wsp>
                      <wps:wsp>
                        <wps:cNvPr id="87" name="AutoShape 75"/>
                        <wps:cNvCnPr>
                          <a:cxnSpLocks noChangeShapeType="1"/>
                        </wps:cNvCnPr>
                        <wps:spPr bwMode="auto">
                          <a:xfrm>
                            <a:off x="4153195" y="2486660"/>
                            <a:ext cx="446405" cy="635"/>
                          </a:xfrm>
                          <a:prstGeom prst="straightConnector1">
                            <a:avLst/>
                          </a:prstGeom>
                          <a:noFill/>
                          <a:ln w="9525">
                            <a:solidFill>
                              <a:srgbClr val="000000"/>
                            </a:solidFill>
                            <a:round/>
                            <a:tailEnd type="triangle" w="med" len="med"/>
                          </a:ln>
                        </wps:spPr>
                        <wps:bodyPr/>
                      </wps:wsp>
                      <wps:wsp>
                        <wps:cNvPr id="89" name="Rectangle 76"/>
                        <wps:cNvSpPr>
                          <a:spLocks noChangeArrowheads="1"/>
                        </wps:cNvSpPr>
                        <wps:spPr bwMode="auto">
                          <a:xfrm>
                            <a:off x="4164965" y="1819275"/>
                            <a:ext cx="683260" cy="418465"/>
                          </a:xfrm>
                          <a:prstGeom prst="rect">
                            <a:avLst/>
                          </a:prstGeom>
                          <a:solidFill>
                            <a:srgbClr val="FFFFFF"/>
                          </a:solidFill>
                          <a:ln w="9525">
                            <a:solidFill>
                              <a:srgbClr val="000000"/>
                            </a:solidFill>
                            <a:miter lim="800000"/>
                          </a:ln>
                        </wps:spPr>
                        <wps:txbx>
                          <w:txbxContent>
                            <w:p>
                              <w:pPr>
                                <w:pStyle w:val="43"/>
                                <w:spacing w:before="0" w:beforeAutospacing="0" w:after="0" w:afterAutospacing="0"/>
                                <w:jc w:val="both"/>
                              </w:pPr>
                              <w:r>
                                <w:rPr>
                                  <w:rFonts w:hint="eastAsia" w:ascii="Times New Roman"/>
                                  <w:kern w:val="2"/>
                                  <w:sz w:val="21"/>
                                  <w:szCs w:val="21"/>
                                </w:rPr>
                                <w:t>外售</w:t>
                              </w:r>
                            </w:p>
                          </w:txbxContent>
                        </wps:txbx>
                        <wps:bodyPr rot="0" vert="horz" wrap="square" lIns="91440" tIns="45720" rIns="91440" bIns="45720" anchor="t" anchorCtr="0" upright="1">
                          <a:noAutofit/>
                        </wps:bodyPr>
                      </wps:wsp>
                      <wps:wsp>
                        <wps:cNvPr id="90" name="AutoShape 68"/>
                        <wps:cNvCnPr>
                          <a:cxnSpLocks noChangeShapeType="1"/>
                        </wps:cNvCnPr>
                        <wps:spPr bwMode="auto">
                          <a:xfrm flipV="1">
                            <a:off x="2453005" y="2000250"/>
                            <a:ext cx="370205" cy="328931"/>
                          </a:xfrm>
                          <a:prstGeom prst="straightConnector1">
                            <a:avLst/>
                          </a:prstGeom>
                          <a:noFill/>
                          <a:ln w="9525">
                            <a:solidFill>
                              <a:srgbClr val="000000"/>
                            </a:solidFill>
                            <a:round/>
                            <a:tailEnd type="triangle" w="med" len="med"/>
                          </a:ln>
                        </wps:spPr>
                        <wps:bodyPr/>
                      </wps:wsp>
                    </wpc:wpc>
                  </a:graphicData>
                </a:graphic>
              </wp:inline>
            </w:drawing>
          </mc:Choice>
          <mc:Fallback>
            <w:pict>
              <v:group id="画布 57" o:spid="_x0000_s1026" o:spt="203" style="height:233.3pt;width:411.9pt;" coordsize="5231130,2962910" editas="canvas" o:gfxdata="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">
                <o:lock v:ext="edit" aspectratio="f"/>
                <v:shape id="画布 57" o:spid="_x0000_s1026" style="position:absolute;left:0;top:0;height:2962910;width:5231130;" filled="f" stroked="f" coordsize="21600,21600" o:gfxdata="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">
                  <v:fill on="f" focussize="0,0"/>
                  <v:stroke on="f"/>
                  <v:imagedata o:title=""/>
                  <o:lock v:ext="edit" aspectratio="f"/>
                </v:shape>
                <v:rect id="Rectangle 59" o:spid="_x0000_s1026" o:spt="1" style="position:absolute;left:0;top:1141730;height:309880;width:906780;" fillcolor="#FFFFFF" filled="t" stroked="t" coordsize="21600,21600" o:gfxdata="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RLnz2NUAAAAFAQAADwAAAAAA&#10;AAABACAAAAAiAAAAZHJzL2Rvd25yZXYueG1sUEsBAhQAFAAAAAgAh07iQOJmBloWAgAANQQAAA4A&#10;AAAAAAAAAQAgAAAAJAEAAGRycy9lMm9Eb2MueG1sUEsFBgAAAAAGAAYAWQEAAKwFAAAAAA==&#10;">
                  <v:fill on="t" focussize="0,0"/>
                  <v:stroke color="#000000" miterlimit="8" joinstyle="miter"/>
                  <v:imagedata o:title=""/>
                  <o:lock v:ext="edit" aspectratio="f"/>
                  <v:textbox>
                    <w:txbxContent>
                      <w:p>
                        <w:pPr>
                          <w:spacing w:line="240" w:lineRule="auto"/>
                          <w:rPr>
                            <w:rFonts w:hint="eastAsia" w:eastAsia="宋体"/>
                            <w:sz w:val="21"/>
                            <w:szCs w:val="21"/>
                            <w:lang w:val="en-US" w:eastAsia="zh-CN"/>
                          </w:rPr>
                        </w:pPr>
                        <w:r>
                          <w:rPr>
                            <w:sz w:val="21"/>
                            <w:szCs w:val="21"/>
                          </w:rPr>
                          <w:t>储量</w:t>
                        </w:r>
                        <w:r>
                          <w:rPr>
                            <w:rFonts w:hint="eastAsia"/>
                            <w:sz w:val="21"/>
                            <w:szCs w:val="21"/>
                            <w:lang w:val="en-US" w:eastAsia="zh-CN"/>
                          </w:rPr>
                          <w:t>92909</w:t>
                        </w:r>
                      </w:p>
                    </w:txbxContent>
                  </v:textbox>
                </v:rect>
                <v:rect id="Rectangle 60" o:spid="_x0000_s1026" o:spt="1" style="position:absolute;left:1223010;top:2329180;height:309880;width:1229995;" fillcolor="#FFFFFF" filled="t" stroked="t" coordsize="21600,21600" o:gfxdata="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ES589jVAAAABQEA&#10;AA8AAAAAAAAAAQAgAAAAIgAAAGRycy9kb3ducmV2LnhtbFBLAQIUABQAAAAIAIdO4kCBLSgDHQIA&#10;ADwEAAAOAAAAAAAAAAEAIAAAACQBAABkcnMvZTJvRG9jLnhtbFBLBQYAAAAABgAGAFkBAACzBQAA&#10;AAA=&#10;">
                  <v:fill on="t" focussize="0,0"/>
                  <v:stroke color="#000000" miterlimit="8" joinstyle="miter"/>
                  <v:imagedata o:title=""/>
                  <o:lock v:ext="edit" aspectratio="f"/>
                  <v:textbox>
                    <w:txbxContent>
                      <w:p>
                        <w:pPr>
                          <w:spacing w:line="240" w:lineRule="auto"/>
                          <w:rPr>
                            <w:rFonts w:hint="eastAsia" w:eastAsia="宋体"/>
                            <w:sz w:val="21"/>
                            <w:szCs w:val="21"/>
                            <w:lang w:val="en-US" w:eastAsia="zh-CN"/>
                          </w:rPr>
                        </w:pPr>
                        <w:r>
                          <w:rPr>
                            <w:sz w:val="21"/>
                            <w:szCs w:val="21"/>
                          </w:rPr>
                          <w:t>可开采量</w:t>
                        </w:r>
                        <w:r>
                          <w:rPr>
                            <w:rFonts w:hint="eastAsia"/>
                            <w:sz w:val="21"/>
                            <w:szCs w:val="21"/>
                            <w:lang w:val="en-US" w:eastAsia="zh-CN"/>
                          </w:rPr>
                          <w:t>90122</w:t>
                        </w:r>
                      </w:p>
                    </w:txbxContent>
                  </v:textbox>
                </v:rect>
                <v:rect id="Rectangle 62" o:spid="_x0000_s1026" o:spt="1" style="position:absolute;left:1276985;top:1137920;height:309880;width:1259205;" fillcolor="#FFFFFF" filled="t" stroked="t" coordsize="21600,21600" o:gfxdata="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ES589jVAAAABQEA&#10;AA8AAAAAAAAAAQAgAAAAIgAAAGRycy9kb3ducmV2LnhtbFBLAQIUABQAAAAIAIdO4kDIn30fHQIA&#10;AD0EAAAOAAAAAAAAAAEAIAAAACQBAABkcnMvZTJvRG9jLnhtbFBLBQYAAAAABgAGAFkBAACzBQAA&#10;AAA=&#10;">
                  <v:fill on="t" focussize="0,0"/>
                  <v:stroke color="#000000" miterlimit="8" joinstyle="miter"/>
                  <v:imagedata o:title=""/>
                  <o:lock v:ext="edit" aspectratio="f"/>
                  <v:textbox>
                    <w:txbxContent>
                      <w:p>
                        <w:pPr>
                          <w:spacing w:line="240" w:lineRule="auto"/>
                          <w:jc w:val="center"/>
                          <w:rPr>
                            <w:rFonts w:hint="eastAsia" w:eastAsia="宋体"/>
                            <w:sz w:val="21"/>
                            <w:szCs w:val="21"/>
                            <w:lang w:val="en-US" w:eastAsia="zh-CN"/>
                          </w:rPr>
                        </w:pPr>
                        <w:r>
                          <w:rPr>
                            <w:rFonts w:hint="eastAsia"/>
                            <w:sz w:val="21"/>
                            <w:szCs w:val="21"/>
                          </w:rPr>
                          <w:t>土岩</w:t>
                        </w:r>
                        <w:r>
                          <w:rPr>
                            <w:rFonts w:hint="eastAsia"/>
                            <w:sz w:val="21"/>
                            <w:szCs w:val="21"/>
                            <w:lang w:val="en-US" w:eastAsia="zh-CN"/>
                          </w:rPr>
                          <w:t>2787</w:t>
                        </w:r>
                      </w:p>
                    </w:txbxContent>
                  </v:textbox>
                </v:rect>
                <v:shape id="AutoShape 65" o:spid="_x0000_s1026" o:spt="32" type="#_x0000_t32" style="position:absolute;left:2536190;top:1245235;height:3810;width:688340;" filled="f" stroked="t" coordsize="21600,21600" o:gfxdata="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PbFDmjWAAAA&#10;BQEAAA8AAAAAAAAAAQAgAAAAIgAAAGRycy9kb3ducmV2LnhtbFBLAQIUABQAAAAIAIdO4kBdFvze&#10;5gEAAKIDAAAOAAAAAAAAAAEAIAAAACUBAABkcnMvZTJvRG9jLnhtbFBLBQYAAAAABgAGAFkBAAB9&#10;BQAAAAA=&#10;">
                  <v:fill on="f" focussize="0,0"/>
                  <v:stroke color="#000000" joinstyle="round" endarrow="block"/>
                  <v:imagedata o:title=""/>
                  <o:lock v:ext="edit" aspectratio="f"/>
                </v:shape>
                <v:rect id="Rectangle 66" o:spid="_x0000_s1026" o:spt="1" style="position:absolute;left:3224530;top:1045210;height:495300;width:1259205;" fillcolor="#FFFFFF" filled="t" stroked="t" coordsize="21600,21600" o:gfxdata="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RLnz2NUAAAAF&#10;AQAADwAAAAAAAAABACAAAAAiAAAAZHJzL2Rvd25yZXYueG1sUEsBAhQAFAAAAAgAh07iQI+hvwof&#10;AgAAPQQAAA4AAAAAAAAAAQAgAAAAJAEAAGRycy9lMm9Eb2MueG1sUEsFBgAAAAAGAAYAWQEAALUF&#10;AAAAAA==&#10;">
                  <v:fill on="t" focussize="0,0"/>
                  <v:stroke color="#000000" miterlimit="8" joinstyle="miter"/>
                  <v:imagedata o:title=""/>
                  <o:lock v:ext="edit" aspectratio="f"/>
                  <v:textbox>
                    <w:txbxContent>
                      <w:p>
                        <w:pPr>
                          <w:spacing w:line="240" w:lineRule="auto"/>
                          <w:jc w:val="center"/>
                          <w:rPr>
                            <w:sz w:val="21"/>
                            <w:szCs w:val="21"/>
                          </w:rPr>
                        </w:pPr>
                        <w:r>
                          <w:rPr>
                            <w:sz w:val="21"/>
                            <w:szCs w:val="21"/>
                          </w:rPr>
                          <w:t>暂存于临时堆土场，定期外售</w:t>
                        </w:r>
                      </w:p>
                    </w:txbxContent>
                  </v:textbox>
                </v:rect>
                <v:shape id="AutoShape 69" o:spid="_x0000_s1026" o:spt="32" type="#_x0000_t32" style="position:absolute;left:906780;top:1292860;flip:y;height:3810;width:370205;" filled="f" stroked="t" coordsize="21600,21600" o:gfxdata="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GWSYW1gAAAAUBAAAPAAAAAAAAAAEAIAAAACIAAABkcnMvZG93bnJl&#10;di54bWxQSwECFAAUAAAACACHTuJAr6bKfv8BAADfAwAADgAAAAAAAAABACAAAAAlAQAAZHJzL2Uy&#10;b0RvYy54bWxQSwUGAAAAAAYABgBZAQAAlgUAAAAA&#10;">
                  <v:fill on="f" focussize="0,0"/>
                  <v:stroke color="#000000" joinstyle="round" endarrow="block"/>
                  <v:imagedata o:title=""/>
                  <o:lock v:ext="edit" aspectratio="f"/>
                </v:shape>
                <v:shape id="AutoShape 70" o:spid="_x0000_s1026" o:spt="32" type="#_x0000_t32" style="position:absolute;left:906780;top:1296670;height:1187450;width:316230;" filled="f" stroked="t" coordsize="21600,21600" o:gfxdata="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bFDmjWAAAABQEAAA8AAAAAAAAAAQAgAAAAIgAAAGRycy9kb3ducmV2Lnht&#10;bFBLAQIUABQAAAAIAIdO4kBbl4oB+wEAANcDAAAOAAAAAAAAAAEAIAAAACUBAABkcnMvZTJvRG9j&#10;LnhtbFBLBQYAAAAABgAGAFkBAACSBQAAAAA=&#10;">
                  <v:fill on="f" focussize="0,0"/>
                  <v:stroke color="#000000" joinstyle="round" endarrow="block"/>
                  <v:imagedata o:title=""/>
                  <o:lock v:ext="edit" aspectratio="f"/>
                </v:shape>
                <v:rect id="Rectangle 72" o:spid="_x0000_s1026" o:spt="1" style="position:absolute;left:2880361;top:2329180;height:309880;width:1303654;" fillcolor="#FFFFFF" filled="t" stroked="t" coordsize="21600,21600" o:gfxdata="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EufPY1QAAAAUB&#10;AAAPAAAAAAAAAAEAIAAAACIAAABkcnMvZG93bnJldi54bWxQSwECFAAUAAAACACHTuJAUDmSSx4C&#10;AAA9BAAADgAAAAAAAAABACAAAAAkAQAAZHJzL2Uyb0RvYy54bWxQSwUGAAAAAAYABgBZAQAAtAUA&#10;AAAA&#10;">
                  <v:fill on="t" focussize="0,0"/>
                  <v:stroke color="#000000" miterlimit="8" joinstyle="miter"/>
                  <v:imagedata o:title=""/>
                  <o:lock v:ext="edit" aspectratio="f"/>
                  <v:textbox>
                    <w:txbxContent>
                      <w:p>
                        <w:pPr>
                          <w:spacing w:line="240" w:lineRule="auto"/>
                          <w:jc w:val="center"/>
                          <w:rPr>
                            <w:rFonts w:hint="eastAsia" w:eastAsia="宋体"/>
                            <w:sz w:val="21"/>
                            <w:szCs w:val="21"/>
                            <w:lang w:val="en-US" w:eastAsia="zh-CN"/>
                          </w:rPr>
                        </w:pPr>
                        <w:r>
                          <w:rPr>
                            <w:rFonts w:hint="eastAsia"/>
                            <w:sz w:val="21"/>
                            <w:szCs w:val="21"/>
                          </w:rPr>
                          <w:t>建筑碎</w:t>
                        </w:r>
                        <w:r>
                          <w:rPr>
                            <w:rFonts w:hint="eastAsia"/>
                            <w:sz w:val="21"/>
                            <w:szCs w:val="21"/>
                            <w:lang w:val="en-US" w:eastAsia="zh-CN"/>
                          </w:rPr>
                          <w:t>90000</w:t>
                        </w:r>
                      </w:p>
                    </w:txbxContent>
                  </v:textbox>
                </v:rect>
                <v:shape id="AutoShape 73" o:spid="_x0000_s1026" o:spt="32" type="#_x0000_t32" style="position:absolute;left:2453005;top:2484120;height:2540;width:427355;" filled="f" stroked="t" coordsize="21600,21600" o:gfxdata="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2xQ5o1gAAAAUBAAAPAAAAAAAAAAEAIAAAACIAAABkcnMvZG93bnJldi54bWxQSwECFAAUAAAA&#10;CACHTuJAoi+J6vABAAC7AwAADgAAAAAAAAABACAAAAAlAQAAZHJzL2Uyb0RvYy54bWxQSwUGAAAA&#10;AAYABgBZAQAAhwUAAAAA&#10;">
                  <v:fill on="f" focussize="0,0"/>
                  <v:stroke color="#000000" joinstyle="round" endarrow="block"/>
                  <v:imagedata o:title=""/>
                  <o:lock v:ext="edit" aspectratio="f"/>
                </v:shape>
                <v:shape id="AutoShape 75" o:spid="_x0000_s1026" o:spt="32" type="#_x0000_t32" style="position:absolute;left:3737610;top:2000250;height:635;width:446405;" filled="f" stroked="t" coordsize="21600,21600" o:gfxdata="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9sUOaNYAAAAF&#10;AQAADwAAAAAAAAABACAAAAAiAAAAZHJzL2Rvd25yZXYueG1sUEsBAhQAFAAAAAgAh07iQJKdffTl&#10;AQAAoQMAAA4AAAAAAAAAAQAgAAAAJQEAAGRycy9lMm9Eb2MueG1sUEsFBgAAAAAGAAYAWQEAAHwF&#10;AAAAAA==&#10;">
                  <v:fill on="f" focussize="0,0"/>
                  <v:stroke color="#000000" joinstyle="round" endarrow="block"/>
                  <v:imagedata o:title=""/>
                  <o:lock v:ext="edit" aspectratio="f"/>
                </v:shape>
                <v:rect id="Rectangle 76" o:spid="_x0000_s1026" o:spt="1" style="position:absolute;left:4630420;top:2294890;height:309880;width:525780;" fillcolor="#FFFFFF" filled="t" stroked="t" coordsize="21600,21600" o:gfxdata="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ES589jVAAAABQEA&#10;AA8AAAAAAAAAAQAgAAAAIgAAAGRycy9kb3ducmV2LnhtbFBLAQIUABQAAAAIAIdO4kCxg1ZiHQIA&#10;ADwEAAAOAAAAAAAAAAEAIAAAACQBAABkcnMvZTJvRG9jLnhtbFBLBQYAAAAABgAGAFkBAACzBQAA&#10;AAA=&#10;">
                  <v:fill on="t" focussize="0,0"/>
                  <v:stroke color="#000000" miterlimit="8" joinstyle="miter"/>
                  <v:imagedata o:title=""/>
                  <o:lock v:ext="edit" aspectratio="f"/>
                  <v:textbox>
                    <w:txbxContent>
                      <w:p>
                        <w:pPr>
                          <w:spacing w:line="240" w:lineRule="auto"/>
                          <w:jc w:val="center"/>
                          <w:rPr>
                            <w:sz w:val="21"/>
                            <w:szCs w:val="21"/>
                          </w:rPr>
                        </w:pPr>
                        <w:r>
                          <w:rPr>
                            <w:sz w:val="21"/>
                            <w:szCs w:val="21"/>
                          </w:rPr>
                          <w:t>外售</w:t>
                        </w:r>
                      </w:p>
                    </w:txbxContent>
                  </v:textbox>
                </v:rect>
                <v:rect id="Rectangle 72" o:spid="_x0000_s1026" o:spt="1" style="position:absolute;left:2880361;top:1819275;height:390524;width:929639;" fillcolor="#FFFFFF" filled="t" stroked="t" coordsize="21600,21600" o:gfxdata="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RLnz2NUAAAAF&#10;AQAADwAAAAAAAAABACAAAAAiAAAAZHJzL2Rvd25yZXYueG1sUEsBAhQAFAAAAAgAh07iQJjDD1sf&#10;AgAAPAQAAA4AAAAAAAAAAQAgAAAAJAEAAGRycy9lMm9Eb2MueG1sUEsFBgAAAAAGAAYAWQEAALUF&#10;AAAAAA==&#10;">
                  <v:fill on="t" focussize="0,0"/>
                  <v:stroke color="#000000" miterlimit="8" joinstyle="miter"/>
                  <v:imagedata o:title=""/>
                  <o:lock v:ext="edit" aspectratio="f"/>
                  <v:textbox>
                    <w:txbxContent>
                      <w:p>
                        <w:pPr>
                          <w:pStyle w:val="43"/>
                          <w:spacing w:before="0" w:beforeAutospacing="0" w:after="0" w:afterAutospacing="0"/>
                          <w:rPr>
                            <w:rFonts w:hint="eastAsia" w:eastAsia="宋体"/>
                            <w:lang w:val="en-US" w:eastAsia="zh-CN"/>
                          </w:rPr>
                        </w:pPr>
                        <w:r>
                          <w:rPr>
                            <w:rFonts w:hint="eastAsia" w:ascii="Times New Roman"/>
                            <w:kern w:val="2"/>
                            <w:sz w:val="21"/>
                            <w:szCs w:val="21"/>
                          </w:rPr>
                          <w:t>石粉</w:t>
                        </w:r>
                        <w:r>
                          <w:rPr>
                            <w:rFonts w:hint="eastAsia" w:ascii="Times New Roman"/>
                            <w:kern w:val="2"/>
                            <w:sz w:val="21"/>
                            <w:szCs w:val="21"/>
                            <w:lang w:val="en-US" w:eastAsia="zh-CN"/>
                          </w:rPr>
                          <w:t>122</w:t>
                        </w:r>
                      </w:p>
                    </w:txbxContent>
                  </v:textbox>
                </v:rect>
                <v:shape id="AutoShape 75" o:spid="_x0000_s1026" o:spt="32" type="#_x0000_t32" style="position:absolute;left:4153195;top:2486660;height:635;width:446405;" filled="f" stroked="t" coordsize="21600,21600" o:gfxdata="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PbFDmjWAAAA&#10;BQEAAA8AAAAAAAAAAQAgAAAAIgAAAGRycy9kb3ducmV2LnhtbFBLAQIUABQAAAAIAIdO4kC7+AGf&#10;5gEAAKEDAAAOAAAAAAAAAAEAIAAAACUBAABkcnMvZTJvRG9jLnhtbFBLBQYAAAAABgAGAFkBAAB9&#10;BQAAAAA=&#10;">
                  <v:fill on="f" focussize="0,0"/>
                  <v:stroke color="#000000" joinstyle="round" endarrow="block"/>
                  <v:imagedata o:title=""/>
                  <o:lock v:ext="edit" aspectratio="f"/>
                </v:shape>
                <v:rect id="Rectangle 76" o:spid="_x0000_s1026" o:spt="1" style="position:absolute;left:4164965;top:1819275;height:418465;width:683260;" fillcolor="#FFFFFF" filled="t" stroked="t" coordsize="21600,21600" o:gfxdata="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EufPY1QAAAAUB&#10;AAAPAAAAAAAAAAEAIAAAACIAAABkcnMvZG93bnJldi54bWxQSwECFAAUAAAACACHTuJA33IdIB4C&#10;AAA8BAAADgAAAAAAAAABACAAAAAkAQAAZHJzL2Uyb0RvYy54bWxQSwUGAAAAAAYABgBZAQAAtAUA&#10;AAAA&#10;">
                  <v:fill on="t" focussize="0,0"/>
                  <v:stroke color="#000000" miterlimit="8" joinstyle="miter"/>
                  <v:imagedata o:title=""/>
                  <o:lock v:ext="edit" aspectratio="f"/>
                  <v:textbox>
                    <w:txbxContent>
                      <w:p>
                        <w:pPr>
                          <w:pStyle w:val="43"/>
                          <w:spacing w:before="0" w:beforeAutospacing="0" w:after="0" w:afterAutospacing="0"/>
                          <w:jc w:val="both"/>
                        </w:pPr>
                        <w:r>
                          <w:rPr>
                            <w:rFonts w:hint="eastAsia" w:ascii="Times New Roman"/>
                            <w:kern w:val="2"/>
                            <w:sz w:val="21"/>
                            <w:szCs w:val="21"/>
                          </w:rPr>
                          <w:t>外售</w:t>
                        </w:r>
                      </w:p>
                    </w:txbxContent>
                  </v:textbox>
                </v:rect>
                <v:shape id="AutoShape 68" o:spid="_x0000_s1026" o:spt="32" type="#_x0000_t32" style="position:absolute;left:2453005;top:2000250;flip:y;height:328931;width:370205;" filled="f" stroked="t" coordsize="21600,21600" o:gfxdata="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GWSYW&#10;1gAAAAUBAAAPAAAAAAAAAAEAIAAAACIAAABkcnMvZG93bnJldi54bWxQSwECFAAUAAAACACHTuJA&#10;sIfUE+oBAACuAwAADgAAAAAAAAABACAAAAAlAQAAZHJzL2Uyb0RvYy54bWxQSwUGAAAAAAYABgBZ&#10;AQAAgQUAAAAA&#10;">
                  <v:fill on="f" focussize="0,0"/>
                  <v:stroke color="#000000" joinstyle="round" endarrow="block"/>
                  <v:imagedata o:title=""/>
                  <o:lock v:ext="edit" aspectratio="f"/>
                </v:shape>
                <w10:wrap type="none"/>
                <w10:anchorlock/>
              </v:group>
            </w:pict>
          </mc:Fallback>
        </mc:AlternateContent>
      </w:r>
    </w:p>
    <w:p>
      <w:pPr>
        <w:pStyle w:val="244"/>
        <w:rPr>
          <w:rFonts w:eastAsiaTheme="minorEastAsia"/>
          <w:color w:val="auto"/>
        </w:rPr>
      </w:pPr>
      <w:r>
        <w:rPr>
          <w:rFonts w:eastAsiaTheme="minorEastAsia"/>
          <w:color w:val="auto"/>
        </w:rPr>
        <w:t xml:space="preserve">   图3-2-2  土石方平衡及流向图    单位：m</w:t>
      </w:r>
      <w:r>
        <w:rPr>
          <w:rFonts w:eastAsiaTheme="minorEastAsia"/>
          <w:color w:val="auto"/>
          <w:vertAlign w:val="superscript"/>
        </w:rPr>
        <w:t>3</w:t>
      </w:r>
      <w:r>
        <w:rPr>
          <w:rFonts w:eastAsiaTheme="minorEastAsia"/>
          <w:color w:val="auto"/>
        </w:rPr>
        <w:t>/开采期</w:t>
      </w:r>
    </w:p>
    <w:p>
      <w:pPr>
        <w:pStyle w:val="276"/>
        <w:rPr>
          <w:rFonts w:eastAsiaTheme="minorEastAsia"/>
          <w:color w:val="auto"/>
        </w:rPr>
      </w:pPr>
      <w:r>
        <w:rPr>
          <w:rFonts w:eastAsiaTheme="minorEastAsia"/>
          <w:color w:val="auto"/>
        </w:rPr>
        <w:t>（4）供电</w:t>
      </w:r>
    </w:p>
    <w:p>
      <w:pPr>
        <w:pStyle w:val="276"/>
        <w:rPr>
          <w:rFonts w:eastAsiaTheme="minorEastAsia"/>
          <w:color w:val="auto"/>
        </w:rPr>
      </w:pPr>
      <w:r>
        <w:rPr>
          <w:rFonts w:eastAsiaTheme="minorEastAsia"/>
          <w:color w:val="auto"/>
        </w:rPr>
        <w:t>本项目用电由当地供电局供给。办公室采用电取暖。</w:t>
      </w:r>
    </w:p>
    <w:p>
      <w:pPr>
        <w:pStyle w:val="276"/>
        <w:rPr>
          <w:rFonts w:eastAsiaTheme="minorEastAsia"/>
          <w:color w:val="auto"/>
        </w:rPr>
      </w:pPr>
      <w:r>
        <w:rPr>
          <w:rFonts w:eastAsiaTheme="minorEastAsia"/>
          <w:color w:val="auto"/>
        </w:rPr>
        <w:t>（5）防洪</w:t>
      </w:r>
    </w:p>
    <w:p>
      <w:pPr>
        <w:pStyle w:val="276"/>
        <w:rPr>
          <w:rFonts w:eastAsiaTheme="minorEastAsia"/>
          <w:color w:val="auto"/>
        </w:rPr>
      </w:pPr>
      <w:r>
        <w:rPr>
          <w:rFonts w:eastAsiaTheme="minorEastAsia"/>
          <w:color w:val="auto"/>
        </w:rPr>
        <w:t>该矿山山坡露天开采，为保证矿山正常生产，在矿区上方布设截流沟，矿区内设置导流渠，矿区汇水经导流渠汇入贮水池，用于生产降尘。</w:t>
      </w:r>
    </w:p>
    <w:p>
      <w:pPr>
        <w:pStyle w:val="276"/>
        <w:ind w:firstLine="0" w:firstLineChars="0"/>
        <w:rPr>
          <w:rFonts w:eastAsiaTheme="minorEastAsia"/>
          <w:color w:val="auto"/>
        </w:rPr>
      </w:pPr>
      <w:r>
        <w:rPr>
          <w:rFonts w:eastAsiaTheme="minorEastAsia"/>
          <w:color w:val="auto"/>
        </w:rPr>
        <w:t>3.2.5.5主要构筑物布置</w:t>
      </w:r>
    </w:p>
    <w:p>
      <w:pPr>
        <w:pStyle w:val="276"/>
        <w:rPr>
          <w:rFonts w:eastAsiaTheme="minorEastAsia"/>
          <w:color w:val="auto"/>
        </w:rPr>
      </w:pPr>
      <w:r>
        <w:rPr>
          <w:rFonts w:eastAsiaTheme="minorEastAsia"/>
          <w:color w:val="auto"/>
        </w:rPr>
        <w:t>各区布置情况见表3-2-7。</w:t>
      </w:r>
    </w:p>
    <w:p>
      <w:pPr>
        <w:pStyle w:val="276"/>
        <w:adjustRightInd w:val="0"/>
        <w:snapToGrid w:val="0"/>
        <w:spacing w:line="240" w:lineRule="auto"/>
        <w:jc w:val="center"/>
        <w:rPr>
          <w:rFonts w:eastAsiaTheme="minorEastAsia"/>
          <w:color w:val="auto"/>
        </w:rPr>
      </w:pPr>
    </w:p>
    <w:p>
      <w:pPr>
        <w:pStyle w:val="276"/>
        <w:adjustRightInd w:val="0"/>
        <w:snapToGrid w:val="0"/>
        <w:spacing w:line="240" w:lineRule="auto"/>
        <w:jc w:val="center"/>
        <w:rPr>
          <w:rFonts w:eastAsiaTheme="minorEastAsia"/>
          <w:color w:val="auto"/>
        </w:rPr>
      </w:pPr>
      <w:r>
        <w:rPr>
          <w:rFonts w:eastAsiaTheme="minorEastAsia"/>
          <w:color w:val="auto"/>
        </w:rPr>
        <w:t>表3-2-7各区布置情况</w:t>
      </w:r>
    </w:p>
    <w:tbl>
      <w:tblPr>
        <w:tblStyle w:val="54"/>
        <w:tblW w:w="8522" w:type="dxa"/>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097"/>
        <w:gridCol w:w="1988"/>
        <w:gridCol w:w="2310"/>
        <w:gridCol w:w="3127"/>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cantSplit/>
        </w:trPr>
        <w:tc>
          <w:tcPr>
            <w:tcW w:w="1097" w:type="dxa"/>
            <w:tcBorders>
              <w:tl2br w:val="nil"/>
              <w:tr2bl w:val="nil"/>
            </w:tcBorders>
            <w:vAlign w:val="center"/>
          </w:tcPr>
          <w:p>
            <w:pPr>
              <w:pStyle w:val="244"/>
              <w:spacing w:line="240" w:lineRule="auto"/>
              <w:rPr>
                <w:rFonts w:eastAsiaTheme="minorEastAsia"/>
                <w:color w:val="auto"/>
                <w:sz w:val="21"/>
                <w:szCs w:val="21"/>
              </w:rPr>
            </w:pPr>
            <w:r>
              <w:rPr>
                <w:rFonts w:eastAsiaTheme="minorEastAsia"/>
                <w:color w:val="auto"/>
                <w:sz w:val="21"/>
                <w:szCs w:val="21"/>
              </w:rPr>
              <w:t>序号</w:t>
            </w:r>
          </w:p>
        </w:tc>
        <w:tc>
          <w:tcPr>
            <w:tcW w:w="1988" w:type="dxa"/>
            <w:tcBorders>
              <w:tl2br w:val="nil"/>
              <w:tr2bl w:val="nil"/>
            </w:tcBorders>
          </w:tcPr>
          <w:p>
            <w:pPr>
              <w:pStyle w:val="244"/>
              <w:spacing w:line="240" w:lineRule="auto"/>
              <w:rPr>
                <w:rFonts w:eastAsiaTheme="minorEastAsia"/>
                <w:color w:val="auto"/>
                <w:sz w:val="21"/>
                <w:szCs w:val="21"/>
              </w:rPr>
            </w:pPr>
            <w:r>
              <w:rPr>
                <w:rFonts w:eastAsiaTheme="minorEastAsia"/>
                <w:color w:val="auto"/>
                <w:sz w:val="21"/>
                <w:szCs w:val="21"/>
              </w:rPr>
              <w:t>建筑物名称</w:t>
            </w:r>
          </w:p>
        </w:tc>
        <w:tc>
          <w:tcPr>
            <w:tcW w:w="2310" w:type="dxa"/>
            <w:tcBorders>
              <w:tl2br w:val="nil"/>
              <w:tr2bl w:val="nil"/>
            </w:tcBorders>
          </w:tcPr>
          <w:p>
            <w:pPr>
              <w:pStyle w:val="244"/>
              <w:spacing w:line="240" w:lineRule="auto"/>
              <w:rPr>
                <w:rFonts w:eastAsiaTheme="minorEastAsia"/>
                <w:color w:val="auto"/>
                <w:sz w:val="21"/>
                <w:szCs w:val="21"/>
              </w:rPr>
            </w:pPr>
            <w:r>
              <w:rPr>
                <w:rFonts w:eastAsiaTheme="minorEastAsia"/>
                <w:color w:val="auto"/>
                <w:sz w:val="21"/>
                <w:szCs w:val="21"/>
              </w:rPr>
              <w:t>占地面积（m</w:t>
            </w:r>
            <w:r>
              <w:rPr>
                <w:rFonts w:eastAsiaTheme="minorEastAsia"/>
                <w:color w:val="auto"/>
                <w:sz w:val="21"/>
                <w:szCs w:val="21"/>
                <w:vertAlign w:val="superscript"/>
              </w:rPr>
              <w:t>2</w:t>
            </w:r>
            <w:r>
              <w:rPr>
                <w:rFonts w:eastAsiaTheme="minorEastAsia"/>
                <w:color w:val="auto"/>
                <w:sz w:val="21"/>
                <w:szCs w:val="21"/>
              </w:rPr>
              <w:t>）</w:t>
            </w:r>
          </w:p>
        </w:tc>
        <w:tc>
          <w:tcPr>
            <w:tcW w:w="3127" w:type="dxa"/>
            <w:tcBorders>
              <w:tl2br w:val="nil"/>
              <w:tr2bl w:val="nil"/>
            </w:tcBorders>
          </w:tcPr>
          <w:p>
            <w:pPr>
              <w:pStyle w:val="244"/>
              <w:spacing w:line="240" w:lineRule="auto"/>
              <w:rPr>
                <w:rFonts w:eastAsiaTheme="minorEastAsia"/>
                <w:color w:val="auto"/>
                <w:sz w:val="21"/>
                <w:szCs w:val="21"/>
              </w:rPr>
            </w:pPr>
            <w:r>
              <w:rPr>
                <w:rFonts w:eastAsiaTheme="minorEastAsia"/>
                <w:color w:val="auto"/>
                <w:sz w:val="21"/>
                <w:szCs w:val="21"/>
              </w:rPr>
              <w:t>备注</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374" w:hRule="atLeast"/>
        </w:trPr>
        <w:tc>
          <w:tcPr>
            <w:tcW w:w="1097" w:type="dxa"/>
            <w:tcBorders>
              <w:tl2br w:val="nil"/>
              <w:tr2bl w:val="nil"/>
            </w:tcBorders>
          </w:tcPr>
          <w:p>
            <w:pPr>
              <w:pStyle w:val="244"/>
              <w:spacing w:line="240" w:lineRule="auto"/>
              <w:rPr>
                <w:rFonts w:eastAsiaTheme="minorEastAsia"/>
                <w:color w:val="auto"/>
                <w:sz w:val="21"/>
                <w:szCs w:val="21"/>
              </w:rPr>
            </w:pPr>
            <w:r>
              <w:rPr>
                <w:rFonts w:eastAsiaTheme="minorEastAsia"/>
                <w:color w:val="auto"/>
                <w:sz w:val="21"/>
                <w:szCs w:val="21"/>
              </w:rPr>
              <w:t>1</w:t>
            </w:r>
          </w:p>
        </w:tc>
        <w:tc>
          <w:tcPr>
            <w:tcW w:w="1988" w:type="dxa"/>
            <w:tcBorders>
              <w:tl2br w:val="nil"/>
              <w:tr2bl w:val="nil"/>
            </w:tcBorders>
          </w:tcPr>
          <w:p>
            <w:pPr>
              <w:pStyle w:val="244"/>
              <w:spacing w:line="240" w:lineRule="auto"/>
              <w:rPr>
                <w:rFonts w:eastAsiaTheme="minorEastAsia"/>
                <w:color w:val="auto"/>
                <w:sz w:val="21"/>
                <w:szCs w:val="21"/>
              </w:rPr>
            </w:pPr>
            <w:r>
              <w:rPr>
                <w:rFonts w:eastAsiaTheme="minorEastAsia"/>
                <w:color w:val="auto"/>
                <w:sz w:val="21"/>
                <w:szCs w:val="21"/>
              </w:rPr>
              <w:t>破碎加工区</w:t>
            </w:r>
          </w:p>
        </w:tc>
        <w:tc>
          <w:tcPr>
            <w:tcW w:w="2310" w:type="dxa"/>
            <w:tcBorders>
              <w:tl2br w:val="nil"/>
              <w:tr2bl w:val="nil"/>
            </w:tcBorders>
            <w:vAlign w:val="top"/>
          </w:tcPr>
          <w:p>
            <w:pPr>
              <w:pStyle w:val="244"/>
              <w:spacing w:line="240" w:lineRule="auto"/>
              <w:rPr>
                <w:rFonts w:eastAsiaTheme="minorEastAsia"/>
                <w:color w:val="auto"/>
                <w:sz w:val="21"/>
                <w:szCs w:val="21"/>
              </w:rPr>
            </w:pPr>
            <w:r>
              <w:rPr>
                <w:rFonts w:hint="default" w:eastAsiaTheme="minorEastAsia"/>
                <w:color w:val="auto"/>
                <w:sz w:val="21"/>
                <w:szCs w:val="21"/>
                <w:lang w:val="en-US" w:eastAsia="zh-CN"/>
              </w:rPr>
              <w:t>1400</w:t>
            </w:r>
          </w:p>
        </w:tc>
        <w:tc>
          <w:tcPr>
            <w:tcW w:w="3127" w:type="dxa"/>
            <w:tcBorders>
              <w:tl2br w:val="nil"/>
              <w:tr2bl w:val="nil"/>
            </w:tcBorders>
          </w:tcPr>
          <w:p>
            <w:pPr>
              <w:pStyle w:val="244"/>
              <w:spacing w:line="240" w:lineRule="auto"/>
              <w:rPr>
                <w:rFonts w:eastAsiaTheme="minorEastAsia"/>
                <w:color w:val="auto"/>
                <w:sz w:val="21"/>
                <w:szCs w:val="21"/>
              </w:rPr>
            </w:pPr>
            <w:r>
              <w:rPr>
                <w:rFonts w:eastAsiaTheme="minorEastAsia"/>
                <w:color w:val="auto"/>
                <w:sz w:val="21"/>
                <w:szCs w:val="21"/>
              </w:rPr>
              <w:t>采矿用地</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cantSplit/>
        </w:trPr>
        <w:tc>
          <w:tcPr>
            <w:tcW w:w="1097" w:type="dxa"/>
            <w:tcBorders>
              <w:tl2br w:val="nil"/>
              <w:tr2bl w:val="nil"/>
            </w:tcBorders>
          </w:tcPr>
          <w:p>
            <w:pPr>
              <w:pStyle w:val="244"/>
              <w:spacing w:line="240" w:lineRule="auto"/>
              <w:rPr>
                <w:rFonts w:eastAsiaTheme="minorEastAsia"/>
                <w:color w:val="auto"/>
                <w:sz w:val="21"/>
                <w:szCs w:val="21"/>
              </w:rPr>
            </w:pPr>
            <w:r>
              <w:rPr>
                <w:rFonts w:eastAsiaTheme="minorEastAsia"/>
                <w:color w:val="auto"/>
                <w:sz w:val="21"/>
                <w:szCs w:val="21"/>
              </w:rPr>
              <w:t>2</w:t>
            </w:r>
          </w:p>
        </w:tc>
        <w:tc>
          <w:tcPr>
            <w:tcW w:w="1988" w:type="dxa"/>
            <w:tcBorders>
              <w:tl2br w:val="nil"/>
              <w:tr2bl w:val="nil"/>
            </w:tcBorders>
          </w:tcPr>
          <w:p>
            <w:pPr>
              <w:pStyle w:val="244"/>
              <w:spacing w:line="240" w:lineRule="auto"/>
              <w:rPr>
                <w:rFonts w:eastAsiaTheme="minorEastAsia"/>
                <w:color w:val="auto"/>
                <w:sz w:val="21"/>
                <w:szCs w:val="21"/>
              </w:rPr>
            </w:pPr>
            <w:r>
              <w:rPr>
                <w:rFonts w:eastAsiaTheme="minorEastAsia"/>
                <w:color w:val="auto"/>
                <w:sz w:val="21"/>
                <w:szCs w:val="21"/>
              </w:rPr>
              <w:t>开采区</w:t>
            </w:r>
          </w:p>
        </w:tc>
        <w:tc>
          <w:tcPr>
            <w:tcW w:w="2310" w:type="dxa"/>
            <w:tcBorders>
              <w:tl2br w:val="nil"/>
              <w:tr2bl w:val="nil"/>
            </w:tcBorders>
            <w:vAlign w:val="top"/>
          </w:tcPr>
          <w:p>
            <w:pPr>
              <w:pStyle w:val="244"/>
              <w:spacing w:line="240" w:lineRule="auto"/>
              <w:rPr>
                <w:rFonts w:hint="eastAsia" w:eastAsiaTheme="minorEastAsia"/>
                <w:color w:val="auto"/>
                <w:sz w:val="21"/>
                <w:szCs w:val="21"/>
                <w:lang w:eastAsia="zh-CN"/>
              </w:rPr>
            </w:pPr>
            <w:r>
              <w:rPr>
                <w:rFonts w:hint="eastAsia" w:eastAsiaTheme="minorEastAsia"/>
                <w:color w:val="auto"/>
                <w:sz w:val="21"/>
                <w:szCs w:val="21"/>
                <w:lang w:val="en-US" w:eastAsia="zh-CN"/>
              </w:rPr>
              <w:t>3555</w:t>
            </w:r>
          </w:p>
        </w:tc>
        <w:tc>
          <w:tcPr>
            <w:tcW w:w="3127" w:type="dxa"/>
            <w:tcBorders>
              <w:tl2br w:val="nil"/>
              <w:tr2bl w:val="nil"/>
            </w:tcBorders>
          </w:tcPr>
          <w:p>
            <w:pPr>
              <w:pStyle w:val="244"/>
              <w:spacing w:line="240" w:lineRule="auto"/>
              <w:rPr>
                <w:rFonts w:eastAsiaTheme="minorEastAsia"/>
                <w:color w:val="auto"/>
                <w:sz w:val="21"/>
                <w:szCs w:val="21"/>
              </w:rPr>
            </w:pPr>
            <w:r>
              <w:rPr>
                <w:rFonts w:eastAsiaTheme="minorEastAsia"/>
                <w:color w:val="auto"/>
                <w:sz w:val="21"/>
                <w:szCs w:val="21"/>
              </w:rPr>
              <w:t>采矿用地</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cantSplit/>
        </w:trPr>
        <w:tc>
          <w:tcPr>
            <w:tcW w:w="1097" w:type="dxa"/>
            <w:tcBorders>
              <w:tl2br w:val="nil"/>
              <w:tr2bl w:val="nil"/>
            </w:tcBorders>
          </w:tcPr>
          <w:p>
            <w:pPr>
              <w:pStyle w:val="244"/>
              <w:spacing w:line="240" w:lineRule="auto"/>
              <w:rPr>
                <w:rFonts w:eastAsiaTheme="minorEastAsia"/>
                <w:color w:val="auto"/>
                <w:sz w:val="21"/>
                <w:szCs w:val="21"/>
              </w:rPr>
            </w:pPr>
            <w:r>
              <w:rPr>
                <w:rFonts w:eastAsiaTheme="minorEastAsia"/>
                <w:color w:val="auto"/>
                <w:sz w:val="21"/>
                <w:szCs w:val="21"/>
              </w:rPr>
              <w:t>3</w:t>
            </w:r>
          </w:p>
        </w:tc>
        <w:tc>
          <w:tcPr>
            <w:tcW w:w="1988" w:type="dxa"/>
            <w:tcBorders>
              <w:tl2br w:val="nil"/>
              <w:tr2bl w:val="nil"/>
            </w:tcBorders>
            <w:vAlign w:val="top"/>
          </w:tcPr>
          <w:p>
            <w:pPr>
              <w:pStyle w:val="244"/>
              <w:spacing w:line="240" w:lineRule="auto"/>
              <w:rPr>
                <w:rFonts w:eastAsiaTheme="minorEastAsia"/>
                <w:color w:val="auto"/>
                <w:sz w:val="21"/>
                <w:szCs w:val="21"/>
              </w:rPr>
            </w:pPr>
            <w:r>
              <w:rPr>
                <w:rFonts w:eastAsiaTheme="minorEastAsia"/>
                <w:color w:val="auto"/>
                <w:sz w:val="21"/>
                <w:szCs w:val="21"/>
              </w:rPr>
              <w:t>临时堆土场</w:t>
            </w:r>
          </w:p>
        </w:tc>
        <w:tc>
          <w:tcPr>
            <w:tcW w:w="2310" w:type="dxa"/>
            <w:tcBorders>
              <w:tl2br w:val="nil"/>
              <w:tr2bl w:val="nil"/>
            </w:tcBorders>
            <w:vAlign w:val="top"/>
          </w:tcPr>
          <w:p>
            <w:pPr>
              <w:pStyle w:val="244"/>
              <w:spacing w:line="240" w:lineRule="auto"/>
              <w:rPr>
                <w:rFonts w:eastAsiaTheme="minorEastAsia"/>
                <w:color w:val="auto"/>
                <w:sz w:val="21"/>
                <w:szCs w:val="21"/>
              </w:rPr>
            </w:pPr>
            <w:r>
              <w:rPr>
                <w:rFonts w:hint="eastAsia" w:eastAsiaTheme="minorEastAsia"/>
                <w:color w:val="auto"/>
                <w:sz w:val="21"/>
                <w:szCs w:val="21"/>
                <w:lang w:val="en-US" w:eastAsia="zh-CN"/>
              </w:rPr>
              <w:t>40</w:t>
            </w:r>
          </w:p>
        </w:tc>
        <w:tc>
          <w:tcPr>
            <w:tcW w:w="3127" w:type="dxa"/>
            <w:tcBorders>
              <w:tl2br w:val="nil"/>
              <w:tr2bl w:val="nil"/>
            </w:tcBorders>
            <w:vAlign w:val="top"/>
          </w:tcPr>
          <w:p>
            <w:pPr>
              <w:pStyle w:val="244"/>
              <w:spacing w:line="240" w:lineRule="auto"/>
              <w:rPr>
                <w:rFonts w:eastAsiaTheme="minorEastAsia"/>
                <w:color w:val="auto"/>
                <w:sz w:val="21"/>
                <w:szCs w:val="21"/>
              </w:rPr>
            </w:pPr>
            <w:r>
              <w:rPr>
                <w:rFonts w:eastAsiaTheme="minorEastAsia"/>
                <w:color w:val="auto"/>
                <w:sz w:val="21"/>
                <w:szCs w:val="21"/>
              </w:rPr>
              <w:t>采矿用地</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cantSplit/>
        </w:trPr>
        <w:tc>
          <w:tcPr>
            <w:tcW w:w="1097" w:type="dxa"/>
            <w:tcBorders>
              <w:tl2br w:val="nil"/>
              <w:tr2bl w:val="nil"/>
            </w:tcBorders>
          </w:tcPr>
          <w:p>
            <w:pPr>
              <w:pStyle w:val="244"/>
              <w:spacing w:line="240" w:lineRule="auto"/>
              <w:rPr>
                <w:rFonts w:eastAsiaTheme="minorEastAsia"/>
                <w:color w:val="auto"/>
                <w:sz w:val="21"/>
                <w:szCs w:val="21"/>
              </w:rPr>
            </w:pPr>
            <w:r>
              <w:rPr>
                <w:rFonts w:eastAsiaTheme="minorEastAsia"/>
                <w:color w:val="auto"/>
                <w:sz w:val="21"/>
                <w:szCs w:val="21"/>
              </w:rPr>
              <w:t>4</w:t>
            </w:r>
          </w:p>
        </w:tc>
        <w:tc>
          <w:tcPr>
            <w:tcW w:w="1988" w:type="dxa"/>
            <w:tcBorders>
              <w:tl2br w:val="nil"/>
              <w:tr2bl w:val="nil"/>
            </w:tcBorders>
            <w:vAlign w:val="top"/>
          </w:tcPr>
          <w:p>
            <w:pPr>
              <w:pStyle w:val="244"/>
              <w:spacing w:line="240" w:lineRule="auto"/>
              <w:rPr>
                <w:rFonts w:eastAsiaTheme="minorEastAsia"/>
                <w:color w:val="auto"/>
                <w:sz w:val="21"/>
                <w:szCs w:val="21"/>
              </w:rPr>
            </w:pPr>
            <w:r>
              <w:rPr>
                <w:rFonts w:eastAsiaTheme="minorEastAsia"/>
                <w:color w:val="auto"/>
                <w:sz w:val="21"/>
                <w:szCs w:val="21"/>
              </w:rPr>
              <w:t>原矿堆场</w:t>
            </w:r>
          </w:p>
        </w:tc>
        <w:tc>
          <w:tcPr>
            <w:tcW w:w="2310" w:type="dxa"/>
            <w:tcBorders>
              <w:tl2br w:val="nil"/>
              <w:tr2bl w:val="nil"/>
            </w:tcBorders>
            <w:vAlign w:val="top"/>
          </w:tcPr>
          <w:p>
            <w:pPr>
              <w:pStyle w:val="244"/>
              <w:spacing w:line="240" w:lineRule="auto"/>
              <w:rPr>
                <w:rFonts w:hint="eastAsia" w:eastAsiaTheme="minorEastAsia"/>
                <w:color w:val="auto"/>
                <w:sz w:val="21"/>
                <w:szCs w:val="21"/>
                <w:lang w:val="en-US" w:eastAsia="zh-CN"/>
              </w:rPr>
            </w:pPr>
            <w:r>
              <w:rPr>
                <w:rFonts w:hint="default" w:eastAsiaTheme="minorEastAsia"/>
                <w:color w:val="auto"/>
                <w:sz w:val="21"/>
                <w:szCs w:val="21"/>
                <w:lang w:val="en-US" w:eastAsia="zh-CN"/>
              </w:rPr>
              <w:t>500</w:t>
            </w:r>
          </w:p>
        </w:tc>
        <w:tc>
          <w:tcPr>
            <w:tcW w:w="3127" w:type="dxa"/>
            <w:tcBorders>
              <w:tl2br w:val="nil"/>
              <w:tr2bl w:val="nil"/>
            </w:tcBorders>
            <w:vAlign w:val="top"/>
          </w:tcPr>
          <w:p>
            <w:pPr>
              <w:pStyle w:val="244"/>
              <w:spacing w:line="240" w:lineRule="auto"/>
              <w:rPr>
                <w:rFonts w:eastAsiaTheme="minorEastAsia"/>
                <w:color w:val="auto"/>
                <w:sz w:val="21"/>
                <w:szCs w:val="21"/>
              </w:rPr>
            </w:pPr>
            <w:r>
              <w:rPr>
                <w:rFonts w:eastAsiaTheme="minorEastAsia"/>
                <w:color w:val="auto"/>
                <w:sz w:val="21"/>
                <w:szCs w:val="21"/>
              </w:rPr>
              <w:t>采矿用地</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cantSplit/>
        </w:trPr>
        <w:tc>
          <w:tcPr>
            <w:tcW w:w="1097" w:type="dxa"/>
            <w:tcBorders>
              <w:tl2br w:val="nil"/>
              <w:tr2bl w:val="nil"/>
            </w:tcBorders>
          </w:tcPr>
          <w:p>
            <w:pPr>
              <w:pStyle w:val="244"/>
              <w:spacing w:line="240" w:lineRule="auto"/>
              <w:rPr>
                <w:rFonts w:eastAsiaTheme="minorEastAsia"/>
                <w:color w:val="auto"/>
                <w:sz w:val="21"/>
                <w:szCs w:val="21"/>
              </w:rPr>
            </w:pPr>
            <w:r>
              <w:rPr>
                <w:rFonts w:eastAsiaTheme="minorEastAsia"/>
                <w:color w:val="auto"/>
                <w:sz w:val="21"/>
                <w:szCs w:val="21"/>
              </w:rPr>
              <w:t>5</w:t>
            </w:r>
          </w:p>
        </w:tc>
        <w:tc>
          <w:tcPr>
            <w:tcW w:w="1988" w:type="dxa"/>
            <w:tcBorders>
              <w:tl2br w:val="nil"/>
              <w:tr2bl w:val="nil"/>
            </w:tcBorders>
            <w:vAlign w:val="top"/>
          </w:tcPr>
          <w:p>
            <w:pPr>
              <w:pStyle w:val="244"/>
              <w:spacing w:line="240" w:lineRule="auto"/>
              <w:rPr>
                <w:rFonts w:eastAsiaTheme="minorEastAsia"/>
                <w:color w:val="auto"/>
                <w:sz w:val="21"/>
                <w:szCs w:val="21"/>
              </w:rPr>
            </w:pPr>
            <w:r>
              <w:rPr>
                <w:rFonts w:eastAsiaTheme="minorEastAsia"/>
                <w:color w:val="auto"/>
                <w:sz w:val="21"/>
                <w:szCs w:val="21"/>
              </w:rPr>
              <w:t>道路</w:t>
            </w:r>
          </w:p>
        </w:tc>
        <w:tc>
          <w:tcPr>
            <w:tcW w:w="2310" w:type="dxa"/>
            <w:tcBorders>
              <w:tl2br w:val="nil"/>
              <w:tr2bl w:val="nil"/>
            </w:tcBorders>
            <w:vAlign w:val="top"/>
          </w:tcPr>
          <w:p>
            <w:pPr>
              <w:pStyle w:val="244"/>
              <w:spacing w:line="240" w:lineRule="auto"/>
              <w:rPr>
                <w:rFonts w:eastAsiaTheme="minorEastAsia"/>
                <w:color w:val="auto"/>
                <w:sz w:val="21"/>
                <w:szCs w:val="21"/>
              </w:rPr>
            </w:pPr>
            <w:r>
              <w:rPr>
                <w:rFonts w:hint="eastAsia" w:eastAsiaTheme="minorEastAsia"/>
                <w:color w:val="auto"/>
                <w:sz w:val="21"/>
                <w:szCs w:val="21"/>
                <w:lang w:val="en-US" w:eastAsia="zh-CN"/>
              </w:rPr>
              <w:t>3800</w:t>
            </w:r>
          </w:p>
        </w:tc>
        <w:tc>
          <w:tcPr>
            <w:tcW w:w="3127" w:type="dxa"/>
            <w:tcBorders>
              <w:tl2br w:val="nil"/>
              <w:tr2bl w:val="nil"/>
            </w:tcBorders>
            <w:vAlign w:val="top"/>
          </w:tcPr>
          <w:p>
            <w:pPr>
              <w:pStyle w:val="244"/>
              <w:spacing w:line="240" w:lineRule="auto"/>
              <w:rPr>
                <w:rFonts w:eastAsiaTheme="minorEastAsia"/>
                <w:color w:val="auto"/>
                <w:sz w:val="21"/>
                <w:szCs w:val="21"/>
              </w:rPr>
            </w:pPr>
            <w:r>
              <w:rPr>
                <w:rFonts w:eastAsiaTheme="minorEastAsia"/>
                <w:color w:val="auto"/>
                <w:sz w:val="21"/>
                <w:szCs w:val="21"/>
              </w:rPr>
              <w:t>采矿用地</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cantSplit/>
        </w:trPr>
        <w:tc>
          <w:tcPr>
            <w:tcW w:w="1097" w:type="dxa"/>
            <w:tcBorders>
              <w:tl2br w:val="nil"/>
              <w:tr2bl w:val="nil"/>
            </w:tcBorders>
          </w:tcPr>
          <w:p>
            <w:pPr>
              <w:pStyle w:val="244"/>
              <w:spacing w:line="240" w:lineRule="auto"/>
              <w:rPr>
                <w:rFonts w:eastAsiaTheme="minorEastAsia"/>
                <w:color w:val="auto"/>
                <w:sz w:val="21"/>
                <w:szCs w:val="21"/>
              </w:rPr>
            </w:pPr>
            <w:r>
              <w:rPr>
                <w:rFonts w:eastAsiaTheme="minorEastAsia"/>
                <w:color w:val="auto"/>
                <w:sz w:val="21"/>
                <w:szCs w:val="21"/>
              </w:rPr>
              <w:t>6</w:t>
            </w:r>
          </w:p>
        </w:tc>
        <w:tc>
          <w:tcPr>
            <w:tcW w:w="1988" w:type="dxa"/>
            <w:tcBorders>
              <w:tl2br w:val="nil"/>
              <w:tr2bl w:val="nil"/>
            </w:tcBorders>
            <w:vAlign w:val="top"/>
          </w:tcPr>
          <w:p>
            <w:pPr>
              <w:pStyle w:val="244"/>
              <w:spacing w:line="240" w:lineRule="auto"/>
              <w:rPr>
                <w:rFonts w:eastAsiaTheme="minorEastAsia"/>
                <w:color w:val="auto"/>
                <w:sz w:val="21"/>
                <w:szCs w:val="21"/>
              </w:rPr>
            </w:pPr>
            <w:r>
              <w:rPr>
                <w:rFonts w:eastAsiaTheme="minorEastAsia"/>
                <w:color w:val="auto"/>
                <w:sz w:val="21"/>
                <w:szCs w:val="21"/>
              </w:rPr>
              <w:t>成品区</w:t>
            </w:r>
          </w:p>
        </w:tc>
        <w:tc>
          <w:tcPr>
            <w:tcW w:w="2310" w:type="dxa"/>
            <w:tcBorders>
              <w:tl2br w:val="nil"/>
              <w:tr2bl w:val="nil"/>
            </w:tcBorders>
            <w:vAlign w:val="top"/>
          </w:tcPr>
          <w:p>
            <w:pPr>
              <w:pStyle w:val="244"/>
              <w:spacing w:line="240" w:lineRule="auto"/>
              <w:rPr>
                <w:rFonts w:hint="eastAsia" w:eastAsiaTheme="minorEastAsia"/>
                <w:color w:val="auto"/>
                <w:sz w:val="21"/>
                <w:szCs w:val="21"/>
                <w:lang w:val="en-US" w:eastAsia="zh-CN"/>
              </w:rPr>
            </w:pPr>
            <w:r>
              <w:rPr>
                <w:rFonts w:hint="eastAsia" w:eastAsiaTheme="minorEastAsia"/>
                <w:color w:val="auto"/>
                <w:sz w:val="21"/>
                <w:szCs w:val="21"/>
                <w:lang w:val="en-US" w:eastAsia="zh-CN"/>
              </w:rPr>
              <w:t>800</w:t>
            </w:r>
          </w:p>
        </w:tc>
        <w:tc>
          <w:tcPr>
            <w:tcW w:w="3127" w:type="dxa"/>
            <w:tcBorders>
              <w:tl2br w:val="nil"/>
              <w:tr2bl w:val="nil"/>
            </w:tcBorders>
            <w:vAlign w:val="top"/>
          </w:tcPr>
          <w:p>
            <w:pPr>
              <w:pStyle w:val="244"/>
              <w:spacing w:line="240" w:lineRule="auto"/>
              <w:rPr>
                <w:rFonts w:eastAsiaTheme="minorEastAsia"/>
                <w:color w:val="auto"/>
                <w:sz w:val="21"/>
                <w:szCs w:val="21"/>
              </w:rPr>
            </w:pPr>
            <w:r>
              <w:rPr>
                <w:rFonts w:eastAsiaTheme="minorEastAsia"/>
                <w:color w:val="auto"/>
                <w:sz w:val="21"/>
                <w:szCs w:val="21"/>
              </w:rPr>
              <w:t>采矿用地</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cantSplit/>
        </w:trPr>
        <w:tc>
          <w:tcPr>
            <w:tcW w:w="1097" w:type="dxa"/>
            <w:tcBorders>
              <w:tl2br w:val="nil"/>
              <w:tr2bl w:val="nil"/>
            </w:tcBorders>
          </w:tcPr>
          <w:p>
            <w:pPr>
              <w:pStyle w:val="244"/>
              <w:spacing w:line="240" w:lineRule="auto"/>
              <w:rPr>
                <w:rFonts w:eastAsiaTheme="minorEastAsia"/>
                <w:color w:val="auto"/>
                <w:sz w:val="21"/>
                <w:szCs w:val="21"/>
              </w:rPr>
            </w:pPr>
            <w:r>
              <w:rPr>
                <w:rFonts w:eastAsiaTheme="minorEastAsia"/>
                <w:color w:val="auto"/>
                <w:sz w:val="21"/>
                <w:szCs w:val="21"/>
              </w:rPr>
              <w:t>7</w:t>
            </w:r>
          </w:p>
        </w:tc>
        <w:tc>
          <w:tcPr>
            <w:tcW w:w="1988" w:type="dxa"/>
            <w:tcBorders>
              <w:tl2br w:val="nil"/>
              <w:tr2bl w:val="nil"/>
            </w:tcBorders>
            <w:vAlign w:val="top"/>
          </w:tcPr>
          <w:p>
            <w:pPr>
              <w:pStyle w:val="244"/>
              <w:spacing w:line="240" w:lineRule="auto"/>
              <w:rPr>
                <w:rFonts w:eastAsiaTheme="minorEastAsia"/>
                <w:color w:val="auto"/>
                <w:sz w:val="21"/>
                <w:szCs w:val="21"/>
              </w:rPr>
            </w:pPr>
            <w:r>
              <w:rPr>
                <w:rFonts w:eastAsiaTheme="minorEastAsia"/>
                <w:color w:val="auto"/>
                <w:sz w:val="21"/>
                <w:szCs w:val="21"/>
              </w:rPr>
              <w:t>办公室</w:t>
            </w:r>
          </w:p>
        </w:tc>
        <w:tc>
          <w:tcPr>
            <w:tcW w:w="2310" w:type="dxa"/>
            <w:tcBorders>
              <w:tl2br w:val="nil"/>
              <w:tr2bl w:val="nil"/>
            </w:tcBorders>
            <w:vAlign w:val="top"/>
          </w:tcPr>
          <w:p>
            <w:pPr>
              <w:pStyle w:val="244"/>
              <w:spacing w:line="240" w:lineRule="auto"/>
              <w:rPr>
                <w:rFonts w:hint="eastAsia" w:eastAsiaTheme="minorEastAsia"/>
                <w:color w:val="auto"/>
                <w:sz w:val="21"/>
                <w:szCs w:val="21"/>
                <w:lang w:val="en-US" w:eastAsia="zh-CN"/>
              </w:rPr>
            </w:pPr>
            <w:r>
              <w:rPr>
                <w:rFonts w:hint="eastAsia" w:eastAsiaTheme="minorEastAsia"/>
                <w:color w:val="auto"/>
                <w:sz w:val="21"/>
                <w:szCs w:val="21"/>
                <w:lang w:val="en-US" w:eastAsia="zh-CN"/>
              </w:rPr>
              <w:t>40</w:t>
            </w:r>
          </w:p>
        </w:tc>
        <w:tc>
          <w:tcPr>
            <w:tcW w:w="3127" w:type="dxa"/>
            <w:tcBorders>
              <w:tl2br w:val="nil"/>
              <w:tr2bl w:val="nil"/>
            </w:tcBorders>
            <w:vAlign w:val="top"/>
          </w:tcPr>
          <w:p>
            <w:pPr>
              <w:pStyle w:val="244"/>
              <w:spacing w:line="240" w:lineRule="auto"/>
              <w:rPr>
                <w:rFonts w:eastAsiaTheme="minorEastAsia"/>
                <w:color w:val="auto"/>
                <w:sz w:val="21"/>
                <w:szCs w:val="21"/>
              </w:rPr>
            </w:pPr>
            <w:r>
              <w:rPr>
                <w:rFonts w:eastAsiaTheme="minorEastAsia"/>
                <w:color w:val="auto"/>
                <w:sz w:val="21"/>
                <w:szCs w:val="21"/>
              </w:rPr>
              <w:t>采矿用地</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cantSplit/>
        </w:trPr>
        <w:tc>
          <w:tcPr>
            <w:tcW w:w="1097" w:type="dxa"/>
            <w:tcBorders>
              <w:tl2br w:val="nil"/>
              <w:tr2bl w:val="nil"/>
            </w:tcBorders>
          </w:tcPr>
          <w:p>
            <w:pPr>
              <w:pStyle w:val="244"/>
              <w:spacing w:line="240" w:lineRule="auto"/>
              <w:rPr>
                <w:rFonts w:eastAsiaTheme="minorEastAsia"/>
                <w:color w:val="auto"/>
                <w:sz w:val="21"/>
                <w:szCs w:val="21"/>
              </w:rPr>
            </w:pPr>
            <w:r>
              <w:rPr>
                <w:rFonts w:eastAsiaTheme="minorEastAsia"/>
                <w:color w:val="auto"/>
                <w:sz w:val="21"/>
                <w:szCs w:val="21"/>
              </w:rPr>
              <w:t>9</w:t>
            </w:r>
          </w:p>
        </w:tc>
        <w:tc>
          <w:tcPr>
            <w:tcW w:w="1988" w:type="dxa"/>
            <w:tcBorders>
              <w:tl2br w:val="nil"/>
              <w:tr2bl w:val="nil"/>
            </w:tcBorders>
            <w:vAlign w:val="top"/>
          </w:tcPr>
          <w:p>
            <w:pPr>
              <w:pStyle w:val="244"/>
              <w:spacing w:line="240" w:lineRule="auto"/>
              <w:rPr>
                <w:rFonts w:eastAsiaTheme="minorEastAsia"/>
                <w:color w:val="auto"/>
                <w:sz w:val="21"/>
                <w:szCs w:val="21"/>
              </w:rPr>
            </w:pPr>
            <w:r>
              <w:rPr>
                <w:rFonts w:hint="eastAsia" w:eastAsiaTheme="minorEastAsia"/>
                <w:color w:val="auto"/>
                <w:sz w:val="21"/>
                <w:szCs w:val="21"/>
                <w:lang w:eastAsia="zh-CN"/>
              </w:rPr>
              <w:t>车库</w:t>
            </w:r>
          </w:p>
        </w:tc>
        <w:tc>
          <w:tcPr>
            <w:tcW w:w="2310" w:type="dxa"/>
            <w:tcBorders>
              <w:tl2br w:val="nil"/>
              <w:tr2bl w:val="nil"/>
            </w:tcBorders>
            <w:vAlign w:val="top"/>
          </w:tcPr>
          <w:p>
            <w:pPr>
              <w:pStyle w:val="244"/>
              <w:spacing w:line="240" w:lineRule="auto"/>
              <w:rPr>
                <w:rFonts w:eastAsiaTheme="minorEastAsia"/>
                <w:color w:val="auto"/>
                <w:sz w:val="21"/>
                <w:szCs w:val="21"/>
                <w:lang w:val="en-US"/>
              </w:rPr>
            </w:pPr>
            <w:r>
              <w:rPr>
                <w:rFonts w:hint="eastAsia" w:eastAsiaTheme="minorEastAsia"/>
                <w:color w:val="auto"/>
                <w:sz w:val="21"/>
                <w:szCs w:val="21"/>
                <w:lang w:val="en-US" w:eastAsia="zh-CN"/>
              </w:rPr>
              <w:t>40</w:t>
            </w:r>
          </w:p>
        </w:tc>
        <w:tc>
          <w:tcPr>
            <w:tcW w:w="3127" w:type="dxa"/>
            <w:tcBorders>
              <w:tl2br w:val="nil"/>
              <w:tr2bl w:val="nil"/>
            </w:tcBorders>
            <w:vAlign w:val="top"/>
          </w:tcPr>
          <w:p>
            <w:pPr>
              <w:pStyle w:val="244"/>
              <w:spacing w:line="240" w:lineRule="auto"/>
              <w:rPr>
                <w:rFonts w:eastAsiaTheme="minorEastAsia"/>
                <w:color w:val="auto"/>
                <w:sz w:val="21"/>
                <w:szCs w:val="21"/>
              </w:rPr>
            </w:pPr>
            <w:r>
              <w:rPr>
                <w:rFonts w:eastAsiaTheme="minorEastAsia"/>
                <w:color w:val="auto"/>
                <w:sz w:val="21"/>
                <w:szCs w:val="21"/>
              </w:rPr>
              <w:t>采矿用地</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cantSplit/>
        </w:trPr>
        <w:tc>
          <w:tcPr>
            <w:tcW w:w="1097" w:type="dxa"/>
            <w:tcBorders>
              <w:tl2br w:val="nil"/>
              <w:tr2bl w:val="nil"/>
            </w:tcBorders>
          </w:tcPr>
          <w:p>
            <w:pPr>
              <w:pStyle w:val="244"/>
              <w:spacing w:line="240" w:lineRule="auto"/>
              <w:rPr>
                <w:rFonts w:eastAsiaTheme="minorEastAsia"/>
                <w:color w:val="auto"/>
                <w:sz w:val="21"/>
                <w:szCs w:val="21"/>
              </w:rPr>
            </w:pPr>
            <w:r>
              <w:rPr>
                <w:rFonts w:eastAsiaTheme="minorEastAsia"/>
                <w:color w:val="auto"/>
                <w:sz w:val="21"/>
                <w:szCs w:val="21"/>
              </w:rPr>
              <w:t>10</w:t>
            </w:r>
          </w:p>
        </w:tc>
        <w:tc>
          <w:tcPr>
            <w:tcW w:w="1988" w:type="dxa"/>
            <w:tcBorders>
              <w:tl2br w:val="nil"/>
              <w:tr2bl w:val="nil"/>
            </w:tcBorders>
            <w:vAlign w:val="top"/>
          </w:tcPr>
          <w:p>
            <w:pPr>
              <w:pStyle w:val="244"/>
              <w:spacing w:line="240" w:lineRule="auto"/>
              <w:rPr>
                <w:rFonts w:hint="eastAsia" w:eastAsiaTheme="minorEastAsia"/>
                <w:color w:val="auto"/>
                <w:sz w:val="21"/>
                <w:szCs w:val="21"/>
                <w:lang w:eastAsia="zh-CN"/>
              </w:rPr>
            </w:pPr>
            <w:r>
              <w:rPr>
                <w:rFonts w:eastAsiaTheme="minorEastAsia"/>
                <w:color w:val="auto"/>
                <w:sz w:val="21"/>
                <w:szCs w:val="21"/>
              </w:rPr>
              <w:t>地秤</w:t>
            </w:r>
          </w:p>
        </w:tc>
        <w:tc>
          <w:tcPr>
            <w:tcW w:w="2310" w:type="dxa"/>
            <w:tcBorders>
              <w:tl2br w:val="nil"/>
              <w:tr2bl w:val="nil"/>
            </w:tcBorders>
            <w:vAlign w:val="top"/>
          </w:tcPr>
          <w:p>
            <w:pPr>
              <w:pStyle w:val="244"/>
              <w:spacing w:line="240" w:lineRule="auto"/>
              <w:rPr>
                <w:rFonts w:hint="eastAsia" w:eastAsiaTheme="minorEastAsia"/>
                <w:color w:val="auto"/>
                <w:sz w:val="21"/>
                <w:szCs w:val="21"/>
                <w:lang w:val="en-US" w:eastAsia="zh-CN"/>
              </w:rPr>
            </w:pPr>
            <w:r>
              <w:rPr>
                <w:rFonts w:hint="default" w:eastAsiaTheme="minorEastAsia"/>
                <w:color w:val="auto"/>
                <w:sz w:val="21"/>
                <w:szCs w:val="21"/>
                <w:lang w:val="en-US" w:eastAsia="zh-CN"/>
              </w:rPr>
              <w:t>10</w:t>
            </w:r>
          </w:p>
        </w:tc>
        <w:tc>
          <w:tcPr>
            <w:tcW w:w="3127" w:type="dxa"/>
            <w:tcBorders>
              <w:tl2br w:val="nil"/>
              <w:tr2bl w:val="nil"/>
            </w:tcBorders>
            <w:vAlign w:val="top"/>
          </w:tcPr>
          <w:p>
            <w:pPr>
              <w:pStyle w:val="244"/>
              <w:spacing w:line="240" w:lineRule="auto"/>
              <w:rPr>
                <w:rFonts w:eastAsiaTheme="minorEastAsia"/>
                <w:color w:val="auto"/>
                <w:sz w:val="21"/>
                <w:szCs w:val="21"/>
              </w:rPr>
            </w:pPr>
            <w:r>
              <w:rPr>
                <w:rFonts w:eastAsiaTheme="minorEastAsia"/>
                <w:color w:val="auto"/>
                <w:sz w:val="21"/>
                <w:szCs w:val="21"/>
              </w:rPr>
              <w:t>采矿用地</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cantSplit/>
        </w:trPr>
        <w:tc>
          <w:tcPr>
            <w:tcW w:w="1097" w:type="dxa"/>
            <w:tcBorders>
              <w:tl2br w:val="nil"/>
              <w:tr2bl w:val="nil"/>
            </w:tcBorders>
          </w:tcPr>
          <w:p>
            <w:pPr>
              <w:pStyle w:val="244"/>
              <w:spacing w:line="240" w:lineRule="auto"/>
              <w:rPr>
                <w:rFonts w:eastAsiaTheme="minorEastAsia"/>
                <w:color w:val="auto"/>
                <w:sz w:val="21"/>
                <w:szCs w:val="21"/>
              </w:rPr>
            </w:pPr>
            <w:r>
              <w:rPr>
                <w:rFonts w:eastAsiaTheme="minorEastAsia"/>
                <w:color w:val="auto"/>
                <w:sz w:val="21"/>
                <w:szCs w:val="21"/>
              </w:rPr>
              <w:t>11</w:t>
            </w:r>
          </w:p>
        </w:tc>
        <w:tc>
          <w:tcPr>
            <w:tcW w:w="1988" w:type="dxa"/>
            <w:tcBorders>
              <w:tl2br w:val="nil"/>
              <w:tr2bl w:val="nil"/>
            </w:tcBorders>
            <w:vAlign w:val="top"/>
          </w:tcPr>
          <w:p>
            <w:pPr>
              <w:pStyle w:val="244"/>
              <w:spacing w:line="240" w:lineRule="auto"/>
              <w:rPr>
                <w:rFonts w:eastAsiaTheme="minorEastAsia"/>
                <w:color w:val="auto"/>
                <w:sz w:val="21"/>
                <w:szCs w:val="21"/>
              </w:rPr>
            </w:pPr>
            <w:r>
              <w:rPr>
                <w:rFonts w:eastAsiaTheme="minorEastAsia"/>
                <w:color w:val="auto"/>
                <w:sz w:val="21"/>
                <w:szCs w:val="21"/>
              </w:rPr>
              <w:t>其他</w:t>
            </w:r>
          </w:p>
        </w:tc>
        <w:tc>
          <w:tcPr>
            <w:tcW w:w="2310" w:type="dxa"/>
            <w:tcBorders>
              <w:tl2br w:val="nil"/>
              <w:tr2bl w:val="nil"/>
            </w:tcBorders>
            <w:vAlign w:val="top"/>
          </w:tcPr>
          <w:p>
            <w:pPr>
              <w:pStyle w:val="244"/>
              <w:spacing w:line="240" w:lineRule="auto"/>
              <w:rPr>
                <w:rFonts w:eastAsiaTheme="minorEastAsia"/>
                <w:color w:val="auto"/>
                <w:sz w:val="21"/>
                <w:szCs w:val="21"/>
              </w:rPr>
            </w:pPr>
            <w:r>
              <w:rPr>
                <w:rFonts w:hint="default" w:eastAsiaTheme="minorEastAsia"/>
                <w:color w:val="auto"/>
                <w:sz w:val="21"/>
                <w:szCs w:val="21"/>
                <w:lang w:val="en-US" w:eastAsia="zh-CN"/>
              </w:rPr>
              <w:t>4000</w:t>
            </w:r>
          </w:p>
        </w:tc>
        <w:tc>
          <w:tcPr>
            <w:tcW w:w="3127" w:type="dxa"/>
            <w:tcBorders>
              <w:tl2br w:val="nil"/>
              <w:tr2bl w:val="nil"/>
            </w:tcBorders>
            <w:vAlign w:val="top"/>
          </w:tcPr>
          <w:p>
            <w:pPr>
              <w:pStyle w:val="244"/>
              <w:spacing w:line="240" w:lineRule="auto"/>
              <w:rPr>
                <w:rFonts w:eastAsiaTheme="minorEastAsia"/>
                <w:color w:val="auto"/>
                <w:sz w:val="21"/>
                <w:szCs w:val="21"/>
              </w:rPr>
            </w:pPr>
            <w:r>
              <w:rPr>
                <w:rFonts w:eastAsiaTheme="minorEastAsia"/>
                <w:color w:val="auto"/>
                <w:sz w:val="21"/>
                <w:szCs w:val="21"/>
              </w:rPr>
              <w:t>采矿用地</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cantSplit/>
        </w:trPr>
        <w:tc>
          <w:tcPr>
            <w:tcW w:w="1097" w:type="dxa"/>
            <w:tcBorders>
              <w:tl2br w:val="nil"/>
              <w:tr2bl w:val="nil"/>
            </w:tcBorders>
          </w:tcPr>
          <w:p>
            <w:pPr>
              <w:pStyle w:val="244"/>
              <w:spacing w:line="240" w:lineRule="auto"/>
              <w:rPr>
                <w:rFonts w:eastAsiaTheme="minorEastAsia"/>
                <w:color w:val="auto"/>
                <w:sz w:val="21"/>
                <w:szCs w:val="21"/>
              </w:rPr>
            </w:pPr>
            <w:r>
              <w:rPr>
                <w:rFonts w:eastAsiaTheme="minorEastAsia"/>
                <w:color w:val="auto"/>
                <w:sz w:val="21"/>
                <w:szCs w:val="21"/>
              </w:rPr>
              <w:t>12</w:t>
            </w:r>
          </w:p>
        </w:tc>
        <w:tc>
          <w:tcPr>
            <w:tcW w:w="1988" w:type="dxa"/>
            <w:tcBorders>
              <w:tl2br w:val="nil"/>
              <w:tr2bl w:val="nil"/>
            </w:tcBorders>
            <w:vAlign w:val="top"/>
          </w:tcPr>
          <w:p>
            <w:pPr>
              <w:pStyle w:val="244"/>
              <w:spacing w:line="240" w:lineRule="auto"/>
              <w:rPr>
                <w:rFonts w:eastAsiaTheme="minorEastAsia"/>
                <w:color w:val="auto"/>
                <w:sz w:val="21"/>
                <w:szCs w:val="21"/>
              </w:rPr>
            </w:pPr>
            <w:r>
              <w:rPr>
                <w:rFonts w:eastAsiaTheme="minorEastAsia"/>
                <w:color w:val="auto"/>
                <w:sz w:val="21"/>
                <w:szCs w:val="21"/>
              </w:rPr>
              <w:t>总占地面积</w:t>
            </w:r>
          </w:p>
        </w:tc>
        <w:tc>
          <w:tcPr>
            <w:tcW w:w="2310" w:type="dxa"/>
            <w:tcBorders>
              <w:tl2br w:val="nil"/>
              <w:tr2bl w:val="nil"/>
            </w:tcBorders>
            <w:vAlign w:val="top"/>
          </w:tcPr>
          <w:p>
            <w:pPr>
              <w:pStyle w:val="244"/>
              <w:spacing w:line="240" w:lineRule="auto"/>
              <w:rPr>
                <w:rFonts w:eastAsiaTheme="minorEastAsia"/>
                <w:color w:val="auto"/>
                <w:sz w:val="21"/>
                <w:szCs w:val="21"/>
              </w:rPr>
            </w:pPr>
            <w:r>
              <w:rPr>
                <w:rFonts w:hint="default" w:eastAsiaTheme="minorEastAsia"/>
                <w:color w:val="auto"/>
                <w:sz w:val="21"/>
                <w:szCs w:val="21"/>
                <w:lang w:val="en-US" w:eastAsia="zh-CN"/>
              </w:rPr>
              <w:t>14185</w:t>
            </w:r>
          </w:p>
        </w:tc>
        <w:tc>
          <w:tcPr>
            <w:tcW w:w="3127" w:type="dxa"/>
            <w:tcBorders>
              <w:tl2br w:val="nil"/>
              <w:tr2bl w:val="nil"/>
            </w:tcBorders>
            <w:vAlign w:val="top"/>
          </w:tcPr>
          <w:p>
            <w:pPr>
              <w:pStyle w:val="244"/>
              <w:spacing w:line="240" w:lineRule="auto"/>
              <w:rPr>
                <w:rFonts w:eastAsiaTheme="minorEastAsia"/>
                <w:color w:val="auto"/>
                <w:sz w:val="21"/>
                <w:szCs w:val="21"/>
              </w:rPr>
            </w:pPr>
            <w:r>
              <w:rPr>
                <w:rFonts w:eastAsiaTheme="minorEastAsia"/>
                <w:color w:val="auto"/>
                <w:sz w:val="21"/>
                <w:szCs w:val="21"/>
              </w:rPr>
              <w:t>采矿用地</w:t>
            </w:r>
          </w:p>
        </w:tc>
      </w:tr>
    </w:tbl>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3.2.6主要生产设备</w:t>
      </w:r>
    </w:p>
    <w:bookmarkEnd w:id="113"/>
    <w:bookmarkEnd w:id="114"/>
    <w:bookmarkEnd w:id="115"/>
    <w:p>
      <w:pPr>
        <w:pStyle w:val="276"/>
        <w:rPr>
          <w:rFonts w:eastAsiaTheme="minorEastAsia"/>
          <w:color w:val="auto"/>
        </w:rPr>
      </w:pPr>
      <w:r>
        <w:rPr>
          <w:rFonts w:eastAsiaTheme="minorEastAsia"/>
          <w:color w:val="auto"/>
        </w:rPr>
        <w:t>主要生产设备见表3-2-8。</w:t>
      </w:r>
    </w:p>
    <w:p>
      <w:pPr>
        <w:pStyle w:val="244"/>
        <w:rPr>
          <w:rFonts w:eastAsiaTheme="minorEastAsia"/>
          <w:color w:val="auto"/>
        </w:rPr>
      </w:pPr>
      <w:r>
        <w:rPr>
          <w:rFonts w:eastAsiaTheme="minorEastAsia"/>
          <w:color w:val="auto"/>
        </w:rPr>
        <w:t>表3-2-8  主要生产设备一览表</w:t>
      </w:r>
    </w:p>
    <w:tbl>
      <w:tblPr>
        <w:tblStyle w:val="53"/>
        <w:tblW w:w="8522" w:type="dxa"/>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142"/>
        <w:gridCol w:w="2505"/>
        <w:gridCol w:w="1352"/>
        <w:gridCol w:w="1763"/>
        <w:gridCol w:w="1760"/>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atLeast"/>
          <w:tblHeader/>
        </w:trPr>
        <w:tc>
          <w:tcPr>
            <w:tcW w:w="1142" w:type="dxa"/>
            <w:vAlign w:val="center"/>
          </w:tcPr>
          <w:p>
            <w:pPr>
              <w:pStyle w:val="244"/>
              <w:spacing w:line="240" w:lineRule="auto"/>
              <w:rPr>
                <w:rFonts w:eastAsiaTheme="minorEastAsia"/>
                <w:color w:val="auto"/>
                <w:sz w:val="21"/>
                <w:szCs w:val="21"/>
              </w:rPr>
            </w:pPr>
            <w:r>
              <w:rPr>
                <w:rFonts w:eastAsiaTheme="minorEastAsia"/>
                <w:color w:val="auto"/>
                <w:sz w:val="21"/>
                <w:szCs w:val="21"/>
              </w:rPr>
              <w:t>序号</w:t>
            </w:r>
          </w:p>
        </w:tc>
        <w:tc>
          <w:tcPr>
            <w:tcW w:w="2505" w:type="dxa"/>
            <w:vAlign w:val="center"/>
          </w:tcPr>
          <w:p>
            <w:pPr>
              <w:pStyle w:val="244"/>
              <w:spacing w:line="240" w:lineRule="auto"/>
              <w:rPr>
                <w:rFonts w:eastAsiaTheme="minorEastAsia"/>
                <w:color w:val="auto"/>
                <w:sz w:val="21"/>
                <w:szCs w:val="21"/>
              </w:rPr>
            </w:pPr>
            <w:r>
              <w:rPr>
                <w:rFonts w:eastAsiaTheme="minorEastAsia"/>
                <w:color w:val="auto"/>
                <w:sz w:val="21"/>
                <w:szCs w:val="21"/>
              </w:rPr>
              <w:t>设备名称</w:t>
            </w:r>
          </w:p>
        </w:tc>
        <w:tc>
          <w:tcPr>
            <w:tcW w:w="1352" w:type="dxa"/>
            <w:vAlign w:val="center"/>
          </w:tcPr>
          <w:p>
            <w:pPr>
              <w:pStyle w:val="244"/>
              <w:spacing w:line="240" w:lineRule="auto"/>
              <w:rPr>
                <w:rFonts w:eastAsiaTheme="minorEastAsia"/>
                <w:color w:val="auto"/>
                <w:sz w:val="21"/>
                <w:szCs w:val="21"/>
              </w:rPr>
            </w:pPr>
            <w:r>
              <w:rPr>
                <w:rFonts w:eastAsiaTheme="minorEastAsia"/>
                <w:color w:val="auto"/>
                <w:sz w:val="21"/>
                <w:szCs w:val="21"/>
              </w:rPr>
              <w:t>数量</w:t>
            </w:r>
          </w:p>
        </w:tc>
        <w:tc>
          <w:tcPr>
            <w:tcW w:w="1763" w:type="dxa"/>
            <w:vAlign w:val="center"/>
          </w:tcPr>
          <w:p>
            <w:pPr>
              <w:pStyle w:val="244"/>
              <w:spacing w:line="240" w:lineRule="auto"/>
              <w:rPr>
                <w:rFonts w:eastAsiaTheme="minorEastAsia"/>
                <w:color w:val="auto"/>
                <w:sz w:val="21"/>
                <w:szCs w:val="21"/>
              </w:rPr>
            </w:pPr>
            <w:r>
              <w:rPr>
                <w:rFonts w:eastAsiaTheme="minorEastAsia"/>
                <w:color w:val="auto"/>
                <w:sz w:val="21"/>
                <w:szCs w:val="21"/>
              </w:rPr>
              <w:t>单位</w:t>
            </w:r>
          </w:p>
        </w:tc>
        <w:tc>
          <w:tcPr>
            <w:tcW w:w="1760" w:type="dxa"/>
          </w:tcPr>
          <w:p>
            <w:pPr>
              <w:pStyle w:val="244"/>
              <w:spacing w:line="240" w:lineRule="auto"/>
              <w:rPr>
                <w:rFonts w:eastAsiaTheme="minorEastAsia"/>
                <w:color w:val="auto"/>
                <w:sz w:val="21"/>
                <w:szCs w:val="21"/>
              </w:rPr>
            </w:pPr>
            <w:r>
              <w:rPr>
                <w:rFonts w:eastAsiaTheme="minorEastAsia"/>
                <w:color w:val="auto"/>
                <w:sz w:val="21"/>
                <w:szCs w:val="21"/>
              </w:rPr>
              <w:t>备注</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atLeast"/>
          <w:tblHeader/>
        </w:trPr>
        <w:tc>
          <w:tcPr>
            <w:tcW w:w="1142" w:type="dxa"/>
            <w:vAlign w:val="center"/>
          </w:tcPr>
          <w:p>
            <w:pPr>
              <w:pStyle w:val="244"/>
              <w:spacing w:line="240" w:lineRule="auto"/>
              <w:rPr>
                <w:rFonts w:eastAsiaTheme="minorEastAsia"/>
                <w:color w:val="auto"/>
                <w:sz w:val="21"/>
                <w:szCs w:val="21"/>
              </w:rPr>
            </w:pPr>
            <w:r>
              <w:rPr>
                <w:rFonts w:eastAsiaTheme="minorEastAsia"/>
                <w:color w:val="auto"/>
                <w:sz w:val="21"/>
                <w:szCs w:val="21"/>
              </w:rPr>
              <w:t>1</w:t>
            </w:r>
          </w:p>
        </w:tc>
        <w:tc>
          <w:tcPr>
            <w:tcW w:w="2505" w:type="dxa"/>
            <w:vAlign w:val="center"/>
          </w:tcPr>
          <w:p>
            <w:pPr>
              <w:pStyle w:val="244"/>
              <w:spacing w:line="240" w:lineRule="auto"/>
              <w:rPr>
                <w:rFonts w:eastAsiaTheme="minorEastAsia"/>
                <w:color w:val="auto"/>
                <w:sz w:val="21"/>
                <w:szCs w:val="21"/>
              </w:rPr>
            </w:pPr>
            <w:r>
              <w:rPr>
                <w:rFonts w:eastAsiaTheme="minorEastAsia"/>
                <w:color w:val="auto"/>
                <w:sz w:val="21"/>
                <w:szCs w:val="21"/>
              </w:rPr>
              <w:t>颚式破碎机</w:t>
            </w:r>
          </w:p>
        </w:tc>
        <w:tc>
          <w:tcPr>
            <w:tcW w:w="1352" w:type="dxa"/>
            <w:vAlign w:val="center"/>
          </w:tcPr>
          <w:p>
            <w:pPr>
              <w:pStyle w:val="244"/>
              <w:spacing w:line="240" w:lineRule="auto"/>
              <w:rPr>
                <w:rFonts w:hint="eastAsia" w:eastAsiaTheme="minorEastAsia"/>
                <w:color w:val="auto"/>
                <w:sz w:val="21"/>
                <w:szCs w:val="21"/>
                <w:lang w:eastAsia="zh-CN"/>
              </w:rPr>
            </w:pPr>
            <w:r>
              <w:rPr>
                <w:rFonts w:hint="eastAsia" w:eastAsiaTheme="minorEastAsia"/>
                <w:color w:val="auto"/>
                <w:sz w:val="21"/>
                <w:szCs w:val="21"/>
                <w:lang w:val="en-US" w:eastAsia="zh-CN"/>
              </w:rPr>
              <w:t>1</w:t>
            </w:r>
          </w:p>
        </w:tc>
        <w:tc>
          <w:tcPr>
            <w:tcW w:w="1763" w:type="dxa"/>
            <w:vAlign w:val="center"/>
          </w:tcPr>
          <w:p>
            <w:pPr>
              <w:pStyle w:val="244"/>
              <w:spacing w:line="240" w:lineRule="auto"/>
              <w:rPr>
                <w:rFonts w:eastAsiaTheme="minorEastAsia"/>
                <w:color w:val="auto"/>
                <w:sz w:val="21"/>
                <w:szCs w:val="21"/>
              </w:rPr>
            </w:pPr>
            <w:r>
              <w:rPr>
                <w:rFonts w:eastAsiaTheme="minorEastAsia"/>
                <w:color w:val="auto"/>
                <w:sz w:val="21"/>
                <w:szCs w:val="21"/>
              </w:rPr>
              <w:t>台</w:t>
            </w:r>
          </w:p>
        </w:tc>
        <w:tc>
          <w:tcPr>
            <w:tcW w:w="1760" w:type="dxa"/>
            <w:vMerge w:val="restart"/>
            <w:vAlign w:val="center"/>
          </w:tcPr>
          <w:p>
            <w:pPr>
              <w:pStyle w:val="244"/>
              <w:spacing w:line="240" w:lineRule="auto"/>
              <w:rPr>
                <w:rFonts w:eastAsiaTheme="minorEastAsia"/>
                <w:color w:val="auto"/>
                <w:sz w:val="21"/>
                <w:szCs w:val="21"/>
              </w:rPr>
            </w:pPr>
            <w:r>
              <w:rPr>
                <w:rFonts w:eastAsiaTheme="minorEastAsia"/>
                <w:color w:val="auto"/>
                <w:sz w:val="21"/>
                <w:szCs w:val="21"/>
              </w:rPr>
              <w:t>利旧</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atLeast"/>
          <w:tblHeader/>
        </w:trPr>
        <w:tc>
          <w:tcPr>
            <w:tcW w:w="1142" w:type="dxa"/>
            <w:vAlign w:val="center"/>
          </w:tcPr>
          <w:p>
            <w:pPr>
              <w:pStyle w:val="244"/>
              <w:spacing w:line="240" w:lineRule="auto"/>
              <w:rPr>
                <w:rFonts w:eastAsiaTheme="minorEastAsia"/>
                <w:color w:val="auto"/>
                <w:sz w:val="21"/>
                <w:szCs w:val="21"/>
              </w:rPr>
            </w:pPr>
            <w:r>
              <w:rPr>
                <w:rFonts w:eastAsiaTheme="minorEastAsia"/>
                <w:color w:val="auto"/>
                <w:sz w:val="21"/>
                <w:szCs w:val="21"/>
              </w:rPr>
              <w:t>2</w:t>
            </w:r>
          </w:p>
        </w:tc>
        <w:tc>
          <w:tcPr>
            <w:tcW w:w="2505" w:type="dxa"/>
            <w:vAlign w:val="center"/>
          </w:tcPr>
          <w:p>
            <w:pPr>
              <w:pStyle w:val="244"/>
              <w:spacing w:line="240" w:lineRule="auto"/>
              <w:rPr>
                <w:rFonts w:hint="eastAsia" w:eastAsiaTheme="minorEastAsia"/>
                <w:color w:val="auto"/>
                <w:sz w:val="21"/>
                <w:szCs w:val="21"/>
                <w:lang w:eastAsia="zh-CN"/>
              </w:rPr>
            </w:pPr>
            <w:r>
              <w:rPr>
                <w:rFonts w:hint="eastAsia" w:eastAsiaTheme="minorEastAsia"/>
                <w:color w:val="auto"/>
                <w:sz w:val="21"/>
                <w:szCs w:val="21"/>
                <w:lang w:eastAsia="zh-CN"/>
              </w:rPr>
              <w:t>锤式破碎机</w:t>
            </w:r>
          </w:p>
        </w:tc>
        <w:tc>
          <w:tcPr>
            <w:tcW w:w="1352" w:type="dxa"/>
            <w:vAlign w:val="center"/>
          </w:tcPr>
          <w:p>
            <w:pPr>
              <w:pStyle w:val="244"/>
              <w:spacing w:line="240" w:lineRule="auto"/>
              <w:rPr>
                <w:rFonts w:hint="eastAsia" w:eastAsiaTheme="minorEastAsia"/>
                <w:color w:val="auto"/>
                <w:sz w:val="21"/>
                <w:szCs w:val="21"/>
                <w:lang w:val="en-US" w:eastAsia="zh-CN"/>
              </w:rPr>
            </w:pPr>
            <w:r>
              <w:rPr>
                <w:rFonts w:hint="eastAsia" w:eastAsiaTheme="minorEastAsia"/>
                <w:color w:val="auto"/>
                <w:sz w:val="21"/>
                <w:szCs w:val="21"/>
                <w:lang w:val="en-US" w:eastAsia="zh-CN"/>
              </w:rPr>
              <w:t>1</w:t>
            </w:r>
          </w:p>
        </w:tc>
        <w:tc>
          <w:tcPr>
            <w:tcW w:w="1763" w:type="dxa"/>
            <w:vAlign w:val="center"/>
          </w:tcPr>
          <w:p>
            <w:pPr>
              <w:pStyle w:val="244"/>
              <w:spacing w:line="240" w:lineRule="auto"/>
              <w:rPr>
                <w:rFonts w:eastAsiaTheme="minorEastAsia"/>
                <w:color w:val="auto"/>
                <w:sz w:val="21"/>
                <w:szCs w:val="21"/>
              </w:rPr>
            </w:pPr>
            <w:r>
              <w:rPr>
                <w:rFonts w:eastAsiaTheme="minorEastAsia"/>
                <w:color w:val="auto"/>
                <w:sz w:val="21"/>
                <w:szCs w:val="21"/>
              </w:rPr>
              <w:t>台</w:t>
            </w:r>
          </w:p>
        </w:tc>
        <w:tc>
          <w:tcPr>
            <w:tcW w:w="1760" w:type="dxa"/>
            <w:vMerge w:val="continue"/>
            <w:vAlign w:val="center"/>
          </w:tcPr>
          <w:p>
            <w:pPr>
              <w:pStyle w:val="244"/>
              <w:spacing w:line="240" w:lineRule="auto"/>
              <w:rPr>
                <w:rFonts w:eastAsiaTheme="minorEastAsia"/>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atLeast"/>
          <w:tblHeader/>
        </w:trPr>
        <w:tc>
          <w:tcPr>
            <w:tcW w:w="1142" w:type="dxa"/>
            <w:vAlign w:val="center"/>
          </w:tcPr>
          <w:p>
            <w:pPr>
              <w:pStyle w:val="244"/>
              <w:spacing w:line="240" w:lineRule="auto"/>
              <w:rPr>
                <w:rFonts w:eastAsiaTheme="minorEastAsia"/>
                <w:color w:val="auto"/>
                <w:sz w:val="21"/>
                <w:szCs w:val="21"/>
              </w:rPr>
            </w:pPr>
            <w:r>
              <w:rPr>
                <w:rFonts w:eastAsiaTheme="minorEastAsia"/>
                <w:color w:val="auto"/>
                <w:sz w:val="21"/>
                <w:szCs w:val="21"/>
              </w:rPr>
              <w:t>3</w:t>
            </w:r>
          </w:p>
        </w:tc>
        <w:tc>
          <w:tcPr>
            <w:tcW w:w="2505" w:type="dxa"/>
            <w:vAlign w:val="center"/>
          </w:tcPr>
          <w:p>
            <w:pPr>
              <w:pStyle w:val="244"/>
              <w:spacing w:line="240" w:lineRule="auto"/>
              <w:rPr>
                <w:rFonts w:eastAsiaTheme="minorEastAsia"/>
                <w:color w:val="auto"/>
                <w:sz w:val="21"/>
                <w:szCs w:val="21"/>
              </w:rPr>
            </w:pPr>
            <w:r>
              <w:rPr>
                <w:rFonts w:eastAsiaTheme="minorEastAsia"/>
                <w:color w:val="auto"/>
                <w:sz w:val="21"/>
                <w:szCs w:val="21"/>
              </w:rPr>
              <w:t>振动筛</w:t>
            </w:r>
          </w:p>
        </w:tc>
        <w:tc>
          <w:tcPr>
            <w:tcW w:w="1352" w:type="dxa"/>
            <w:vAlign w:val="center"/>
          </w:tcPr>
          <w:p>
            <w:pPr>
              <w:pStyle w:val="244"/>
              <w:spacing w:line="240" w:lineRule="auto"/>
              <w:rPr>
                <w:rFonts w:eastAsiaTheme="minorEastAsia"/>
                <w:color w:val="auto"/>
                <w:sz w:val="21"/>
                <w:szCs w:val="21"/>
              </w:rPr>
            </w:pPr>
            <w:r>
              <w:rPr>
                <w:rFonts w:hint="eastAsia" w:eastAsiaTheme="minorEastAsia"/>
                <w:color w:val="auto"/>
                <w:sz w:val="21"/>
                <w:szCs w:val="21"/>
                <w:lang w:val="en-US" w:eastAsia="zh-CN"/>
              </w:rPr>
              <w:t>1</w:t>
            </w:r>
          </w:p>
        </w:tc>
        <w:tc>
          <w:tcPr>
            <w:tcW w:w="1763" w:type="dxa"/>
            <w:vAlign w:val="center"/>
          </w:tcPr>
          <w:p>
            <w:pPr>
              <w:pStyle w:val="244"/>
              <w:spacing w:line="240" w:lineRule="auto"/>
              <w:rPr>
                <w:rFonts w:eastAsiaTheme="minorEastAsia"/>
                <w:color w:val="auto"/>
                <w:sz w:val="21"/>
                <w:szCs w:val="21"/>
              </w:rPr>
            </w:pPr>
            <w:r>
              <w:rPr>
                <w:rFonts w:eastAsiaTheme="minorEastAsia"/>
                <w:color w:val="auto"/>
                <w:sz w:val="21"/>
                <w:szCs w:val="21"/>
              </w:rPr>
              <w:t>台</w:t>
            </w:r>
          </w:p>
        </w:tc>
        <w:tc>
          <w:tcPr>
            <w:tcW w:w="1760" w:type="dxa"/>
            <w:vMerge w:val="continue"/>
          </w:tcPr>
          <w:p>
            <w:pPr>
              <w:pStyle w:val="244"/>
              <w:spacing w:line="240" w:lineRule="auto"/>
              <w:rPr>
                <w:rFonts w:eastAsiaTheme="minorEastAsia"/>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atLeast"/>
          <w:tblHeader/>
        </w:trPr>
        <w:tc>
          <w:tcPr>
            <w:tcW w:w="1142" w:type="dxa"/>
            <w:vAlign w:val="center"/>
          </w:tcPr>
          <w:p>
            <w:pPr>
              <w:pStyle w:val="244"/>
              <w:spacing w:line="240" w:lineRule="auto"/>
              <w:rPr>
                <w:rFonts w:eastAsiaTheme="minorEastAsia"/>
                <w:color w:val="auto"/>
                <w:sz w:val="21"/>
                <w:szCs w:val="21"/>
              </w:rPr>
            </w:pPr>
            <w:r>
              <w:rPr>
                <w:rFonts w:eastAsiaTheme="minorEastAsia"/>
                <w:color w:val="auto"/>
                <w:sz w:val="21"/>
                <w:szCs w:val="21"/>
              </w:rPr>
              <w:t>4</w:t>
            </w:r>
          </w:p>
        </w:tc>
        <w:tc>
          <w:tcPr>
            <w:tcW w:w="2505" w:type="dxa"/>
            <w:vAlign w:val="center"/>
          </w:tcPr>
          <w:p>
            <w:pPr>
              <w:pStyle w:val="244"/>
              <w:spacing w:line="240" w:lineRule="auto"/>
              <w:rPr>
                <w:rFonts w:eastAsiaTheme="minorEastAsia"/>
                <w:color w:val="auto"/>
                <w:sz w:val="21"/>
                <w:szCs w:val="21"/>
              </w:rPr>
            </w:pPr>
            <w:r>
              <w:rPr>
                <w:rFonts w:eastAsiaTheme="minorEastAsia"/>
                <w:color w:val="auto"/>
                <w:sz w:val="21"/>
                <w:szCs w:val="21"/>
              </w:rPr>
              <w:t>给料机</w:t>
            </w:r>
          </w:p>
        </w:tc>
        <w:tc>
          <w:tcPr>
            <w:tcW w:w="1352" w:type="dxa"/>
            <w:vAlign w:val="center"/>
          </w:tcPr>
          <w:p>
            <w:pPr>
              <w:pStyle w:val="244"/>
              <w:spacing w:line="240" w:lineRule="auto"/>
              <w:rPr>
                <w:rFonts w:hint="eastAsia" w:eastAsiaTheme="minorEastAsia"/>
                <w:color w:val="auto"/>
                <w:sz w:val="21"/>
                <w:szCs w:val="21"/>
                <w:lang w:eastAsia="zh-CN"/>
              </w:rPr>
            </w:pPr>
            <w:r>
              <w:rPr>
                <w:rFonts w:hint="eastAsia" w:eastAsiaTheme="minorEastAsia"/>
                <w:color w:val="auto"/>
                <w:sz w:val="21"/>
                <w:szCs w:val="21"/>
                <w:lang w:val="en-US" w:eastAsia="zh-CN"/>
              </w:rPr>
              <w:t>1</w:t>
            </w:r>
          </w:p>
        </w:tc>
        <w:tc>
          <w:tcPr>
            <w:tcW w:w="1763" w:type="dxa"/>
            <w:vAlign w:val="center"/>
          </w:tcPr>
          <w:p>
            <w:pPr>
              <w:pStyle w:val="244"/>
              <w:spacing w:line="240" w:lineRule="auto"/>
              <w:rPr>
                <w:rFonts w:eastAsiaTheme="minorEastAsia"/>
                <w:color w:val="auto"/>
                <w:sz w:val="21"/>
                <w:szCs w:val="21"/>
              </w:rPr>
            </w:pPr>
            <w:r>
              <w:rPr>
                <w:rFonts w:eastAsiaTheme="minorEastAsia"/>
                <w:color w:val="auto"/>
                <w:sz w:val="21"/>
                <w:szCs w:val="21"/>
              </w:rPr>
              <w:t>台</w:t>
            </w:r>
          </w:p>
        </w:tc>
        <w:tc>
          <w:tcPr>
            <w:tcW w:w="1760" w:type="dxa"/>
            <w:vMerge w:val="continue"/>
          </w:tcPr>
          <w:p>
            <w:pPr>
              <w:pStyle w:val="244"/>
              <w:spacing w:line="240" w:lineRule="auto"/>
              <w:rPr>
                <w:rFonts w:eastAsiaTheme="minorEastAsia"/>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atLeast"/>
          <w:tblHeader/>
        </w:trPr>
        <w:tc>
          <w:tcPr>
            <w:tcW w:w="1142" w:type="dxa"/>
            <w:vAlign w:val="center"/>
          </w:tcPr>
          <w:p>
            <w:pPr>
              <w:pStyle w:val="244"/>
              <w:spacing w:line="240" w:lineRule="auto"/>
              <w:rPr>
                <w:rFonts w:eastAsiaTheme="minorEastAsia"/>
                <w:color w:val="auto"/>
                <w:sz w:val="21"/>
                <w:szCs w:val="21"/>
              </w:rPr>
            </w:pPr>
            <w:r>
              <w:rPr>
                <w:rFonts w:eastAsiaTheme="minorEastAsia"/>
                <w:color w:val="auto"/>
                <w:sz w:val="21"/>
                <w:szCs w:val="21"/>
              </w:rPr>
              <w:t>5</w:t>
            </w:r>
          </w:p>
        </w:tc>
        <w:tc>
          <w:tcPr>
            <w:tcW w:w="2505" w:type="dxa"/>
            <w:vAlign w:val="center"/>
          </w:tcPr>
          <w:p>
            <w:pPr>
              <w:pStyle w:val="244"/>
              <w:spacing w:line="240" w:lineRule="auto"/>
              <w:rPr>
                <w:rFonts w:eastAsiaTheme="minorEastAsia"/>
                <w:color w:val="auto"/>
                <w:sz w:val="21"/>
                <w:szCs w:val="21"/>
              </w:rPr>
            </w:pPr>
            <w:r>
              <w:rPr>
                <w:rFonts w:eastAsiaTheme="minorEastAsia"/>
                <w:color w:val="auto"/>
                <w:sz w:val="21"/>
                <w:szCs w:val="21"/>
              </w:rPr>
              <w:t>传送带</w:t>
            </w:r>
          </w:p>
        </w:tc>
        <w:tc>
          <w:tcPr>
            <w:tcW w:w="1352" w:type="dxa"/>
            <w:vAlign w:val="center"/>
          </w:tcPr>
          <w:p>
            <w:pPr>
              <w:pStyle w:val="244"/>
              <w:spacing w:line="240" w:lineRule="auto"/>
              <w:rPr>
                <w:rFonts w:hint="eastAsia" w:eastAsiaTheme="minorEastAsia"/>
                <w:color w:val="auto"/>
                <w:sz w:val="21"/>
                <w:szCs w:val="21"/>
                <w:lang w:val="en-US" w:eastAsia="zh-CN"/>
              </w:rPr>
            </w:pPr>
            <w:r>
              <w:rPr>
                <w:rFonts w:hint="eastAsia" w:eastAsiaTheme="minorEastAsia"/>
                <w:color w:val="auto"/>
                <w:sz w:val="21"/>
                <w:szCs w:val="21"/>
                <w:lang w:val="en-US" w:eastAsia="zh-CN"/>
              </w:rPr>
              <w:t>9</w:t>
            </w:r>
          </w:p>
        </w:tc>
        <w:tc>
          <w:tcPr>
            <w:tcW w:w="1763" w:type="dxa"/>
            <w:vAlign w:val="center"/>
          </w:tcPr>
          <w:p>
            <w:pPr>
              <w:pStyle w:val="244"/>
              <w:spacing w:line="240" w:lineRule="auto"/>
              <w:rPr>
                <w:rFonts w:eastAsiaTheme="minorEastAsia"/>
                <w:color w:val="auto"/>
                <w:sz w:val="21"/>
                <w:szCs w:val="21"/>
              </w:rPr>
            </w:pPr>
            <w:r>
              <w:rPr>
                <w:rFonts w:eastAsiaTheme="minorEastAsia"/>
                <w:color w:val="auto"/>
                <w:sz w:val="21"/>
                <w:szCs w:val="21"/>
              </w:rPr>
              <w:t>条</w:t>
            </w:r>
          </w:p>
        </w:tc>
        <w:tc>
          <w:tcPr>
            <w:tcW w:w="1760" w:type="dxa"/>
            <w:vMerge w:val="continue"/>
          </w:tcPr>
          <w:p>
            <w:pPr>
              <w:pStyle w:val="244"/>
              <w:spacing w:line="240" w:lineRule="auto"/>
              <w:rPr>
                <w:rFonts w:eastAsiaTheme="minorEastAsia"/>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atLeast"/>
          <w:tblHeader/>
        </w:trPr>
        <w:tc>
          <w:tcPr>
            <w:tcW w:w="1142" w:type="dxa"/>
            <w:vAlign w:val="center"/>
          </w:tcPr>
          <w:p>
            <w:pPr>
              <w:pStyle w:val="244"/>
              <w:spacing w:line="240" w:lineRule="auto"/>
              <w:rPr>
                <w:rFonts w:eastAsiaTheme="minorEastAsia"/>
                <w:color w:val="auto"/>
                <w:sz w:val="21"/>
                <w:szCs w:val="21"/>
              </w:rPr>
            </w:pPr>
            <w:r>
              <w:rPr>
                <w:rFonts w:eastAsiaTheme="minorEastAsia"/>
                <w:color w:val="auto"/>
                <w:sz w:val="21"/>
                <w:szCs w:val="21"/>
              </w:rPr>
              <w:t>6</w:t>
            </w:r>
          </w:p>
        </w:tc>
        <w:tc>
          <w:tcPr>
            <w:tcW w:w="2505" w:type="dxa"/>
            <w:vAlign w:val="center"/>
          </w:tcPr>
          <w:p>
            <w:pPr>
              <w:pStyle w:val="244"/>
              <w:spacing w:line="240" w:lineRule="auto"/>
              <w:rPr>
                <w:rFonts w:hint="eastAsia" w:eastAsiaTheme="minorEastAsia"/>
                <w:color w:val="auto"/>
                <w:sz w:val="21"/>
                <w:szCs w:val="21"/>
                <w:lang w:eastAsia="zh-CN"/>
              </w:rPr>
            </w:pPr>
            <w:r>
              <w:rPr>
                <w:rFonts w:hint="eastAsia" w:eastAsiaTheme="minorEastAsia"/>
                <w:color w:val="auto"/>
                <w:sz w:val="21"/>
                <w:szCs w:val="21"/>
                <w:lang w:eastAsia="zh-CN"/>
              </w:rPr>
              <w:t>凿岩机</w:t>
            </w:r>
          </w:p>
        </w:tc>
        <w:tc>
          <w:tcPr>
            <w:tcW w:w="1352" w:type="dxa"/>
            <w:vAlign w:val="center"/>
          </w:tcPr>
          <w:p>
            <w:pPr>
              <w:pStyle w:val="244"/>
              <w:spacing w:line="240" w:lineRule="auto"/>
              <w:rPr>
                <w:rFonts w:hint="eastAsia" w:eastAsiaTheme="minorEastAsia"/>
                <w:color w:val="auto"/>
                <w:sz w:val="21"/>
                <w:szCs w:val="21"/>
                <w:lang w:val="en-US" w:eastAsia="zh-CN"/>
              </w:rPr>
            </w:pPr>
            <w:r>
              <w:rPr>
                <w:rFonts w:hint="eastAsia" w:eastAsiaTheme="minorEastAsia"/>
                <w:color w:val="auto"/>
                <w:sz w:val="21"/>
                <w:szCs w:val="21"/>
                <w:lang w:val="en-US" w:eastAsia="zh-CN"/>
              </w:rPr>
              <w:t>1</w:t>
            </w:r>
          </w:p>
        </w:tc>
        <w:tc>
          <w:tcPr>
            <w:tcW w:w="1763" w:type="dxa"/>
            <w:vAlign w:val="center"/>
          </w:tcPr>
          <w:p>
            <w:pPr>
              <w:pStyle w:val="244"/>
              <w:spacing w:line="240" w:lineRule="auto"/>
              <w:rPr>
                <w:rFonts w:eastAsiaTheme="minorEastAsia"/>
                <w:color w:val="auto"/>
                <w:sz w:val="21"/>
                <w:szCs w:val="21"/>
              </w:rPr>
            </w:pPr>
            <w:r>
              <w:rPr>
                <w:rFonts w:eastAsiaTheme="minorEastAsia"/>
                <w:color w:val="auto"/>
                <w:sz w:val="21"/>
                <w:szCs w:val="21"/>
              </w:rPr>
              <w:t>台</w:t>
            </w:r>
          </w:p>
        </w:tc>
        <w:tc>
          <w:tcPr>
            <w:tcW w:w="1760" w:type="dxa"/>
            <w:vMerge w:val="continue"/>
          </w:tcPr>
          <w:p>
            <w:pPr>
              <w:pStyle w:val="244"/>
              <w:spacing w:line="240" w:lineRule="auto"/>
              <w:rPr>
                <w:rFonts w:eastAsiaTheme="minorEastAsia"/>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atLeast"/>
          <w:tblHeader/>
        </w:trPr>
        <w:tc>
          <w:tcPr>
            <w:tcW w:w="1142" w:type="dxa"/>
            <w:vAlign w:val="center"/>
          </w:tcPr>
          <w:p>
            <w:pPr>
              <w:pStyle w:val="244"/>
              <w:spacing w:line="240" w:lineRule="auto"/>
              <w:rPr>
                <w:rFonts w:eastAsiaTheme="minorEastAsia"/>
                <w:color w:val="auto"/>
                <w:sz w:val="21"/>
                <w:szCs w:val="21"/>
              </w:rPr>
            </w:pPr>
            <w:r>
              <w:rPr>
                <w:rFonts w:eastAsiaTheme="minorEastAsia"/>
                <w:color w:val="auto"/>
                <w:sz w:val="21"/>
                <w:szCs w:val="21"/>
              </w:rPr>
              <w:t>7</w:t>
            </w:r>
          </w:p>
        </w:tc>
        <w:tc>
          <w:tcPr>
            <w:tcW w:w="2505" w:type="dxa"/>
            <w:vAlign w:val="center"/>
          </w:tcPr>
          <w:p>
            <w:pPr>
              <w:pStyle w:val="244"/>
              <w:spacing w:line="240" w:lineRule="auto"/>
              <w:rPr>
                <w:rFonts w:eastAsiaTheme="minorEastAsia"/>
                <w:color w:val="auto"/>
                <w:sz w:val="21"/>
                <w:szCs w:val="21"/>
              </w:rPr>
            </w:pPr>
            <w:r>
              <w:rPr>
                <w:rFonts w:eastAsiaTheme="minorEastAsia"/>
                <w:color w:val="auto"/>
                <w:sz w:val="21"/>
                <w:szCs w:val="21"/>
              </w:rPr>
              <w:t>挖掘机</w:t>
            </w:r>
          </w:p>
        </w:tc>
        <w:tc>
          <w:tcPr>
            <w:tcW w:w="1352" w:type="dxa"/>
            <w:vAlign w:val="center"/>
          </w:tcPr>
          <w:p>
            <w:pPr>
              <w:pStyle w:val="244"/>
              <w:spacing w:line="240" w:lineRule="auto"/>
              <w:rPr>
                <w:rFonts w:hint="eastAsia" w:eastAsiaTheme="minorEastAsia"/>
                <w:color w:val="auto"/>
                <w:sz w:val="21"/>
                <w:szCs w:val="21"/>
                <w:lang w:val="en-US" w:eastAsia="zh-CN"/>
              </w:rPr>
            </w:pPr>
            <w:r>
              <w:rPr>
                <w:rFonts w:hint="eastAsia" w:eastAsiaTheme="minorEastAsia"/>
                <w:color w:val="auto"/>
                <w:sz w:val="21"/>
                <w:szCs w:val="21"/>
                <w:lang w:val="en-US" w:eastAsia="zh-CN"/>
              </w:rPr>
              <w:t>1</w:t>
            </w:r>
          </w:p>
        </w:tc>
        <w:tc>
          <w:tcPr>
            <w:tcW w:w="1763" w:type="dxa"/>
            <w:vAlign w:val="center"/>
          </w:tcPr>
          <w:p>
            <w:pPr>
              <w:pStyle w:val="244"/>
              <w:spacing w:line="240" w:lineRule="auto"/>
              <w:rPr>
                <w:rFonts w:eastAsiaTheme="minorEastAsia"/>
                <w:color w:val="auto"/>
                <w:sz w:val="21"/>
                <w:szCs w:val="21"/>
              </w:rPr>
            </w:pPr>
            <w:r>
              <w:rPr>
                <w:rFonts w:eastAsiaTheme="minorEastAsia"/>
                <w:color w:val="auto"/>
                <w:sz w:val="21"/>
                <w:szCs w:val="21"/>
              </w:rPr>
              <w:t>台</w:t>
            </w:r>
          </w:p>
        </w:tc>
        <w:tc>
          <w:tcPr>
            <w:tcW w:w="1760" w:type="dxa"/>
            <w:vMerge w:val="continue"/>
          </w:tcPr>
          <w:p>
            <w:pPr>
              <w:pStyle w:val="244"/>
              <w:spacing w:line="240" w:lineRule="auto"/>
              <w:rPr>
                <w:rFonts w:eastAsiaTheme="minorEastAsia"/>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atLeast"/>
          <w:tblHeader/>
        </w:trPr>
        <w:tc>
          <w:tcPr>
            <w:tcW w:w="1142" w:type="dxa"/>
            <w:vAlign w:val="center"/>
          </w:tcPr>
          <w:p>
            <w:pPr>
              <w:pStyle w:val="244"/>
              <w:spacing w:line="240" w:lineRule="auto"/>
              <w:rPr>
                <w:rFonts w:eastAsiaTheme="minorEastAsia"/>
                <w:color w:val="auto"/>
                <w:sz w:val="21"/>
                <w:szCs w:val="21"/>
              </w:rPr>
            </w:pPr>
            <w:r>
              <w:rPr>
                <w:rFonts w:eastAsiaTheme="minorEastAsia"/>
                <w:color w:val="auto"/>
                <w:sz w:val="21"/>
                <w:szCs w:val="21"/>
              </w:rPr>
              <w:t>8</w:t>
            </w:r>
          </w:p>
        </w:tc>
        <w:tc>
          <w:tcPr>
            <w:tcW w:w="2505" w:type="dxa"/>
            <w:vAlign w:val="center"/>
          </w:tcPr>
          <w:p>
            <w:pPr>
              <w:pStyle w:val="244"/>
              <w:spacing w:line="240" w:lineRule="auto"/>
              <w:rPr>
                <w:rFonts w:eastAsiaTheme="minorEastAsia"/>
                <w:color w:val="auto"/>
                <w:sz w:val="21"/>
                <w:szCs w:val="21"/>
              </w:rPr>
            </w:pPr>
            <w:r>
              <w:rPr>
                <w:rFonts w:eastAsiaTheme="minorEastAsia"/>
                <w:color w:val="auto"/>
                <w:sz w:val="21"/>
                <w:szCs w:val="21"/>
              </w:rPr>
              <w:t>空压机</w:t>
            </w:r>
          </w:p>
        </w:tc>
        <w:tc>
          <w:tcPr>
            <w:tcW w:w="1352" w:type="dxa"/>
            <w:vAlign w:val="center"/>
          </w:tcPr>
          <w:p>
            <w:pPr>
              <w:pStyle w:val="244"/>
              <w:spacing w:line="240" w:lineRule="auto"/>
              <w:rPr>
                <w:rFonts w:eastAsiaTheme="minorEastAsia"/>
                <w:color w:val="auto"/>
                <w:sz w:val="21"/>
                <w:szCs w:val="21"/>
              </w:rPr>
            </w:pPr>
            <w:r>
              <w:rPr>
                <w:rFonts w:eastAsiaTheme="minorEastAsia"/>
                <w:color w:val="auto"/>
                <w:sz w:val="21"/>
                <w:szCs w:val="21"/>
              </w:rPr>
              <w:t>1</w:t>
            </w:r>
          </w:p>
        </w:tc>
        <w:tc>
          <w:tcPr>
            <w:tcW w:w="1763" w:type="dxa"/>
            <w:vAlign w:val="center"/>
          </w:tcPr>
          <w:p>
            <w:pPr>
              <w:pStyle w:val="244"/>
              <w:spacing w:line="240" w:lineRule="auto"/>
              <w:rPr>
                <w:rFonts w:eastAsiaTheme="minorEastAsia"/>
                <w:color w:val="auto"/>
                <w:sz w:val="21"/>
                <w:szCs w:val="21"/>
              </w:rPr>
            </w:pPr>
            <w:r>
              <w:rPr>
                <w:rFonts w:eastAsiaTheme="minorEastAsia"/>
                <w:color w:val="auto"/>
                <w:sz w:val="21"/>
                <w:szCs w:val="21"/>
              </w:rPr>
              <w:t>台</w:t>
            </w:r>
          </w:p>
        </w:tc>
        <w:tc>
          <w:tcPr>
            <w:tcW w:w="1760" w:type="dxa"/>
            <w:vMerge w:val="continue"/>
          </w:tcPr>
          <w:p>
            <w:pPr>
              <w:pStyle w:val="244"/>
              <w:spacing w:line="240" w:lineRule="auto"/>
              <w:rPr>
                <w:rFonts w:eastAsiaTheme="minorEastAsia"/>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atLeast"/>
          <w:tblHeader/>
        </w:trPr>
        <w:tc>
          <w:tcPr>
            <w:tcW w:w="1142" w:type="dxa"/>
            <w:vAlign w:val="center"/>
          </w:tcPr>
          <w:p>
            <w:pPr>
              <w:pStyle w:val="244"/>
              <w:spacing w:line="240" w:lineRule="auto"/>
              <w:rPr>
                <w:rFonts w:eastAsiaTheme="minorEastAsia"/>
                <w:color w:val="auto"/>
                <w:sz w:val="21"/>
                <w:szCs w:val="21"/>
              </w:rPr>
            </w:pPr>
            <w:r>
              <w:rPr>
                <w:rFonts w:eastAsiaTheme="minorEastAsia"/>
                <w:color w:val="auto"/>
                <w:sz w:val="21"/>
                <w:szCs w:val="21"/>
              </w:rPr>
              <w:t>9</w:t>
            </w:r>
          </w:p>
        </w:tc>
        <w:tc>
          <w:tcPr>
            <w:tcW w:w="2505" w:type="dxa"/>
            <w:vAlign w:val="center"/>
          </w:tcPr>
          <w:p>
            <w:pPr>
              <w:pStyle w:val="244"/>
              <w:spacing w:line="240" w:lineRule="auto"/>
              <w:rPr>
                <w:rFonts w:eastAsiaTheme="minorEastAsia"/>
                <w:color w:val="auto"/>
                <w:sz w:val="21"/>
                <w:szCs w:val="21"/>
              </w:rPr>
            </w:pPr>
            <w:r>
              <w:rPr>
                <w:rFonts w:eastAsiaTheme="minorEastAsia"/>
                <w:color w:val="auto"/>
                <w:sz w:val="21"/>
                <w:szCs w:val="21"/>
              </w:rPr>
              <w:t>装载机</w:t>
            </w:r>
          </w:p>
        </w:tc>
        <w:tc>
          <w:tcPr>
            <w:tcW w:w="1352" w:type="dxa"/>
            <w:vAlign w:val="center"/>
          </w:tcPr>
          <w:p>
            <w:pPr>
              <w:pStyle w:val="244"/>
              <w:spacing w:line="240" w:lineRule="auto"/>
              <w:rPr>
                <w:rFonts w:eastAsiaTheme="minorEastAsia"/>
                <w:color w:val="auto"/>
                <w:sz w:val="21"/>
                <w:szCs w:val="21"/>
              </w:rPr>
            </w:pPr>
            <w:r>
              <w:rPr>
                <w:rFonts w:hint="eastAsia" w:eastAsiaTheme="minorEastAsia"/>
                <w:color w:val="auto"/>
                <w:sz w:val="21"/>
                <w:szCs w:val="21"/>
                <w:lang w:val="en-US" w:eastAsia="zh-CN"/>
              </w:rPr>
              <w:t>1</w:t>
            </w:r>
          </w:p>
        </w:tc>
        <w:tc>
          <w:tcPr>
            <w:tcW w:w="1763" w:type="dxa"/>
            <w:vAlign w:val="center"/>
          </w:tcPr>
          <w:p>
            <w:pPr>
              <w:pStyle w:val="244"/>
              <w:spacing w:line="240" w:lineRule="auto"/>
              <w:rPr>
                <w:rFonts w:eastAsiaTheme="minorEastAsia"/>
                <w:color w:val="auto"/>
                <w:sz w:val="21"/>
                <w:szCs w:val="21"/>
              </w:rPr>
            </w:pPr>
            <w:r>
              <w:rPr>
                <w:rFonts w:eastAsiaTheme="minorEastAsia"/>
                <w:color w:val="auto"/>
                <w:sz w:val="21"/>
                <w:szCs w:val="21"/>
              </w:rPr>
              <w:t>台</w:t>
            </w:r>
          </w:p>
        </w:tc>
        <w:tc>
          <w:tcPr>
            <w:tcW w:w="1760" w:type="dxa"/>
            <w:vMerge w:val="continue"/>
          </w:tcPr>
          <w:p>
            <w:pPr>
              <w:pStyle w:val="244"/>
              <w:spacing w:line="240" w:lineRule="auto"/>
              <w:rPr>
                <w:rFonts w:eastAsiaTheme="minorEastAsia"/>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atLeast"/>
          <w:tblHeader/>
        </w:trPr>
        <w:tc>
          <w:tcPr>
            <w:tcW w:w="1142" w:type="dxa"/>
            <w:vAlign w:val="center"/>
          </w:tcPr>
          <w:p>
            <w:pPr>
              <w:pStyle w:val="244"/>
              <w:spacing w:line="240" w:lineRule="auto"/>
              <w:rPr>
                <w:rFonts w:eastAsiaTheme="minorEastAsia"/>
                <w:color w:val="auto"/>
                <w:sz w:val="21"/>
                <w:szCs w:val="21"/>
              </w:rPr>
            </w:pPr>
            <w:r>
              <w:rPr>
                <w:rFonts w:eastAsiaTheme="minorEastAsia"/>
                <w:color w:val="auto"/>
                <w:sz w:val="21"/>
                <w:szCs w:val="21"/>
              </w:rPr>
              <w:t>10</w:t>
            </w:r>
          </w:p>
        </w:tc>
        <w:tc>
          <w:tcPr>
            <w:tcW w:w="2505" w:type="dxa"/>
            <w:vAlign w:val="center"/>
          </w:tcPr>
          <w:p>
            <w:pPr>
              <w:pStyle w:val="244"/>
              <w:spacing w:line="240" w:lineRule="auto"/>
              <w:rPr>
                <w:rFonts w:eastAsiaTheme="minorEastAsia"/>
                <w:color w:val="auto"/>
                <w:sz w:val="21"/>
                <w:szCs w:val="21"/>
              </w:rPr>
            </w:pPr>
            <w:r>
              <w:rPr>
                <w:rFonts w:eastAsiaTheme="minorEastAsia"/>
                <w:color w:val="auto"/>
                <w:sz w:val="21"/>
                <w:szCs w:val="21"/>
              </w:rPr>
              <w:t>自卸汽车</w:t>
            </w:r>
          </w:p>
        </w:tc>
        <w:tc>
          <w:tcPr>
            <w:tcW w:w="1352" w:type="dxa"/>
            <w:vAlign w:val="center"/>
          </w:tcPr>
          <w:p>
            <w:pPr>
              <w:pStyle w:val="244"/>
              <w:spacing w:line="240" w:lineRule="auto"/>
              <w:rPr>
                <w:rFonts w:hint="eastAsia" w:eastAsiaTheme="minorEastAsia"/>
                <w:color w:val="auto"/>
                <w:sz w:val="21"/>
                <w:szCs w:val="21"/>
                <w:lang w:val="en-US" w:eastAsia="zh-CN"/>
              </w:rPr>
            </w:pPr>
            <w:r>
              <w:rPr>
                <w:rFonts w:hint="eastAsia" w:eastAsiaTheme="minorEastAsia"/>
                <w:color w:val="auto"/>
                <w:sz w:val="21"/>
                <w:szCs w:val="21"/>
                <w:lang w:val="en-US" w:eastAsia="zh-CN"/>
              </w:rPr>
              <w:t>1</w:t>
            </w:r>
          </w:p>
        </w:tc>
        <w:tc>
          <w:tcPr>
            <w:tcW w:w="1763" w:type="dxa"/>
            <w:vAlign w:val="center"/>
          </w:tcPr>
          <w:p>
            <w:pPr>
              <w:pStyle w:val="244"/>
              <w:spacing w:line="240" w:lineRule="auto"/>
              <w:rPr>
                <w:rFonts w:eastAsiaTheme="minorEastAsia"/>
                <w:color w:val="auto"/>
                <w:sz w:val="21"/>
                <w:szCs w:val="21"/>
              </w:rPr>
            </w:pPr>
            <w:r>
              <w:rPr>
                <w:rFonts w:eastAsiaTheme="minorEastAsia"/>
                <w:color w:val="auto"/>
                <w:sz w:val="21"/>
                <w:szCs w:val="21"/>
              </w:rPr>
              <w:t>台</w:t>
            </w:r>
          </w:p>
        </w:tc>
        <w:tc>
          <w:tcPr>
            <w:tcW w:w="1760" w:type="dxa"/>
            <w:vMerge w:val="continue"/>
          </w:tcPr>
          <w:p>
            <w:pPr>
              <w:pStyle w:val="244"/>
              <w:spacing w:line="240" w:lineRule="auto"/>
              <w:rPr>
                <w:rFonts w:eastAsiaTheme="minorEastAsia"/>
                <w:color w:val="auto"/>
                <w:sz w:val="21"/>
                <w:szCs w:val="21"/>
              </w:rPr>
            </w:pPr>
          </w:p>
        </w:tc>
      </w:tr>
    </w:tbl>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3.2.7产品流向、矿石类型和产品方案</w:t>
      </w:r>
    </w:p>
    <w:p>
      <w:pPr>
        <w:pStyle w:val="276"/>
        <w:rPr>
          <w:rFonts w:eastAsiaTheme="minorEastAsia"/>
          <w:color w:val="auto"/>
        </w:rPr>
      </w:pPr>
      <w:r>
        <w:rPr>
          <w:rFonts w:eastAsiaTheme="minorEastAsia"/>
          <w:color w:val="auto"/>
        </w:rPr>
        <w:t>（1）产品流向</w:t>
      </w:r>
    </w:p>
    <w:p>
      <w:pPr>
        <w:pStyle w:val="276"/>
        <w:rPr>
          <w:rFonts w:eastAsiaTheme="minorEastAsia"/>
          <w:color w:val="auto"/>
        </w:rPr>
      </w:pPr>
      <w:r>
        <w:rPr>
          <w:rFonts w:eastAsiaTheme="minorEastAsia"/>
          <w:color w:val="auto"/>
        </w:rPr>
        <w:t>根据本矿区岩石的特性，生产不同型号的产品销售。建筑用碎石广泛应用于道路、高层建筑、商品混凝土生产等方面，该矿生产的碎石主要销售到</w:t>
      </w:r>
      <w:r>
        <w:rPr>
          <w:rFonts w:hint="eastAsia" w:eastAsiaTheme="minorEastAsia"/>
          <w:color w:val="auto"/>
          <w:lang w:eastAsia="zh-CN"/>
        </w:rPr>
        <w:t>佳木斯市</w:t>
      </w:r>
      <w:r>
        <w:rPr>
          <w:rFonts w:eastAsiaTheme="minorEastAsia"/>
          <w:color w:val="auto"/>
        </w:rPr>
        <w:t>及周边城镇。</w:t>
      </w:r>
    </w:p>
    <w:p>
      <w:pPr>
        <w:pStyle w:val="276"/>
        <w:rPr>
          <w:rFonts w:eastAsiaTheme="minorEastAsia"/>
          <w:color w:val="auto"/>
        </w:rPr>
      </w:pPr>
      <w:r>
        <w:rPr>
          <w:rFonts w:eastAsiaTheme="minorEastAsia"/>
          <w:color w:val="auto"/>
        </w:rPr>
        <w:t>（2）矿石类型</w:t>
      </w:r>
    </w:p>
    <w:p>
      <w:pPr>
        <w:pStyle w:val="276"/>
        <w:rPr>
          <w:rFonts w:eastAsiaTheme="minorEastAsia"/>
          <w:color w:val="auto"/>
        </w:rPr>
      </w:pPr>
      <w:r>
        <w:rPr>
          <w:rFonts w:eastAsiaTheme="minorEastAsia"/>
          <w:color w:val="auto"/>
        </w:rPr>
        <w:t>矿石类型为安山岩。</w:t>
      </w:r>
    </w:p>
    <w:p>
      <w:pPr>
        <w:pStyle w:val="276"/>
        <w:rPr>
          <w:rFonts w:eastAsiaTheme="minorEastAsia"/>
          <w:color w:val="auto"/>
        </w:rPr>
      </w:pPr>
      <w:r>
        <w:rPr>
          <w:rFonts w:eastAsiaTheme="minorEastAsia"/>
          <w:color w:val="auto"/>
        </w:rPr>
        <w:t>（3）产品方案</w:t>
      </w:r>
    </w:p>
    <w:p>
      <w:pPr>
        <w:pStyle w:val="276"/>
        <w:rPr>
          <w:rFonts w:hint="eastAsia" w:eastAsiaTheme="minorEastAsia"/>
          <w:color w:val="auto"/>
          <w:lang w:val="en-US" w:eastAsia="zh-CN"/>
        </w:rPr>
      </w:pPr>
      <w:r>
        <w:rPr>
          <w:rFonts w:eastAsiaTheme="minorEastAsia"/>
          <w:color w:val="auto"/>
        </w:rPr>
        <w:t>本项目开采的矿石规格在</w:t>
      </w:r>
      <w:r>
        <w:rPr>
          <w:rFonts w:hint="eastAsia" w:eastAsiaTheme="minorEastAsia"/>
          <w:color w:val="auto"/>
          <w:lang w:val="en-US" w:eastAsia="zh-CN"/>
        </w:rPr>
        <w:t>0.5~10</w:t>
      </w:r>
      <w:r>
        <w:rPr>
          <w:rFonts w:eastAsiaTheme="minorEastAsia"/>
          <w:color w:val="auto"/>
        </w:rPr>
        <w:t>cm之间</w:t>
      </w:r>
      <w:r>
        <w:rPr>
          <w:rFonts w:hint="eastAsia" w:eastAsiaTheme="minorEastAsia"/>
          <w:color w:val="auto"/>
          <w:lang w:eastAsia="zh-CN"/>
        </w:rPr>
        <w:t>。</w:t>
      </w:r>
    </w:p>
    <w:p>
      <w:pPr>
        <w:pStyle w:val="276"/>
        <w:jc w:val="center"/>
        <w:rPr>
          <w:rFonts w:eastAsiaTheme="minorEastAsia"/>
          <w:color w:val="auto"/>
        </w:rPr>
      </w:pPr>
      <w:r>
        <w:rPr>
          <w:rFonts w:eastAsiaTheme="minorEastAsia"/>
          <w:color w:val="auto"/>
        </w:rPr>
        <w:t>表3-2-10产品品种表</w:t>
      </w:r>
    </w:p>
    <w:tbl>
      <w:tblPr>
        <w:tblStyle w:val="53"/>
        <w:tblW w:w="8522" w:type="dxa"/>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2018"/>
        <w:gridCol w:w="2018"/>
        <w:gridCol w:w="2018"/>
        <w:gridCol w:w="2468"/>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45" w:hRule="atLeast"/>
        </w:trPr>
        <w:tc>
          <w:tcPr>
            <w:tcW w:w="2018" w:type="dxa"/>
            <w:vAlign w:val="center"/>
          </w:tcPr>
          <w:p>
            <w:pPr>
              <w:pStyle w:val="246"/>
              <w:rPr>
                <w:rFonts w:eastAsiaTheme="minorEastAsia"/>
                <w:color w:val="auto"/>
              </w:rPr>
            </w:pPr>
            <w:r>
              <w:rPr>
                <w:rFonts w:eastAsiaTheme="minorEastAsia"/>
                <w:color w:val="auto"/>
              </w:rPr>
              <w:t>序号</w:t>
            </w:r>
          </w:p>
        </w:tc>
        <w:tc>
          <w:tcPr>
            <w:tcW w:w="2018" w:type="dxa"/>
            <w:vAlign w:val="center"/>
          </w:tcPr>
          <w:p>
            <w:pPr>
              <w:pStyle w:val="246"/>
              <w:rPr>
                <w:rFonts w:eastAsiaTheme="minorEastAsia"/>
                <w:color w:val="auto"/>
              </w:rPr>
            </w:pPr>
            <w:r>
              <w:rPr>
                <w:rFonts w:eastAsiaTheme="minorEastAsia"/>
                <w:color w:val="auto"/>
              </w:rPr>
              <w:t>产品名称</w:t>
            </w:r>
          </w:p>
        </w:tc>
        <w:tc>
          <w:tcPr>
            <w:tcW w:w="2018" w:type="dxa"/>
            <w:vAlign w:val="center"/>
          </w:tcPr>
          <w:p>
            <w:pPr>
              <w:pStyle w:val="246"/>
              <w:rPr>
                <w:rFonts w:eastAsiaTheme="minorEastAsia"/>
                <w:color w:val="auto"/>
              </w:rPr>
            </w:pPr>
            <w:r>
              <w:rPr>
                <w:rFonts w:eastAsiaTheme="minorEastAsia"/>
                <w:color w:val="auto"/>
              </w:rPr>
              <w:t>规格</w:t>
            </w:r>
          </w:p>
        </w:tc>
        <w:tc>
          <w:tcPr>
            <w:tcW w:w="2468" w:type="dxa"/>
            <w:vAlign w:val="center"/>
          </w:tcPr>
          <w:p>
            <w:pPr>
              <w:pStyle w:val="246"/>
              <w:rPr>
                <w:rFonts w:eastAsiaTheme="minorEastAsia"/>
                <w:color w:val="auto"/>
              </w:rPr>
            </w:pPr>
            <w:r>
              <w:rPr>
                <w:rFonts w:eastAsiaTheme="minorEastAsia"/>
                <w:color w:val="auto"/>
              </w:rPr>
              <w:t>数量m</w:t>
            </w:r>
            <w:r>
              <w:rPr>
                <w:rFonts w:eastAsiaTheme="minorEastAsia"/>
                <w:color w:val="auto"/>
                <w:vertAlign w:val="superscript"/>
              </w:rPr>
              <w:t>3</w:t>
            </w:r>
            <w:r>
              <w:rPr>
                <w:rFonts w:hint="eastAsia" w:eastAsiaTheme="minorEastAsia"/>
                <w:color w:val="auto"/>
                <w:lang w:val="en-US" w:eastAsia="zh-CN"/>
              </w:rPr>
              <w:t>/a</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68" w:hRule="atLeast"/>
        </w:trPr>
        <w:tc>
          <w:tcPr>
            <w:tcW w:w="2018" w:type="dxa"/>
            <w:vAlign w:val="center"/>
          </w:tcPr>
          <w:p>
            <w:pPr>
              <w:pStyle w:val="246"/>
              <w:rPr>
                <w:rFonts w:eastAsiaTheme="minorEastAsia"/>
                <w:color w:val="auto"/>
              </w:rPr>
            </w:pPr>
            <w:r>
              <w:rPr>
                <w:rFonts w:eastAsiaTheme="minorEastAsia"/>
                <w:color w:val="auto"/>
              </w:rPr>
              <w:t>1</w:t>
            </w:r>
          </w:p>
        </w:tc>
        <w:tc>
          <w:tcPr>
            <w:tcW w:w="2018" w:type="dxa"/>
            <w:vAlign w:val="center"/>
          </w:tcPr>
          <w:p>
            <w:pPr>
              <w:pStyle w:val="246"/>
              <w:rPr>
                <w:rFonts w:eastAsiaTheme="minorEastAsia"/>
                <w:color w:val="auto"/>
              </w:rPr>
            </w:pPr>
            <w:r>
              <w:rPr>
                <w:rFonts w:eastAsiaTheme="minorEastAsia"/>
                <w:color w:val="auto"/>
              </w:rPr>
              <w:t>建筑用碎石</w:t>
            </w:r>
          </w:p>
        </w:tc>
        <w:tc>
          <w:tcPr>
            <w:tcW w:w="2018" w:type="dxa"/>
            <w:vAlign w:val="center"/>
          </w:tcPr>
          <w:p>
            <w:pPr>
              <w:pStyle w:val="246"/>
              <w:rPr>
                <w:rFonts w:eastAsiaTheme="minorEastAsia"/>
                <w:color w:val="auto"/>
              </w:rPr>
            </w:pPr>
            <w:r>
              <w:rPr>
                <w:rFonts w:eastAsiaTheme="minorEastAsia"/>
                <w:color w:val="auto"/>
              </w:rPr>
              <w:t>0.5cm</w:t>
            </w:r>
          </w:p>
        </w:tc>
        <w:tc>
          <w:tcPr>
            <w:tcW w:w="2468" w:type="dxa"/>
            <w:vAlign w:val="center"/>
          </w:tcPr>
          <w:p>
            <w:pPr>
              <w:pStyle w:val="246"/>
              <w:rPr>
                <w:rFonts w:hint="eastAsia" w:eastAsiaTheme="minorEastAsia"/>
                <w:color w:val="auto"/>
                <w:lang w:val="en-US" w:eastAsia="zh-CN"/>
              </w:rPr>
            </w:pPr>
            <w:r>
              <w:rPr>
                <w:rFonts w:hint="eastAsia"/>
                <w:color w:val="auto"/>
                <w:lang w:val="en-US" w:eastAsia="zh-CN"/>
              </w:rPr>
              <w:t>9000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68" w:hRule="atLeast"/>
        </w:trPr>
        <w:tc>
          <w:tcPr>
            <w:tcW w:w="2018" w:type="dxa"/>
            <w:vAlign w:val="center"/>
          </w:tcPr>
          <w:p>
            <w:pPr>
              <w:pStyle w:val="246"/>
              <w:rPr>
                <w:rFonts w:eastAsiaTheme="minorEastAsia"/>
                <w:color w:val="auto"/>
              </w:rPr>
            </w:pPr>
            <w:r>
              <w:rPr>
                <w:rFonts w:eastAsiaTheme="minorEastAsia"/>
                <w:color w:val="auto"/>
              </w:rPr>
              <w:t>2</w:t>
            </w:r>
          </w:p>
        </w:tc>
        <w:tc>
          <w:tcPr>
            <w:tcW w:w="2018" w:type="dxa"/>
            <w:vAlign w:val="center"/>
          </w:tcPr>
          <w:p>
            <w:pPr>
              <w:pStyle w:val="246"/>
              <w:rPr>
                <w:rFonts w:eastAsiaTheme="minorEastAsia"/>
                <w:color w:val="auto"/>
              </w:rPr>
            </w:pPr>
            <w:r>
              <w:rPr>
                <w:rFonts w:eastAsiaTheme="minorEastAsia"/>
                <w:color w:val="auto"/>
              </w:rPr>
              <w:t>建筑用碎石</w:t>
            </w:r>
          </w:p>
        </w:tc>
        <w:tc>
          <w:tcPr>
            <w:tcW w:w="2018" w:type="dxa"/>
            <w:vAlign w:val="center"/>
          </w:tcPr>
          <w:p>
            <w:pPr>
              <w:pStyle w:val="246"/>
              <w:rPr>
                <w:rFonts w:eastAsiaTheme="minorEastAsia"/>
                <w:color w:val="auto"/>
              </w:rPr>
            </w:pPr>
            <w:r>
              <w:rPr>
                <w:rFonts w:eastAsiaTheme="minorEastAsia"/>
                <w:color w:val="auto"/>
              </w:rPr>
              <w:t>1~2cm</w:t>
            </w:r>
          </w:p>
        </w:tc>
        <w:tc>
          <w:tcPr>
            <w:tcW w:w="2468" w:type="dxa"/>
            <w:vAlign w:val="center"/>
          </w:tcPr>
          <w:p>
            <w:pPr>
              <w:pStyle w:val="246"/>
              <w:rPr>
                <w:rFonts w:hint="eastAsia" w:eastAsiaTheme="minorEastAsia"/>
                <w:color w:val="auto"/>
                <w:lang w:val="en-US" w:eastAsia="zh-CN"/>
              </w:rPr>
            </w:pPr>
            <w:r>
              <w:rPr>
                <w:rFonts w:hint="eastAsia"/>
                <w:color w:val="auto"/>
                <w:lang w:val="en-US" w:eastAsia="zh-CN"/>
              </w:rPr>
              <w:t>7000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68" w:hRule="atLeast"/>
        </w:trPr>
        <w:tc>
          <w:tcPr>
            <w:tcW w:w="2018" w:type="dxa"/>
            <w:vAlign w:val="center"/>
          </w:tcPr>
          <w:p>
            <w:pPr>
              <w:pStyle w:val="246"/>
              <w:rPr>
                <w:rFonts w:eastAsiaTheme="minorEastAsia"/>
                <w:color w:val="auto"/>
              </w:rPr>
            </w:pPr>
            <w:r>
              <w:rPr>
                <w:rFonts w:eastAsiaTheme="minorEastAsia"/>
                <w:color w:val="auto"/>
              </w:rPr>
              <w:t>3</w:t>
            </w:r>
          </w:p>
        </w:tc>
        <w:tc>
          <w:tcPr>
            <w:tcW w:w="2018" w:type="dxa"/>
            <w:vAlign w:val="center"/>
          </w:tcPr>
          <w:p>
            <w:pPr>
              <w:pStyle w:val="246"/>
              <w:rPr>
                <w:rFonts w:eastAsiaTheme="minorEastAsia"/>
                <w:color w:val="auto"/>
              </w:rPr>
            </w:pPr>
            <w:r>
              <w:rPr>
                <w:rFonts w:eastAsiaTheme="minorEastAsia"/>
                <w:color w:val="auto"/>
              </w:rPr>
              <w:t>建筑用碎石</w:t>
            </w:r>
          </w:p>
        </w:tc>
        <w:tc>
          <w:tcPr>
            <w:tcW w:w="2018" w:type="dxa"/>
            <w:vAlign w:val="center"/>
          </w:tcPr>
          <w:p>
            <w:pPr>
              <w:pStyle w:val="246"/>
              <w:rPr>
                <w:rFonts w:eastAsiaTheme="minorEastAsia"/>
                <w:color w:val="auto"/>
              </w:rPr>
            </w:pPr>
            <w:r>
              <w:rPr>
                <w:rFonts w:eastAsiaTheme="minorEastAsia"/>
                <w:color w:val="auto"/>
              </w:rPr>
              <w:t>1~3cm</w:t>
            </w:r>
          </w:p>
        </w:tc>
        <w:tc>
          <w:tcPr>
            <w:tcW w:w="2468" w:type="dxa"/>
            <w:vAlign w:val="center"/>
          </w:tcPr>
          <w:p>
            <w:pPr>
              <w:pStyle w:val="246"/>
              <w:rPr>
                <w:rFonts w:hint="eastAsia" w:eastAsiaTheme="minorEastAsia"/>
                <w:color w:val="auto"/>
                <w:lang w:val="en-US" w:eastAsia="zh-CN"/>
              </w:rPr>
            </w:pPr>
            <w:r>
              <w:rPr>
                <w:rFonts w:hint="eastAsia"/>
                <w:color w:val="auto"/>
                <w:lang w:val="en-US" w:eastAsia="zh-CN"/>
              </w:rPr>
              <w:t>5000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68" w:hRule="atLeast"/>
        </w:trPr>
        <w:tc>
          <w:tcPr>
            <w:tcW w:w="2018" w:type="dxa"/>
            <w:vAlign w:val="center"/>
          </w:tcPr>
          <w:p>
            <w:pPr>
              <w:pStyle w:val="246"/>
              <w:rPr>
                <w:rFonts w:hint="eastAsia" w:eastAsiaTheme="minorEastAsia"/>
                <w:color w:val="auto"/>
                <w:lang w:val="en-US" w:eastAsia="zh-CN"/>
              </w:rPr>
            </w:pPr>
            <w:r>
              <w:rPr>
                <w:rFonts w:hint="eastAsia" w:eastAsiaTheme="minorEastAsia"/>
                <w:color w:val="auto"/>
                <w:lang w:val="en-US" w:eastAsia="zh-CN"/>
              </w:rPr>
              <w:t>4</w:t>
            </w:r>
          </w:p>
        </w:tc>
        <w:tc>
          <w:tcPr>
            <w:tcW w:w="2018" w:type="dxa"/>
            <w:vAlign w:val="center"/>
          </w:tcPr>
          <w:p>
            <w:pPr>
              <w:pStyle w:val="246"/>
              <w:rPr>
                <w:rFonts w:eastAsiaTheme="minorEastAsia"/>
                <w:color w:val="auto"/>
              </w:rPr>
            </w:pPr>
            <w:r>
              <w:rPr>
                <w:rFonts w:eastAsiaTheme="minorEastAsia"/>
                <w:color w:val="auto"/>
              </w:rPr>
              <w:t>建筑用碎石</w:t>
            </w:r>
          </w:p>
        </w:tc>
        <w:tc>
          <w:tcPr>
            <w:tcW w:w="2018" w:type="dxa"/>
            <w:vAlign w:val="center"/>
          </w:tcPr>
          <w:p>
            <w:pPr>
              <w:pStyle w:val="246"/>
              <w:rPr>
                <w:rFonts w:eastAsiaTheme="minorEastAsia"/>
                <w:color w:val="auto"/>
              </w:rPr>
            </w:pPr>
            <w:r>
              <w:rPr>
                <w:rFonts w:hint="eastAsia" w:eastAsiaTheme="minorEastAsia"/>
                <w:color w:val="auto"/>
                <w:lang w:val="en-US" w:eastAsia="zh-CN"/>
              </w:rPr>
              <w:t>2</w:t>
            </w:r>
            <w:r>
              <w:rPr>
                <w:rFonts w:eastAsiaTheme="minorEastAsia"/>
                <w:color w:val="auto"/>
              </w:rPr>
              <w:t>~</w:t>
            </w:r>
            <w:r>
              <w:rPr>
                <w:rFonts w:hint="eastAsia" w:eastAsiaTheme="minorEastAsia"/>
                <w:color w:val="auto"/>
                <w:lang w:val="en-US" w:eastAsia="zh-CN"/>
              </w:rPr>
              <w:t>4</w:t>
            </w:r>
            <w:r>
              <w:rPr>
                <w:rFonts w:eastAsiaTheme="minorEastAsia"/>
                <w:color w:val="auto"/>
              </w:rPr>
              <w:t>cm</w:t>
            </w:r>
          </w:p>
        </w:tc>
        <w:tc>
          <w:tcPr>
            <w:tcW w:w="2468" w:type="dxa"/>
            <w:vAlign w:val="center"/>
          </w:tcPr>
          <w:p>
            <w:pPr>
              <w:pStyle w:val="246"/>
              <w:rPr>
                <w:rFonts w:hint="eastAsia" w:eastAsiaTheme="minorEastAsia"/>
                <w:color w:val="auto"/>
                <w:lang w:val="en-US" w:eastAsia="zh-CN"/>
              </w:rPr>
            </w:pPr>
            <w:r>
              <w:rPr>
                <w:rFonts w:hint="eastAsia" w:eastAsiaTheme="minorEastAsia"/>
                <w:color w:val="auto"/>
                <w:lang w:val="en-US" w:eastAsia="zh-CN"/>
              </w:rPr>
              <w:t>5000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68" w:hRule="atLeast"/>
        </w:trPr>
        <w:tc>
          <w:tcPr>
            <w:tcW w:w="2018" w:type="dxa"/>
            <w:vAlign w:val="center"/>
          </w:tcPr>
          <w:p>
            <w:pPr>
              <w:pStyle w:val="246"/>
              <w:rPr>
                <w:rFonts w:hint="eastAsia" w:eastAsiaTheme="minorEastAsia"/>
                <w:color w:val="auto"/>
                <w:lang w:val="en-US" w:eastAsia="zh-CN"/>
              </w:rPr>
            </w:pPr>
            <w:r>
              <w:rPr>
                <w:rFonts w:hint="eastAsia" w:eastAsiaTheme="minorEastAsia"/>
                <w:color w:val="auto"/>
                <w:lang w:val="en-US" w:eastAsia="zh-CN"/>
              </w:rPr>
              <w:t>5</w:t>
            </w:r>
          </w:p>
        </w:tc>
        <w:tc>
          <w:tcPr>
            <w:tcW w:w="2018" w:type="dxa"/>
            <w:vAlign w:val="center"/>
          </w:tcPr>
          <w:p>
            <w:pPr>
              <w:pStyle w:val="246"/>
              <w:rPr>
                <w:rFonts w:eastAsiaTheme="minorEastAsia"/>
                <w:color w:val="auto"/>
              </w:rPr>
            </w:pPr>
            <w:r>
              <w:rPr>
                <w:rFonts w:eastAsiaTheme="minorEastAsia"/>
                <w:color w:val="auto"/>
              </w:rPr>
              <w:t>建筑用碎石</w:t>
            </w:r>
          </w:p>
        </w:tc>
        <w:tc>
          <w:tcPr>
            <w:tcW w:w="2018" w:type="dxa"/>
            <w:vAlign w:val="center"/>
          </w:tcPr>
          <w:p>
            <w:pPr>
              <w:pStyle w:val="246"/>
              <w:rPr>
                <w:rFonts w:eastAsiaTheme="minorEastAsia"/>
                <w:color w:val="auto"/>
              </w:rPr>
            </w:pPr>
            <w:r>
              <w:rPr>
                <w:rFonts w:hint="eastAsia" w:eastAsiaTheme="minorEastAsia"/>
                <w:color w:val="auto"/>
                <w:lang w:val="en-US" w:eastAsia="zh-CN"/>
              </w:rPr>
              <w:t>5</w:t>
            </w:r>
            <w:r>
              <w:rPr>
                <w:rFonts w:eastAsiaTheme="minorEastAsia"/>
                <w:color w:val="auto"/>
              </w:rPr>
              <w:t>~</w:t>
            </w:r>
            <w:r>
              <w:rPr>
                <w:rFonts w:hint="eastAsia" w:eastAsiaTheme="minorEastAsia"/>
                <w:color w:val="auto"/>
                <w:lang w:val="en-US" w:eastAsia="zh-CN"/>
              </w:rPr>
              <w:t>10</w:t>
            </w:r>
            <w:r>
              <w:rPr>
                <w:rFonts w:eastAsiaTheme="minorEastAsia"/>
                <w:color w:val="auto"/>
              </w:rPr>
              <w:t>cm</w:t>
            </w:r>
          </w:p>
        </w:tc>
        <w:tc>
          <w:tcPr>
            <w:tcW w:w="2468" w:type="dxa"/>
            <w:vAlign w:val="center"/>
          </w:tcPr>
          <w:p>
            <w:pPr>
              <w:pStyle w:val="246"/>
              <w:rPr>
                <w:rFonts w:eastAsiaTheme="minorEastAsia"/>
                <w:color w:val="auto"/>
              </w:rPr>
            </w:pPr>
            <w:r>
              <w:rPr>
                <w:rFonts w:hint="eastAsia" w:eastAsiaTheme="minorEastAsia"/>
                <w:color w:val="auto"/>
                <w:lang w:val="en-US" w:eastAsia="zh-CN"/>
              </w:rPr>
              <w:t>4000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68" w:hRule="atLeast"/>
        </w:trPr>
        <w:tc>
          <w:tcPr>
            <w:tcW w:w="2018" w:type="dxa"/>
            <w:vAlign w:val="center"/>
          </w:tcPr>
          <w:p>
            <w:pPr>
              <w:pStyle w:val="246"/>
              <w:rPr>
                <w:rFonts w:eastAsiaTheme="minorEastAsia"/>
                <w:color w:val="auto"/>
              </w:rPr>
            </w:pPr>
            <w:r>
              <w:rPr>
                <w:rFonts w:eastAsiaTheme="minorEastAsia"/>
                <w:color w:val="auto"/>
              </w:rPr>
              <w:t>合计</w:t>
            </w:r>
          </w:p>
        </w:tc>
        <w:tc>
          <w:tcPr>
            <w:tcW w:w="2018" w:type="dxa"/>
            <w:vAlign w:val="center"/>
          </w:tcPr>
          <w:p>
            <w:pPr>
              <w:pStyle w:val="246"/>
              <w:rPr>
                <w:rFonts w:eastAsiaTheme="minorEastAsia"/>
                <w:color w:val="auto"/>
              </w:rPr>
            </w:pPr>
          </w:p>
        </w:tc>
        <w:tc>
          <w:tcPr>
            <w:tcW w:w="2018" w:type="dxa"/>
            <w:vAlign w:val="center"/>
          </w:tcPr>
          <w:p>
            <w:pPr>
              <w:pStyle w:val="246"/>
              <w:rPr>
                <w:rFonts w:eastAsiaTheme="minorEastAsia"/>
                <w:color w:val="auto"/>
              </w:rPr>
            </w:pPr>
          </w:p>
        </w:tc>
        <w:tc>
          <w:tcPr>
            <w:tcW w:w="2468" w:type="dxa"/>
            <w:vAlign w:val="center"/>
          </w:tcPr>
          <w:p>
            <w:pPr>
              <w:pStyle w:val="246"/>
              <w:rPr>
                <w:rFonts w:hint="eastAsia" w:eastAsiaTheme="minorEastAsia"/>
                <w:color w:val="auto"/>
                <w:lang w:val="en-US" w:eastAsia="zh-CN"/>
              </w:rPr>
            </w:pPr>
            <w:r>
              <w:rPr>
                <w:rFonts w:hint="eastAsia"/>
                <w:color w:val="auto"/>
                <w:lang w:val="en-US" w:eastAsia="zh-CN"/>
              </w:rPr>
              <w:t>30000</w:t>
            </w:r>
          </w:p>
        </w:tc>
      </w:tr>
    </w:tbl>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3.2.8工作制度及劳动定员</w:t>
      </w:r>
    </w:p>
    <w:p>
      <w:pPr>
        <w:pStyle w:val="276"/>
        <w:rPr>
          <w:rFonts w:eastAsiaTheme="minorEastAsia"/>
          <w:color w:val="auto"/>
        </w:rPr>
      </w:pPr>
      <w:r>
        <w:rPr>
          <w:rFonts w:eastAsiaTheme="minorEastAsia"/>
          <w:color w:val="auto"/>
        </w:rPr>
        <w:t>本项目职工10人，年工作天数</w:t>
      </w:r>
      <w:r>
        <w:rPr>
          <w:rFonts w:hint="eastAsia" w:eastAsiaTheme="minorEastAsia"/>
          <w:color w:val="auto"/>
          <w:lang w:eastAsia="zh-CN"/>
        </w:rPr>
        <w:t>240天</w:t>
      </w:r>
      <w:r>
        <w:rPr>
          <w:rFonts w:eastAsiaTheme="minorEastAsia"/>
          <w:color w:val="auto"/>
        </w:rPr>
        <w:t>。每天1班，每班工作8小时。每年3月-10月生产。本项目职工均为附近村庄居民，矿区内不设食堂、宿舍。</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3.2.9项目总投资及资金筹措方式</w:t>
      </w:r>
    </w:p>
    <w:p>
      <w:pPr>
        <w:pStyle w:val="276"/>
        <w:rPr>
          <w:rFonts w:eastAsiaTheme="minorEastAsia"/>
          <w:color w:val="auto"/>
        </w:rPr>
      </w:pPr>
      <w:r>
        <w:rPr>
          <w:rFonts w:eastAsiaTheme="minorEastAsia"/>
          <w:color w:val="auto"/>
        </w:rPr>
        <w:t>项目总投资</w:t>
      </w:r>
      <w:r>
        <w:rPr>
          <w:rFonts w:hint="eastAsia" w:eastAsiaTheme="minorEastAsia"/>
          <w:color w:val="auto"/>
          <w:lang w:eastAsia="zh-CN"/>
        </w:rPr>
        <w:t>300万</w:t>
      </w:r>
      <w:r>
        <w:rPr>
          <w:rFonts w:eastAsiaTheme="minorEastAsia"/>
          <w:color w:val="auto"/>
        </w:rPr>
        <w:t>元，资金全部为企业自筹。</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3.2.10项目选址及总平面布置合理性</w:t>
      </w:r>
    </w:p>
    <w:p>
      <w:pPr>
        <w:pStyle w:val="276"/>
        <w:rPr>
          <w:rFonts w:eastAsiaTheme="minorEastAsia"/>
          <w:color w:val="auto"/>
        </w:rPr>
      </w:pPr>
      <w:r>
        <w:rPr>
          <w:rFonts w:eastAsiaTheme="minorEastAsia"/>
          <w:color w:val="auto"/>
        </w:rPr>
        <w:t>本项目总占地面积为</w:t>
      </w:r>
      <w:r>
        <w:rPr>
          <w:rFonts w:hint="eastAsia" w:eastAsiaTheme="minorEastAsia"/>
          <w:color w:val="auto"/>
          <w:lang w:eastAsia="zh-CN"/>
        </w:rPr>
        <w:t>0.014185</w:t>
      </w:r>
      <w:r>
        <w:rPr>
          <w:rFonts w:eastAsiaTheme="minorEastAsia"/>
          <w:color w:val="auto"/>
        </w:rPr>
        <w:t xml:space="preserve"> km</w:t>
      </w:r>
      <w:r>
        <w:rPr>
          <w:rFonts w:eastAsiaTheme="minorEastAsia"/>
          <w:color w:val="auto"/>
          <w:vertAlign w:val="superscript"/>
        </w:rPr>
        <w:t>2</w:t>
      </w:r>
      <w:r>
        <w:rPr>
          <w:rFonts w:eastAsiaTheme="minorEastAsia"/>
          <w:color w:val="auto"/>
        </w:rPr>
        <w:t>，为临时占地，</w:t>
      </w:r>
      <w:r>
        <w:rPr>
          <w:rFonts w:hint="eastAsia" w:eastAsiaTheme="minorEastAsia"/>
          <w:color w:val="auto"/>
          <w:lang w:eastAsia="zh-CN"/>
        </w:rPr>
        <w:t>占地性质为</w:t>
      </w:r>
      <w:r>
        <w:rPr>
          <w:rFonts w:eastAsiaTheme="minorEastAsia"/>
          <w:color w:val="auto"/>
        </w:rPr>
        <w:t>采矿用地，不占用国家基本农田，占地不在《中华人民共和国矿产资源法》第二十条规定的不得开采矿产资源区域范围内。项目选址符合相关规划要求。拟建项目征得当地相关部门的支持，项目排放的污染物浓度能够达到当地环境质量标准要求，并在区域的总量控制目标之内，由于所采取的环保措施得力，对周围环境的影响可以被环境所接受，不影响当地其它产业的发展，在其当地区域发展规划范围之内。</w:t>
      </w:r>
    </w:p>
    <w:p>
      <w:pPr>
        <w:pStyle w:val="276"/>
        <w:rPr>
          <w:rFonts w:eastAsiaTheme="minorEastAsia"/>
          <w:color w:val="auto"/>
        </w:rPr>
      </w:pPr>
      <w:r>
        <w:rPr>
          <w:rFonts w:eastAsiaTheme="minorEastAsia"/>
          <w:color w:val="auto"/>
        </w:rPr>
        <w:t>矿区</w:t>
      </w:r>
      <w:r>
        <w:rPr>
          <w:rFonts w:hint="eastAsia" w:eastAsiaTheme="minorEastAsia"/>
          <w:color w:val="auto"/>
          <w:lang w:eastAsia="zh-CN"/>
        </w:rPr>
        <w:t>南侧</w:t>
      </w:r>
      <w:r>
        <w:rPr>
          <w:rFonts w:eastAsiaTheme="minorEastAsia"/>
          <w:color w:val="auto"/>
        </w:rPr>
        <w:t>有少量</w:t>
      </w:r>
      <w:r>
        <w:rPr>
          <w:rFonts w:hint="eastAsia" w:eastAsiaTheme="minorEastAsia"/>
          <w:color w:val="auto"/>
          <w:lang w:eastAsia="zh-CN"/>
        </w:rPr>
        <w:t>林地</w:t>
      </w:r>
      <w:r>
        <w:rPr>
          <w:rFonts w:eastAsiaTheme="minorEastAsia"/>
          <w:color w:val="auto"/>
        </w:rPr>
        <w:t>，</w:t>
      </w:r>
      <w:r>
        <w:rPr>
          <w:rFonts w:hint="eastAsia" w:eastAsiaTheme="minorEastAsia"/>
          <w:color w:val="auto"/>
          <w:lang w:eastAsia="zh-CN"/>
        </w:rPr>
        <w:t>其余周边均为耕地</w:t>
      </w:r>
      <w:r>
        <w:rPr>
          <w:rFonts w:eastAsiaTheme="minorEastAsia"/>
          <w:color w:val="auto"/>
        </w:rPr>
        <w:t>，距厂界最近敏感点</w:t>
      </w:r>
      <w:r>
        <w:rPr>
          <w:rFonts w:hint="eastAsia" w:eastAsiaTheme="minorEastAsia"/>
          <w:color w:val="auto"/>
          <w:lang w:eastAsia="zh-CN"/>
        </w:rPr>
        <w:t>新华村</w:t>
      </w:r>
      <w:r>
        <w:rPr>
          <w:rFonts w:eastAsiaTheme="minorEastAsia"/>
          <w:color w:val="auto"/>
        </w:rPr>
        <w:t>为</w:t>
      </w:r>
      <w:r>
        <w:rPr>
          <w:rFonts w:hint="eastAsia" w:eastAsiaTheme="minorEastAsia"/>
          <w:color w:val="auto"/>
          <w:lang w:val="en-US" w:eastAsia="zh-CN"/>
        </w:rPr>
        <w:t>450m</w:t>
      </w:r>
      <w:r>
        <w:rPr>
          <w:rFonts w:eastAsiaTheme="minorEastAsia"/>
          <w:color w:val="auto"/>
        </w:rPr>
        <w:t>，厂区主要由采矿区、临时堆土场、成品料场、原矿堆场等构成，矿区设1个进出口。原矿堆场</w:t>
      </w:r>
      <w:r>
        <w:rPr>
          <w:rFonts w:hint="eastAsia" w:eastAsiaTheme="minorEastAsia"/>
          <w:color w:val="auto"/>
          <w:lang w:eastAsia="zh-CN"/>
        </w:rPr>
        <w:t>、临时堆土场</w:t>
      </w:r>
      <w:r>
        <w:rPr>
          <w:rFonts w:eastAsiaTheme="minorEastAsia"/>
          <w:color w:val="auto"/>
        </w:rPr>
        <w:t>位于</w:t>
      </w:r>
      <w:r>
        <w:rPr>
          <w:rFonts w:hint="eastAsia" w:eastAsiaTheme="minorEastAsia"/>
          <w:color w:val="auto"/>
          <w:lang w:eastAsia="zh-CN"/>
        </w:rPr>
        <w:t>工业场地</w:t>
      </w:r>
      <w:r>
        <w:rPr>
          <w:rFonts w:eastAsiaTheme="minorEastAsia"/>
          <w:color w:val="auto"/>
        </w:rPr>
        <w:t>，便于生产运输，成品料场临近破碎加工区，便于产品存储，综上所述项目平面布置较为合理。</w:t>
      </w:r>
    </w:p>
    <w:p>
      <w:pPr>
        <w:pStyle w:val="238"/>
        <w:rPr>
          <w:rFonts w:hAnsi="Times New Roman" w:eastAsiaTheme="minorEastAsia"/>
          <w:color w:val="auto"/>
        </w:rPr>
      </w:pPr>
      <w:bookmarkStart w:id="117" w:name="_Toc519693568"/>
      <w:r>
        <w:rPr>
          <w:rFonts w:hAnsi="Times New Roman" w:eastAsiaTheme="minorEastAsia"/>
          <w:color w:val="auto"/>
        </w:rPr>
        <w:t>3.3工程分析</w:t>
      </w:r>
      <w:bookmarkEnd w:id="117"/>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3.3.1施工期污染分析</w:t>
      </w:r>
    </w:p>
    <w:p>
      <w:pPr>
        <w:pStyle w:val="276"/>
        <w:rPr>
          <w:rFonts w:eastAsiaTheme="minorEastAsia"/>
          <w:color w:val="auto"/>
        </w:rPr>
      </w:pPr>
      <w:r>
        <w:rPr>
          <w:rFonts w:eastAsiaTheme="minorEastAsia"/>
          <w:color w:val="auto"/>
        </w:rPr>
        <w:t>本项目</w:t>
      </w:r>
      <w:r>
        <w:rPr>
          <w:rFonts w:hint="eastAsia" w:eastAsiaTheme="minorEastAsia"/>
          <w:color w:val="auto"/>
          <w:lang w:eastAsia="zh-CN"/>
        </w:rPr>
        <w:t>为扩建项目，不新增用地，在原有矿山开采范围基础上继续向下深挖，工业场地和开采区均利旧（已无植被），占地类型仍为采矿用地。</w:t>
      </w:r>
      <w:r>
        <w:rPr>
          <w:rFonts w:eastAsiaTheme="minorEastAsia"/>
          <w:color w:val="auto"/>
        </w:rPr>
        <w:t>施工期建设内容主要为安全平台的修建组成、</w:t>
      </w:r>
      <w:r>
        <w:rPr>
          <w:rFonts w:hint="eastAsia" w:eastAsiaTheme="minorEastAsia"/>
          <w:color w:val="auto"/>
          <w:lang w:eastAsia="zh-CN"/>
        </w:rPr>
        <w:t>设置截流沟、导流渠、</w:t>
      </w:r>
      <w:r>
        <w:rPr>
          <w:rFonts w:eastAsiaTheme="minorEastAsia"/>
          <w:color w:val="auto"/>
        </w:rPr>
        <w:t>贮水池等，施工期对环境的影响主要是施工扰动地表、改变局部地形地貌</w:t>
      </w:r>
      <w:r>
        <w:rPr>
          <w:rFonts w:hint="eastAsia" w:eastAsiaTheme="minorEastAsia"/>
          <w:color w:val="auto"/>
          <w:lang w:eastAsia="zh-CN"/>
        </w:rPr>
        <w:t>、引发水土流失等</w:t>
      </w:r>
      <w:r>
        <w:rPr>
          <w:rFonts w:eastAsiaTheme="minorEastAsia"/>
          <w:color w:val="auto"/>
        </w:rPr>
        <w:t>。此外，施工噪声、施工扬尘和施工污水会对环境产生不利影响。</w:t>
      </w:r>
    </w:p>
    <w:p>
      <w:pPr>
        <w:pStyle w:val="242"/>
        <w:rPr>
          <w:rFonts w:ascii="Times New Roman" w:hAnsi="Times New Roman" w:cs="Times New Roman" w:eastAsiaTheme="minorEastAsia"/>
          <w:color w:val="auto"/>
        </w:rPr>
      </w:pPr>
      <w:r>
        <w:rPr>
          <w:rFonts w:ascii="Times New Roman" w:hAnsi="Times New Roman" w:cs="Times New Roman" w:eastAsiaTheme="minorEastAsia"/>
          <w:color w:val="auto"/>
        </w:rPr>
        <w:t>3.3.1.1施工期生态环境影响因素分析</w:t>
      </w:r>
    </w:p>
    <w:p>
      <w:pPr>
        <w:pStyle w:val="276"/>
        <w:jc w:val="both"/>
        <w:rPr>
          <w:rFonts w:eastAsiaTheme="minorEastAsia"/>
          <w:color w:val="auto"/>
        </w:rPr>
      </w:pPr>
      <w:r>
        <w:rPr>
          <w:rFonts w:eastAsiaTheme="minorEastAsia"/>
          <w:color w:val="auto"/>
        </w:rPr>
        <w:t>本项目占地面积为</w:t>
      </w:r>
      <w:r>
        <w:rPr>
          <w:rFonts w:hint="eastAsia" w:eastAsiaTheme="minorEastAsia"/>
          <w:color w:val="auto"/>
          <w:lang w:eastAsia="zh-CN"/>
        </w:rPr>
        <w:t>0.014185</w:t>
      </w:r>
      <w:r>
        <w:rPr>
          <w:rFonts w:eastAsiaTheme="minorEastAsia"/>
          <w:color w:val="auto"/>
        </w:rPr>
        <w:t>km</w:t>
      </w:r>
      <w:r>
        <w:rPr>
          <w:rFonts w:eastAsiaTheme="minorEastAsia"/>
          <w:color w:val="auto"/>
          <w:vertAlign w:val="superscript"/>
        </w:rPr>
        <w:t>2</w:t>
      </w:r>
      <w:r>
        <w:rPr>
          <w:rFonts w:eastAsiaTheme="minorEastAsia"/>
          <w:color w:val="auto"/>
        </w:rPr>
        <w:t>，</w:t>
      </w:r>
      <w:r>
        <w:rPr>
          <w:rFonts w:hint="eastAsia" w:eastAsiaTheme="minorEastAsia"/>
          <w:color w:val="auto"/>
          <w:lang w:eastAsia="zh-CN"/>
        </w:rPr>
        <w:t>均为</w:t>
      </w:r>
      <w:r>
        <w:rPr>
          <w:rFonts w:eastAsiaTheme="minorEastAsia"/>
          <w:color w:val="auto"/>
        </w:rPr>
        <w:t>采矿用地。项目施工期对周围生态环境影响主要表现为扰动地表、改变局部地形地貌、引发水土流失等生态环境问题。</w:t>
      </w:r>
    </w:p>
    <w:p>
      <w:pPr>
        <w:pStyle w:val="276"/>
        <w:rPr>
          <w:rFonts w:eastAsiaTheme="minorEastAsia"/>
          <w:color w:val="auto"/>
        </w:rPr>
      </w:pPr>
      <w:r>
        <w:rPr>
          <w:rFonts w:eastAsiaTheme="minorEastAsia"/>
          <w:color w:val="auto"/>
        </w:rPr>
        <w:t>（1）土地利用类型的变化</w:t>
      </w:r>
    </w:p>
    <w:p>
      <w:pPr>
        <w:pStyle w:val="276"/>
        <w:rPr>
          <w:rFonts w:eastAsiaTheme="minorEastAsia"/>
          <w:color w:val="auto"/>
        </w:rPr>
      </w:pPr>
      <w:r>
        <w:rPr>
          <w:rFonts w:eastAsiaTheme="minorEastAsia"/>
          <w:color w:val="auto"/>
        </w:rPr>
        <w:t>本项目采场</w:t>
      </w:r>
      <w:r>
        <w:rPr>
          <w:rFonts w:hint="eastAsia" w:eastAsiaTheme="minorEastAsia"/>
          <w:color w:val="auto"/>
          <w:lang w:eastAsia="zh-CN"/>
        </w:rPr>
        <w:t>、工业场地不新增占地，截流沟、导流渠、</w:t>
      </w:r>
      <w:r>
        <w:rPr>
          <w:rFonts w:eastAsiaTheme="minorEastAsia"/>
          <w:color w:val="auto"/>
        </w:rPr>
        <w:t>贮水池</w:t>
      </w:r>
      <w:r>
        <w:rPr>
          <w:rFonts w:hint="eastAsia" w:eastAsiaTheme="minorEastAsia"/>
          <w:color w:val="auto"/>
          <w:lang w:eastAsia="zh-CN"/>
        </w:rPr>
        <w:t>的建设将</w:t>
      </w:r>
      <w:r>
        <w:rPr>
          <w:rFonts w:eastAsiaTheme="minorEastAsia"/>
          <w:color w:val="auto"/>
        </w:rPr>
        <w:t>扰动地表</w:t>
      </w:r>
      <w:r>
        <w:rPr>
          <w:rFonts w:hint="eastAsia" w:eastAsiaTheme="minorEastAsia"/>
          <w:color w:val="auto"/>
          <w:lang w:eastAsia="zh-CN"/>
        </w:rPr>
        <w:t>、</w:t>
      </w:r>
      <w:r>
        <w:rPr>
          <w:rFonts w:eastAsiaTheme="minorEastAsia"/>
          <w:color w:val="auto"/>
        </w:rPr>
        <w:t>改变局部地形地貌，</w:t>
      </w:r>
      <w:r>
        <w:rPr>
          <w:rFonts w:hint="eastAsia" w:eastAsiaTheme="minorEastAsia"/>
          <w:color w:val="auto"/>
          <w:lang w:eastAsia="zh-CN"/>
        </w:rPr>
        <w:t>但均在采矿用地范围内，不会改变现有</w:t>
      </w:r>
      <w:r>
        <w:rPr>
          <w:rFonts w:eastAsiaTheme="minorEastAsia"/>
          <w:color w:val="auto"/>
        </w:rPr>
        <w:t>土地利用类型。</w:t>
      </w:r>
    </w:p>
    <w:p>
      <w:pPr>
        <w:pStyle w:val="276"/>
        <w:rPr>
          <w:rFonts w:eastAsiaTheme="minorEastAsia"/>
          <w:color w:val="auto"/>
        </w:rPr>
      </w:pPr>
      <w:r>
        <w:rPr>
          <w:rFonts w:eastAsiaTheme="minorEastAsia"/>
          <w:color w:val="auto"/>
        </w:rPr>
        <w:t>（2）对生态系统的影响</w:t>
      </w:r>
    </w:p>
    <w:p>
      <w:pPr>
        <w:pStyle w:val="276"/>
        <w:rPr>
          <w:rFonts w:eastAsiaTheme="minorEastAsia"/>
          <w:color w:val="auto"/>
        </w:rPr>
      </w:pPr>
      <w:r>
        <w:rPr>
          <w:rFonts w:eastAsiaTheme="minorEastAsia"/>
          <w:color w:val="auto"/>
        </w:rPr>
        <w:t>项目</w:t>
      </w:r>
      <w:r>
        <w:rPr>
          <w:rFonts w:hint="eastAsia" w:eastAsiaTheme="minorEastAsia"/>
          <w:color w:val="auto"/>
          <w:lang w:eastAsia="zh-CN"/>
        </w:rPr>
        <w:t>不新增占地，</w:t>
      </w:r>
      <w:r>
        <w:rPr>
          <w:rFonts w:eastAsiaTheme="minorEastAsia"/>
          <w:color w:val="auto"/>
        </w:rPr>
        <w:t>采场</w:t>
      </w:r>
      <w:r>
        <w:rPr>
          <w:rFonts w:hint="eastAsia" w:eastAsiaTheme="minorEastAsia"/>
          <w:color w:val="auto"/>
          <w:lang w:eastAsia="zh-CN"/>
        </w:rPr>
        <w:t>、工业场地等均在采矿用地范围内，</w:t>
      </w:r>
      <w:r>
        <w:rPr>
          <w:rFonts w:eastAsiaTheme="minorEastAsia"/>
          <w:color w:val="auto"/>
        </w:rPr>
        <w:t>该区域原有物种组成不会有很大的变化，因此本项目对所在区域的生态系统的稳定性影响不大。</w:t>
      </w:r>
    </w:p>
    <w:p>
      <w:pPr>
        <w:pStyle w:val="276"/>
        <w:rPr>
          <w:rFonts w:eastAsiaTheme="minorEastAsia"/>
          <w:color w:val="auto"/>
        </w:rPr>
      </w:pPr>
      <w:r>
        <w:rPr>
          <w:rFonts w:eastAsiaTheme="minorEastAsia"/>
          <w:color w:val="auto"/>
        </w:rPr>
        <w:t>（3）对植被影响</w:t>
      </w:r>
    </w:p>
    <w:p>
      <w:pPr>
        <w:pStyle w:val="276"/>
        <w:rPr>
          <w:rFonts w:eastAsiaTheme="minorEastAsia"/>
          <w:color w:val="auto"/>
        </w:rPr>
      </w:pPr>
      <w:r>
        <w:rPr>
          <w:rFonts w:hint="eastAsia" w:eastAsiaTheme="minorEastAsia"/>
          <w:color w:val="auto"/>
          <w:lang w:eastAsia="zh-CN"/>
        </w:rPr>
        <w:t>项目区所占土地为采矿用地，目前基本已无植被覆盖，由于既有项目的建设对植被造成了一定生物量损失，本项目</w:t>
      </w:r>
      <w:r>
        <w:rPr>
          <w:rFonts w:eastAsiaTheme="minorEastAsia"/>
          <w:color w:val="auto"/>
        </w:rPr>
        <w:t>采矿结束后</w:t>
      </w:r>
      <w:r>
        <w:rPr>
          <w:rFonts w:hint="eastAsia" w:eastAsiaTheme="minorEastAsia"/>
          <w:color w:val="auto"/>
          <w:lang w:eastAsia="zh-CN"/>
        </w:rPr>
        <w:t>将</w:t>
      </w:r>
      <w:r>
        <w:rPr>
          <w:rFonts w:eastAsiaTheme="minorEastAsia"/>
          <w:color w:val="auto"/>
        </w:rPr>
        <w:t>进行植被恢复，对损失植被进行补偿，因此，本项目对植被影响很小</w:t>
      </w:r>
      <w:r>
        <w:rPr>
          <w:rFonts w:eastAsiaTheme="minorEastAsia"/>
          <w:color w:val="auto"/>
          <w:sz w:val="23"/>
          <w:szCs w:val="23"/>
        </w:rPr>
        <w:t>。</w:t>
      </w:r>
    </w:p>
    <w:p>
      <w:pPr>
        <w:pStyle w:val="276"/>
        <w:rPr>
          <w:rFonts w:eastAsiaTheme="minorEastAsia"/>
          <w:color w:val="auto"/>
        </w:rPr>
      </w:pPr>
      <w:r>
        <w:rPr>
          <w:rFonts w:eastAsiaTheme="minorEastAsia"/>
          <w:color w:val="auto"/>
        </w:rPr>
        <w:t>（4）动物资源的影响</w:t>
      </w:r>
      <w:r>
        <w:rPr>
          <w:rFonts w:eastAsiaTheme="minorEastAsia"/>
          <w:color w:val="auto"/>
        </w:rPr>
        <w:br w:type="textWrapping"/>
      </w:r>
      <w:r>
        <w:rPr>
          <w:rFonts w:eastAsiaTheme="minorEastAsia"/>
          <w:color w:val="auto"/>
        </w:rPr>
        <w:t xml:space="preserve">    经现场踏勘，工程区域范围未见珍稀保护动物分布，施工期间施工人员活动和施工机械噪声等将会使项目区域及周围一定范围内栖息的麻雀、鼠类和常见昆虫等产生一定影响。因此，本项目施工中应采取一定的降噪、减震措施，减小对上述野生动物的影响。</w:t>
      </w:r>
    </w:p>
    <w:p>
      <w:pPr>
        <w:pStyle w:val="276"/>
        <w:rPr>
          <w:rFonts w:eastAsiaTheme="minorEastAsia"/>
          <w:color w:val="auto"/>
        </w:rPr>
      </w:pPr>
      <w:r>
        <w:rPr>
          <w:rFonts w:eastAsiaTheme="minorEastAsia"/>
          <w:color w:val="auto"/>
        </w:rPr>
        <w:t>（5）水土流失</w:t>
      </w:r>
    </w:p>
    <w:p>
      <w:pPr>
        <w:pStyle w:val="276"/>
        <w:rPr>
          <w:rFonts w:eastAsiaTheme="minorEastAsia"/>
          <w:color w:val="auto"/>
        </w:rPr>
      </w:pPr>
      <w:r>
        <w:rPr>
          <w:rFonts w:eastAsiaTheme="minorEastAsia"/>
          <w:color w:val="auto"/>
        </w:rPr>
        <w:t>工程施工将扰动地表，施工期如果遇到雨季将产生水土流失，但施工结束，被扰动的土地经采取相应的水土保持措施后，影响随之消失。</w:t>
      </w:r>
    </w:p>
    <w:p>
      <w:pPr>
        <w:pStyle w:val="242"/>
        <w:rPr>
          <w:rFonts w:ascii="Times New Roman" w:hAnsi="Times New Roman" w:cs="Times New Roman" w:eastAsiaTheme="minorEastAsia"/>
          <w:color w:val="auto"/>
        </w:rPr>
      </w:pPr>
      <w:r>
        <w:rPr>
          <w:rFonts w:ascii="Times New Roman" w:hAnsi="Times New Roman" w:cs="Times New Roman" w:eastAsiaTheme="minorEastAsia"/>
          <w:color w:val="auto"/>
        </w:rPr>
        <w:t>3.3.1.2施工期大气环境影响因素分析</w:t>
      </w:r>
    </w:p>
    <w:p>
      <w:pPr>
        <w:pStyle w:val="276"/>
        <w:rPr>
          <w:rFonts w:eastAsiaTheme="minorEastAsia"/>
          <w:color w:val="auto"/>
        </w:rPr>
      </w:pPr>
      <w:r>
        <w:rPr>
          <w:rFonts w:eastAsiaTheme="minorEastAsia"/>
          <w:color w:val="auto"/>
        </w:rPr>
        <w:t>本项目施工期对环境空气的主要影响为露天采区地表剥离产生扬尘、临时堆土场剥离产生的扬尘及土方运输车辆行驶产生的扬尘等，均为无组织排放。</w:t>
      </w:r>
    </w:p>
    <w:p>
      <w:pPr>
        <w:pStyle w:val="276"/>
        <w:rPr>
          <w:rFonts w:eastAsiaTheme="minorEastAsia"/>
          <w:color w:val="auto"/>
        </w:rPr>
      </w:pPr>
      <w:r>
        <w:rPr>
          <w:rFonts w:hint="eastAsia" w:ascii="宋体" w:hAnsi="宋体" w:cs="宋体"/>
          <w:color w:val="auto"/>
        </w:rPr>
        <w:t>①</w:t>
      </w:r>
      <w:r>
        <w:rPr>
          <w:rFonts w:eastAsiaTheme="minorEastAsia"/>
          <w:color w:val="auto"/>
        </w:rPr>
        <w:t xml:space="preserve"> 采区、临时堆土场扬尘</w:t>
      </w:r>
    </w:p>
    <w:p>
      <w:pPr>
        <w:pStyle w:val="276"/>
        <w:rPr>
          <w:rFonts w:eastAsiaTheme="minorEastAsia"/>
          <w:color w:val="auto"/>
        </w:rPr>
      </w:pPr>
      <w:r>
        <w:rPr>
          <w:rFonts w:eastAsiaTheme="minorEastAsia"/>
          <w:color w:val="auto"/>
        </w:rPr>
        <w:t>类比已通过审批的《黑龙江省延寿县延河镇团山子陶粒页岩矿建设项目环境影响报告书》(哈环审书［2015］89号)的分析数据，在不采取防护措施和土壤较为干燥时，施工区域空气中扬尘浓度可达 20 mg/m</w:t>
      </w:r>
      <w:r>
        <w:rPr>
          <w:rFonts w:eastAsiaTheme="minorEastAsia"/>
          <w:color w:val="auto"/>
          <w:vertAlign w:val="superscript"/>
        </w:rPr>
        <w:t>3</w:t>
      </w:r>
      <w:r>
        <w:rPr>
          <w:rFonts w:eastAsiaTheme="minorEastAsia"/>
          <w:color w:val="auto"/>
        </w:rPr>
        <w:t>，施工扬尘影响范围在其下风向可达 150m，影响范围内 TSP浓度平均值可达 0.49mg/m</w:t>
      </w:r>
      <w:r>
        <w:rPr>
          <w:rFonts w:eastAsiaTheme="minorEastAsia"/>
          <w:color w:val="auto"/>
          <w:vertAlign w:val="superscript"/>
        </w:rPr>
        <w:t>3</w:t>
      </w:r>
      <w:r>
        <w:rPr>
          <w:rFonts w:eastAsiaTheme="minorEastAsia"/>
          <w:color w:val="auto"/>
        </w:rPr>
        <w:t>。</w:t>
      </w:r>
    </w:p>
    <w:p>
      <w:pPr>
        <w:pStyle w:val="276"/>
        <w:rPr>
          <w:rFonts w:eastAsiaTheme="minorEastAsia"/>
          <w:color w:val="auto"/>
        </w:rPr>
      </w:pPr>
      <w:r>
        <w:rPr>
          <w:rFonts w:hint="eastAsia" w:ascii="宋体" w:hAnsi="宋体" w:cs="宋体"/>
          <w:color w:val="auto"/>
        </w:rPr>
        <w:t>②</w:t>
      </w:r>
      <w:r>
        <w:rPr>
          <w:rFonts w:eastAsiaTheme="minorEastAsia"/>
          <w:color w:val="auto"/>
        </w:rPr>
        <w:t>运输扬尘</w:t>
      </w:r>
    </w:p>
    <w:p>
      <w:pPr>
        <w:pStyle w:val="276"/>
        <w:rPr>
          <w:rFonts w:eastAsiaTheme="minorEastAsia"/>
          <w:color w:val="auto"/>
        </w:rPr>
      </w:pPr>
      <w:r>
        <w:rPr>
          <w:rFonts w:eastAsiaTheme="minorEastAsia"/>
          <w:color w:val="auto"/>
        </w:rPr>
        <w:t>本项目施工期除运输建筑材料和少量设备外，露天采区剥离废土石运输至临</w:t>
      </w:r>
      <w:r>
        <w:rPr>
          <w:rFonts w:hint="eastAsia" w:eastAsiaTheme="minorEastAsia"/>
          <w:color w:val="auto"/>
          <w:lang w:eastAsia="zh-CN"/>
        </w:rPr>
        <w:t>临时</w:t>
      </w:r>
      <w:r>
        <w:rPr>
          <w:rFonts w:eastAsiaTheme="minorEastAsia"/>
          <w:color w:val="auto"/>
        </w:rPr>
        <w:t>堆土场，导致施工现场车辆来往频繁，产生扬尘量较大。根据类比相关资料，行车道路两侧扬尘浓度可达 8～10mg/m</w:t>
      </w:r>
      <w:r>
        <w:rPr>
          <w:rFonts w:eastAsiaTheme="minorEastAsia"/>
          <w:color w:val="auto"/>
          <w:vertAlign w:val="superscript"/>
        </w:rPr>
        <w:t>3</w:t>
      </w:r>
      <w:r>
        <w:rPr>
          <w:rFonts w:eastAsiaTheme="minorEastAsia"/>
          <w:color w:val="auto"/>
        </w:rPr>
        <w:t>，扬尘浓度随距离增加而迅速下降，影响范围一般为道路两侧各约 50m 内，对环境空气的影响范围相对较小。</w:t>
      </w:r>
    </w:p>
    <w:p>
      <w:pPr>
        <w:pStyle w:val="276"/>
        <w:rPr>
          <w:rFonts w:eastAsiaTheme="minorEastAsia"/>
          <w:bCs/>
          <w:color w:val="auto"/>
          <w:szCs w:val="21"/>
        </w:rPr>
      </w:pPr>
      <w:r>
        <w:rPr>
          <w:rFonts w:eastAsiaTheme="minorEastAsia"/>
          <w:color w:val="auto"/>
        </w:rPr>
        <w:t>根据</w:t>
      </w:r>
      <w:r>
        <w:rPr>
          <w:rFonts w:eastAsiaTheme="minorEastAsia"/>
          <w:bCs/>
          <w:color w:val="auto"/>
          <w:szCs w:val="21"/>
        </w:rPr>
        <w:t>《扬尘源颗粒物排放清单编制技术指南》，施工期扬尘排放量按下式计算：</w:t>
      </w:r>
    </w:p>
    <w:p>
      <w:pPr>
        <w:tabs>
          <w:tab w:val="right" w:leader="dot" w:pos="8505"/>
        </w:tabs>
        <w:spacing w:line="360" w:lineRule="auto"/>
        <w:jc w:val="center"/>
        <w:rPr>
          <w:rFonts w:eastAsiaTheme="minorEastAsia"/>
          <w:color w:val="auto"/>
        </w:rPr>
      </w:pPr>
      <w:r>
        <w:rPr>
          <w:rFonts w:eastAsiaTheme="minorEastAsia"/>
          <w:color w:val="auto"/>
        </w:rPr>
        <w:drawing>
          <wp:inline distT="0" distB="0" distL="0" distR="0">
            <wp:extent cx="2433320" cy="922655"/>
            <wp:effectExtent l="0" t="0" r="5080" b="0"/>
            <wp:docPr id="17" name="图片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2433320" cy="922655"/>
                    </a:xfrm>
                    <a:prstGeom prst="rect">
                      <a:avLst/>
                    </a:prstGeom>
                    <a:noFill/>
                    <a:ln>
                      <a:noFill/>
                    </a:ln>
                  </pic:spPr>
                </pic:pic>
              </a:graphicData>
            </a:graphic>
          </wp:inline>
        </w:drawing>
      </w:r>
    </w:p>
    <w:p>
      <w:pPr>
        <w:tabs>
          <w:tab w:val="right" w:leader="dot" w:pos="8505"/>
        </w:tabs>
        <w:spacing w:line="500" w:lineRule="exact"/>
        <w:rPr>
          <w:rFonts w:eastAsiaTheme="minorEastAsia"/>
          <w:color w:val="auto"/>
        </w:rPr>
      </w:pPr>
      <w:r>
        <w:rPr>
          <w:rFonts w:eastAsiaTheme="minorEastAsia"/>
          <w:color w:val="auto"/>
        </w:rPr>
        <w:t xml:space="preserve">    式中：W</w:t>
      </w:r>
      <w:r>
        <w:rPr>
          <w:rFonts w:eastAsiaTheme="minorEastAsia"/>
          <w:color w:val="auto"/>
          <w:vertAlign w:val="subscript"/>
        </w:rPr>
        <w:t>ci</w:t>
      </w:r>
      <w:r>
        <w:rPr>
          <w:rFonts w:eastAsiaTheme="minorEastAsia"/>
          <w:color w:val="auto"/>
        </w:rPr>
        <w:t>—扬尘总排放量，t/a。</w:t>
      </w:r>
    </w:p>
    <w:p>
      <w:pPr>
        <w:tabs>
          <w:tab w:val="right" w:leader="dot" w:pos="8505"/>
        </w:tabs>
        <w:spacing w:line="500" w:lineRule="exact"/>
        <w:rPr>
          <w:rFonts w:eastAsiaTheme="minorEastAsia"/>
          <w:color w:val="auto"/>
        </w:rPr>
      </w:pPr>
      <w:r>
        <w:rPr>
          <w:rFonts w:eastAsiaTheme="minorEastAsia"/>
          <w:color w:val="auto"/>
        </w:rPr>
        <w:t xml:space="preserve">          E</w:t>
      </w:r>
      <w:r>
        <w:rPr>
          <w:rFonts w:eastAsiaTheme="minorEastAsia"/>
          <w:color w:val="auto"/>
          <w:vertAlign w:val="subscript"/>
        </w:rPr>
        <w:t>ci</w:t>
      </w:r>
      <w:r>
        <w:rPr>
          <w:rFonts w:eastAsiaTheme="minorEastAsia"/>
          <w:color w:val="auto"/>
        </w:rPr>
        <w:t>——整个施工工地的扬尘平均排放系数，t/（m</w:t>
      </w:r>
      <w:r>
        <w:rPr>
          <w:rFonts w:eastAsiaTheme="minorEastAsia"/>
          <w:color w:val="auto"/>
          <w:vertAlign w:val="superscript"/>
        </w:rPr>
        <w:t>2</w:t>
      </w:r>
      <w:r>
        <w:rPr>
          <w:rFonts w:eastAsiaTheme="minorEastAsia"/>
          <w:color w:val="auto"/>
        </w:rPr>
        <w:t>·月）。</w:t>
      </w:r>
    </w:p>
    <w:p>
      <w:pPr>
        <w:tabs>
          <w:tab w:val="right" w:leader="dot" w:pos="8505"/>
        </w:tabs>
        <w:spacing w:line="500" w:lineRule="exact"/>
        <w:rPr>
          <w:rFonts w:eastAsiaTheme="minorEastAsia"/>
          <w:color w:val="auto"/>
        </w:rPr>
      </w:pPr>
      <w:r>
        <w:rPr>
          <w:rFonts w:eastAsiaTheme="minorEastAsia"/>
          <w:color w:val="auto"/>
        </w:rPr>
        <w:t xml:space="preserve">          A</w:t>
      </w:r>
      <w:r>
        <w:rPr>
          <w:rFonts w:eastAsiaTheme="minorEastAsia"/>
          <w:color w:val="auto"/>
          <w:vertAlign w:val="subscript"/>
        </w:rPr>
        <w:t>c</w:t>
      </w:r>
      <w:r>
        <w:rPr>
          <w:rFonts w:eastAsiaTheme="minorEastAsia"/>
          <w:color w:val="auto"/>
        </w:rPr>
        <w:t>—施工区域面积，m</w:t>
      </w:r>
      <w:r>
        <w:rPr>
          <w:rFonts w:eastAsiaTheme="minorEastAsia"/>
          <w:color w:val="auto"/>
          <w:vertAlign w:val="superscript"/>
        </w:rPr>
        <w:t>2</w:t>
      </w:r>
      <w:r>
        <w:rPr>
          <w:rFonts w:eastAsiaTheme="minorEastAsia"/>
          <w:color w:val="auto"/>
        </w:rPr>
        <w:t>，取</w:t>
      </w:r>
      <w:r>
        <w:rPr>
          <w:rFonts w:hint="eastAsia" w:eastAsiaTheme="minorEastAsia"/>
          <w:bCs/>
          <w:color w:val="auto"/>
          <w:lang w:eastAsia="zh-CN"/>
        </w:rPr>
        <w:t>14185</w:t>
      </w:r>
      <w:r>
        <w:rPr>
          <w:rFonts w:eastAsiaTheme="minorEastAsia"/>
          <w:bCs/>
          <w:color w:val="auto"/>
        </w:rPr>
        <w:t>m</w:t>
      </w:r>
      <w:r>
        <w:rPr>
          <w:rFonts w:eastAsiaTheme="minorEastAsia"/>
          <w:bCs/>
          <w:color w:val="auto"/>
          <w:vertAlign w:val="superscript"/>
        </w:rPr>
        <w:t>2</w:t>
      </w:r>
      <w:r>
        <w:rPr>
          <w:rFonts w:eastAsiaTheme="minorEastAsia"/>
          <w:bCs/>
          <w:color w:val="auto"/>
        </w:rPr>
        <w:t>。</w:t>
      </w:r>
    </w:p>
    <w:p>
      <w:pPr>
        <w:tabs>
          <w:tab w:val="right" w:leader="dot" w:pos="8505"/>
        </w:tabs>
        <w:spacing w:line="500" w:lineRule="exact"/>
        <w:rPr>
          <w:rFonts w:eastAsiaTheme="minorEastAsia"/>
          <w:color w:val="auto"/>
        </w:rPr>
      </w:pPr>
      <w:r>
        <w:rPr>
          <w:rFonts w:eastAsiaTheme="minorEastAsia"/>
          <w:color w:val="auto"/>
        </w:rPr>
        <w:t xml:space="preserve">          T—施工月份数，取3。</w:t>
      </w:r>
    </w:p>
    <w:p>
      <w:pPr>
        <w:tabs>
          <w:tab w:val="right" w:leader="dot" w:pos="8505"/>
        </w:tabs>
        <w:spacing w:line="500" w:lineRule="exact"/>
        <w:rPr>
          <w:rFonts w:eastAsiaTheme="minorEastAsia"/>
          <w:color w:val="auto"/>
        </w:rPr>
      </w:pPr>
      <w:r>
        <w:rPr>
          <w:rFonts w:eastAsiaTheme="minorEastAsia"/>
          <w:color w:val="auto"/>
        </w:rPr>
        <w:t xml:space="preserve">          η—污染控制技术对扬尘的去除效率，%，取80%。</w:t>
      </w:r>
    </w:p>
    <w:p>
      <w:pPr>
        <w:pStyle w:val="276"/>
        <w:rPr>
          <w:rFonts w:eastAsiaTheme="minorEastAsia"/>
          <w:color w:val="auto"/>
        </w:rPr>
      </w:pPr>
      <w:r>
        <w:rPr>
          <w:rFonts w:eastAsiaTheme="minorEastAsia"/>
          <w:color w:val="auto"/>
        </w:rPr>
        <w:t>采取上式计算得施工期扬尘排放量为8.66t。</w:t>
      </w:r>
    </w:p>
    <w:p>
      <w:pPr>
        <w:pStyle w:val="242"/>
        <w:rPr>
          <w:rFonts w:ascii="Times New Roman" w:hAnsi="Times New Roman" w:cs="Times New Roman" w:eastAsiaTheme="minorEastAsia"/>
          <w:color w:val="auto"/>
        </w:rPr>
      </w:pPr>
      <w:r>
        <w:rPr>
          <w:rFonts w:ascii="Times New Roman" w:hAnsi="Times New Roman" w:cs="Times New Roman" w:eastAsiaTheme="minorEastAsia"/>
          <w:color w:val="auto"/>
        </w:rPr>
        <w:t>3.3.1.</w:t>
      </w:r>
      <w:r>
        <w:rPr>
          <w:rFonts w:ascii="Times New Roman" w:hAnsi="Times New Roman" w:cs="Times New Roman" w:eastAsiaTheme="minorEastAsia"/>
          <w:color w:val="auto"/>
        </w:rPr>
        <w:t>3施工期水环境影响因素分析</w:t>
      </w:r>
    </w:p>
    <w:p>
      <w:pPr>
        <w:pStyle w:val="276"/>
        <w:rPr>
          <w:rFonts w:eastAsiaTheme="minorEastAsia"/>
          <w:color w:val="auto"/>
        </w:rPr>
      </w:pPr>
      <w:r>
        <w:rPr>
          <w:rFonts w:eastAsiaTheme="minorEastAsia"/>
          <w:color w:val="auto"/>
        </w:rPr>
        <w:t>本项目施工期废水主要为施工生产废水和施工人员生活污水。</w:t>
      </w:r>
    </w:p>
    <w:p>
      <w:pPr>
        <w:pStyle w:val="276"/>
        <w:rPr>
          <w:rFonts w:eastAsiaTheme="minorEastAsia"/>
          <w:color w:val="auto"/>
        </w:rPr>
      </w:pPr>
      <w:r>
        <w:rPr>
          <w:rFonts w:eastAsiaTheme="minorEastAsia"/>
          <w:color w:val="auto"/>
        </w:rPr>
        <w:t>（1）生产废水</w:t>
      </w:r>
    </w:p>
    <w:p>
      <w:pPr>
        <w:pStyle w:val="276"/>
        <w:rPr>
          <w:rFonts w:eastAsiaTheme="minorEastAsia"/>
          <w:color w:val="auto"/>
        </w:rPr>
      </w:pPr>
      <w:r>
        <w:rPr>
          <w:rFonts w:eastAsiaTheme="minorEastAsia"/>
          <w:color w:val="auto"/>
        </w:rPr>
        <w:t>施工生产废水包括场地冲洗水等，可设置临时沉砂池处理后回用于场地降尘，不会对周围环境产生影响。</w:t>
      </w:r>
    </w:p>
    <w:p>
      <w:pPr>
        <w:pStyle w:val="276"/>
        <w:rPr>
          <w:rFonts w:eastAsiaTheme="minorEastAsia"/>
          <w:color w:val="auto"/>
        </w:rPr>
      </w:pPr>
      <w:r>
        <w:rPr>
          <w:rFonts w:eastAsiaTheme="minorEastAsia"/>
          <w:color w:val="auto"/>
        </w:rPr>
        <w:t>（2）生活污水</w:t>
      </w:r>
    </w:p>
    <w:p>
      <w:pPr>
        <w:pStyle w:val="276"/>
        <w:rPr>
          <w:rFonts w:eastAsiaTheme="minorEastAsia"/>
          <w:color w:val="auto"/>
        </w:rPr>
      </w:pPr>
      <w:r>
        <w:rPr>
          <w:rFonts w:eastAsiaTheme="minorEastAsia"/>
          <w:color w:val="auto"/>
        </w:rPr>
        <w:t>本项目施工人员共 10 人， 生活用水按 20L/d·人、废水排放系数按 0.8 计，则施工生活污水共计 0.16m</w:t>
      </w:r>
      <w:r>
        <w:rPr>
          <w:rFonts w:eastAsiaTheme="minorEastAsia"/>
          <w:color w:val="auto"/>
          <w:vertAlign w:val="superscript"/>
        </w:rPr>
        <w:t>3</w:t>
      </w:r>
      <w:r>
        <w:rPr>
          <w:rFonts w:eastAsiaTheme="minorEastAsia"/>
          <w:color w:val="auto"/>
        </w:rPr>
        <w:t>/d，拟建项目施工期约 1 个月，施工期共产生生活污水4.8m</w:t>
      </w:r>
      <w:r>
        <w:rPr>
          <w:rFonts w:eastAsiaTheme="minorEastAsia"/>
          <w:color w:val="auto"/>
          <w:vertAlign w:val="superscript"/>
        </w:rPr>
        <w:t>3</w:t>
      </w:r>
      <w:r>
        <w:rPr>
          <w:rFonts w:eastAsiaTheme="minorEastAsia"/>
          <w:color w:val="auto"/>
        </w:rPr>
        <w:t>，生活污水排入防渗旱厕，定期清掏。</w:t>
      </w:r>
    </w:p>
    <w:p>
      <w:pPr>
        <w:pStyle w:val="242"/>
        <w:rPr>
          <w:rFonts w:ascii="Times New Roman" w:hAnsi="Times New Roman" w:cs="Times New Roman" w:eastAsiaTheme="minorEastAsia"/>
          <w:color w:val="auto"/>
        </w:rPr>
      </w:pPr>
      <w:r>
        <w:rPr>
          <w:rFonts w:ascii="Times New Roman" w:hAnsi="Times New Roman" w:cs="Times New Roman" w:eastAsiaTheme="minorEastAsia"/>
          <w:color w:val="auto"/>
        </w:rPr>
        <w:t>3.3.1.4施工期噪声影响因素分析</w:t>
      </w:r>
    </w:p>
    <w:p>
      <w:pPr>
        <w:pStyle w:val="276"/>
        <w:rPr>
          <w:rFonts w:eastAsiaTheme="minorEastAsia"/>
          <w:color w:val="auto"/>
        </w:rPr>
      </w:pPr>
      <w:r>
        <w:rPr>
          <w:rFonts w:eastAsiaTheme="minorEastAsia"/>
          <w:color w:val="auto"/>
        </w:rPr>
        <w:t>施工期噪声主要来源于露天采场、临时堆土场建设过程和运输道路施工设备运转噪声。噪声源主要有挖掘机、装载机、推土机、自卸车等大型设备产生的噪声。主要高噪声设备噪声级见表3-3-1。</w:t>
      </w:r>
    </w:p>
    <w:p>
      <w:pPr>
        <w:pStyle w:val="244"/>
        <w:rPr>
          <w:rFonts w:eastAsiaTheme="minorEastAsia"/>
          <w:color w:val="auto"/>
        </w:rPr>
      </w:pPr>
      <w:r>
        <w:rPr>
          <w:rFonts w:eastAsiaTheme="minorEastAsia"/>
          <w:color w:val="auto"/>
        </w:rPr>
        <w:t>表3-3-1 施工期主要设备噪声源强</w:t>
      </w:r>
    </w:p>
    <w:tbl>
      <w:tblPr>
        <w:tblStyle w:val="53"/>
        <w:tblW w:w="8306" w:type="dxa"/>
        <w:jc w:val="center"/>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2739"/>
        <w:gridCol w:w="2522"/>
        <w:gridCol w:w="3045"/>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172" w:hRule="atLeast"/>
          <w:jc w:val="center"/>
        </w:trPr>
        <w:tc>
          <w:tcPr>
            <w:tcW w:w="2739" w:type="dxa"/>
            <w:vAlign w:val="center"/>
          </w:tcPr>
          <w:p>
            <w:pPr>
              <w:pStyle w:val="246"/>
              <w:rPr>
                <w:rFonts w:eastAsiaTheme="minorEastAsia"/>
                <w:color w:val="auto"/>
              </w:rPr>
            </w:pPr>
            <w:r>
              <w:rPr>
                <w:rFonts w:eastAsiaTheme="minorEastAsia"/>
                <w:color w:val="auto"/>
              </w:rPr>
              <w:t>设备名称</w:t>
            </w:r>
          </w:p>
        </w:tc>
        <w:tc>
          <w:tcPr>
            <w:tcW w:w="2522" w:type="dxa"/>
            <w:vAlign w:val="center"/>
          </w:tcPr>
          <w:p>
            <w:pPr>
              <w:pStyle w:val="246"/>
              <w:rPr>
                <w:rFonts w:eastAsiaTheme="minorEastAsia"/>
                <w:color w:val="auto"/>
              </w:rPr>
            </w:pPr>
            <w:r>
              <w:rPr>
                <w:rFonts w:eastAsiaTheme="minorEastAsia"/>
                <w:color w:val="auto"/>
              </w:rPr>
              <w:t>距声源距离（m）</w:t>
            </w:r>
          </w:p>
        </w:tc>
        <w:tc>
          <w:tcPr>
            <w:tcW w:w="3045" w:type="dxa"/>
            <w:vAlign w:val="center"/>
          </w:tcPr>
          <w:p>
            <w:pPr>
              <w:pStyle w:val="246"/>
              <w:rPr>
                <w:rFonts w:eastAsiaTheme="minorEastAsia"/>
                <w:color w:val="auto"/>
              </w:rPr>
            </w:pPr>
            <w:r>
              <w:rPr>
                <w:rFonts w:eastAsiaTheme="minorEastAsia"/>
                <w:color w:val="auto"/>
              </w:rPr>
              <w:t>噪声级dB（A）</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15" w:hRule="atLeast"/>
          <w:jc w:val="center"/>
        </w:trPr>
        <w:tc>
          <w:tcPr>
            <w:tcW w:w="2739" w:type="dxa"/>
            <w:vAlign w:val="center"/>
          </w:tcPr>
          <w:p>
            <w:pPr>
              <w:pStyle w:val="246"/>
              <w:rPr>
                <w:rFonts w:eastAsiaTheme="minorEastAsia"/>
                <w:color w:val="auto"/>
              </w:rPr>
            </w:pPr>
            <w:r>
              <w:rPr>
                <w:rFonts w:eastAsiaTheme="minorEastAsia"/>
                <w:color w:val="auto"/>
              </w:rPr>
              <w:t>液压挖掘机</w:t>
            </w:r>
          </w:p>
        </w:tc>
        <w:tc>
          <w:tcPr>
            <w:tcW w:w="2522" w:type="dxa"/>
            <w:vAlign w:val="center"/>
          </w:tcPr>
          <w:p>
            <w:pPr>
              <w:pStyle w:val="246"/>
              <w:rPr>
                <w:rFonts w:eastAsiaTheme="minorEastAsia"/>
                <w:color w:val="auto"/>
              </w:rPr>
            </w:pPr>
            <w:r>
              <w:rPr>
                <w:rFonts w:eastAsiaTheme="minorEastAsia"/>
                <w:color w:val="auto"/>
              </w:rPr>
              <w:t>1</w:t>
            </w:r>
          </w:p>
        </w:tc>
        <w:tc>
          <w:tcPr>
            <w:tcW w:w="3045" w:type="dxa"/>
            <w:vAlign w:val="center"/>
          </w:tcPr>
          <w:p>
            <w:pPr>
              <w:pStyle w:val="246"/>
              <w:rPr>
                <w:rFonts w:eastAsiaTheme="minorEastAsia"/>
                <w:color w:val="auto"/>
              </w:rPr>
            </w:pPr>
            <w:r>
              <w:rPr>
                <w:rFonts w:eastAsiaTheme="minorEastAsia"/>
                <w:color w:val="auto"/>
              </w:rPr>
              <w:t>96</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172" w:hRule="atLeast"/>
          <w:jc w:val="center"/>
        </w:trPr>
        <w:tc>
          <w:tcPr>
            <w:tcW w:w="2739" w:type="dxa"/>
            <w:vAlign w:val="center"/>
          </w:tcPr>
          <w:p>
            <w:pPr>
              <w:pStyle w:val="246"/>
              <w:rPr>
                <w:rFonts w:eastAsiaTheme="minorEastAsia"/>
                <w:color w:val="auto"/>
              </w:rPr>
            </w:pPr>
            <w:r>
              <w:rPr>
                <w:rFonts w:eastAsiaTheme="minorEastAsia"/>
                <w:color w:val="auto"/>
              </w:rPr>
              <w:t>装载机</w:t>
            </w:r>
          </w:p>
        </w:tc>
        <w:tc>
          <w:tcPr>
            <w:tcW w:w="2522" w:type="dxa"/>
            <w:vAlign w:val="center"/>
          </w:tcPr>
          <w:p>
            <w:pPr>
              <w:pStyle w:val="246"/>
              <w:rPr>
                <w:rFonts w:eastAsiaTheme="minorEastAsia"/>
                <w:color w:val="auto"/>
              </w:rPr>
            </w:pPr>
            <w:r>
              <w:rPr>
                <w:rFonts w:eastAsiaTheme="minorEastAsia"/>
                <w:color w:val="auto"/>
              </w:rPr>
              <w:t>1</w:t>
            </w:r>
          </w:p>
        </w:tc>
        <w:tc>
          <w:tcPr>
            <w:tcW w:w="3045" w:type="dxa"/>
            <w:vAlign w:val="center"/>
          </w:tcPr>
          <w:p>
            <w:pPr>
              <w:pStyle w:val="246"/>
              <w:rPr>
                <w:rFonts w:eastAsiaTheme="minorEastAsia"/>
                <w:color w:val="auto"/>
              </w:rPr>
            </w:pPr>
            <w:r>
              <w:rPr>
                <w:rFonts w:eastAsiaTheme="minorEastAsia"/>
                <w:color w:val="auto"/>
              </w:rPr>
              <w:t>84</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172" w:hRule="atLeast"/>
          <w:jc w:val="center"/>
        </w:trPr>
        <w:tc>
          <w:tcPr>
            <w:tcW w:w="2739" w:type="dxa"/>
            <w:vAlign w:val="center"/>
          </w:tcPr>
          <w:p>
            <w:pPr>
              <w:pStyle w:val="246"/>
              <w:rPr>
                <w:rFonts w:eastAsiaTheme="minorEastAsia"/>
                <w:color w:val="auto"/>
              </w:rPr>
            </w:pPr>
            <w:r>
              <w:rPr>
                <w:rFonts w:eastAsiaTheme="minorEastAsia"/>
                <w:color w:val="auto"/>
              </w:rPr>
              <w:t>自卸车</w:t>
            </w:r>
          </w:p>
        </w:tc>
        <w:tc>
          <w:tcPr>
            <w:tcW w:w="2522" w:type="dxa"/>
            <w:vAlign w:val="center"/>
          </w:tcPr>
          <w:p>
            <w:pPr>
              <w:pStyle w:val="246"/>
              <w:rPr>
                <w:rFonts w:eastAsiaTheme="minorEastAsia"/>
                <w:color w:val="auto"/>
              </w:rPr>
            </w:pPr>
            <w:r>
              <w:rPr>
                <w:rFonts w:eastAsiaTheme="minorEastAsia"/>
                <w:color w:val="auto"/>
              </w:rPr>
              <w:t>1</w:t>
            </w:r>
          </w:p>
        </w:tc>
        <w:tc>
          <w:tcPr>
            <w:tcW w:w="3045" w:type="dxa"/>
            <w:vAlign w:val="center"/>
          </w:tcPr>
          <w:p>
            <w:pPr>
              <w:pStyle w:val="246"/>
              <w:rPr>
                <w:rFonts w:eastAsiaTheme="minorEastAsia"/>
                <w:color w:val="auto"/>
              </w:rPr>
            </w:pPr>
            <w:r>
              <w:rPr>
                <w:rFonts w:eastAsiaTheme="minorEastAsia"/>
                <w:color w:val="auto"/>
              </w:rPr>
              <w:t>95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172" w:hRule="atLeast"/>
          <w:jc w:val="center"/>
        </w:trPr>
        <w:tc>
          <w:tcPr>
            <w:tcW w:w="2739" w:type="dxa"/>
            <w:vAlign w:val="center"/>
          </w:tcPr>
          <w:p>
            <w:pPr>
              <w:pStyle w:val="246"/>
              <w:rPr>
                <w:rFonts w:eastAsiaTheme="minorEastAsia"/>
                <w:color w:val="auto"/>
              </w:rPr>
            </w:pPr>
            <w:r>
              <w:rPr>
                <w:rFonts w:eastAsiaTheme="minorEastAsia"/>
                <w:color w:val="auto"/>
              </w:rPr>
              <w:t>推土机</w:t>
            </w:r>
          </w:p>
        </w:tc>
        <w:tc>
          <w:tcPr>
            <w:tcW w:w="2522" w:type="dxa"/>
            <w:vAlign w:val="center"/>
          </w:tcPr>
          <w:p>
            <w:pPr>
              <w:pStyle w:val="246"/>
              <w:rPr>
                <w:rFonts w:eastAsiaTheme="minorEastAsia"/>
                <w:color w:val="auto"/>
              </w:rPr>
            </w:pPr>
            <w:r>
              <w:rPr>
                <w:rFonts w:eastAsiaTheme="minorEastAsia"/>
                <w:color w:val="auto"/>
              </w:rPr>
              <w:t>1</w:t>
            </w:r>
          </w:p>
        </w:tc>
        <w:tc>
          <w:tcPr>
            <w:tcW w:w="3045" w:type="dxa"/>
            <w:vAlign w:val="center"/>
          </w:tcPr>
          <w:p>
            <w:pPr>
              <w:pStyle w:val="246"/>
              <w:rPr>
                <w:rFonts w:eastAsiaTheme="minorEastAsia"/>
                <w:color w:val="auto"/>
              </w:rPr>
            </w:pPr>
            <w:r>
              <w:rPr>
                <w:rFonts w:eastAsiaTheme="minorEastAsia"/>
                <w:color w:val="auto"/>
              </w:rPr>
              <w:t>86</w:t>
            </w:r>
          </w:p>
        </w:tc>
      </w:tr>
    </w:tbl>
    <w:p>
      <w:pPr>
        <w:pStyle w:val="242"/>
        <w:rPr>
          <w:rFonts w:ascii="Times New Roman" w:hAnsi="Times New Roman" w:cs="Times New Roman" w:eastAsiaTheme="minorEastAsia"/>
          <w:color w:val="auto"/>
        </w:rPr>
      </w:pPr>
      <w:r>
        <w:rPr>
          <w:rFonts w:ascii="Times New Roman" w:hAnsi="Times New Roman" w:cs="Times New Roman" w:eastAsiaTheme="minorEastAsia"/>
          <w:color w:val="auto"/>
        </w:rPr>
        <w:t>3.3.1.5施工期固体废物影响因素分析</w:t>
      </w:r>
    </w:p>
    <w:p>
      <w:pPr>
        <w:pStyle w:val="276"/>
        <w:rPr>
          <w:rFonts w:eastAsiaTheme="minorEastAsia"/>
          <w:color w:val="auto"/>
          <w:highlight w:val="yellow"/>
        </w:rPr>
      </w:pPr>
      <w:r>
        <w:rPr>
          <w:rFonts w:eastAsiaTheme="minorEastAsia"/>
          <w:color w:val="auto"/>
        </w:rPr>
        <w:t>施工期固体废物主要为施工人员产生的生活垃圾。</w:t>
      </w:r>
    </w:p>
    <w:p>
      <w:pPr>
        <w:pStyle w:val="276"/>
        <w:rPr>
          <w:rFonts w:eastAsiaTheme="minorEastAsia"/>
          <w:color w:val="auto"/>
        </w:rPr>
      </w:pPr>
      <w:r>
        <w:rPr>
          <w:rFonts w:eastAsiaTheme="minorEastAsia"/>
          <w:color w:val="auto"/>
        </w:rPr>
        <w:t>生活垃圾产生量为0.005t/d，施工期共产生0.15t，经集中收集后由当地环卫部门统一处理，不会对环境产生不利的影响。</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3.3.2</w:t>
      </w:r>
      <w:r>
        <w:rPr>
          <w:rFonts w:ascii="Times New Roman" w:hAnsi="Times New Roman" w:cs="Times New Roman" w:eastAsiaTheme="minorEastAsia"/>
          <w:color w:val="auto"/>
        </w:rPr>
        <w:t>运行期污染分析</w:t>
      </w:r>
    </w:p>
    <w:p>
      <w:pPr>
        <w:pStyle w:val="242"/>
        <w:rPr>
          <w:rFonts w:ascii="Times New Roman" w:hAnsi="Times New Roman" w:cs="Times New Roman" w:eastAsiaTheme="minorEastAsia"/>
          <w:color w:val="auto"/>
        </w:rPr>
      </w:pPr>
      <w:r>
        <w:rPr>
          <w:rFonts w:ascii="Times New Roman" w:hAnsi="Times New Roman" w:cs="Times New Roman" w:eastAsiaTheme="minorEastAsia"/>
          <w:color w:val="auto"/>
        </w:rPr>
        <w:t>3.3.2.1生产工艺流程</w:t>
      </w:r>
    </w:p>
    <w:p>
      <w:pPr>
        <w:pStyle w:val="276"/>
        <w:rPr>
          <w:rFonts w:eastAsiaTheme="minorEastAsia"/>
          <w:color w:val="auto"/>
        </w:rPr>
      </w:pPr>
      <w:r>
        <w:rPr>
          <w:rFonts w:eastAsiaTheme="minorEastAsia"/>
          <w:color w:val="auto"/>
        </w:rPr>
        <w:t>安山岩矿石开采采用我国小型矿山露天开采技术，加工生产建筑用安山岩矿石碎石加工技术采用国内的工艺技术，这两项技术都成熟，可靠。</w:t>
      </w:r>
    </w:p>
    <w:p>
      <w:pPr>
        <w:pStyle w:val="276"/>
        <w:rPr>
          <w:rFonts w:eastAsiaTheme="minorEastAsia"/>
          <w:color w:val="auto"/>
        </w:rPr>
      </w:pPr>
      <w:r>
        <w:rPr>
          <w:rFonts w:eastAsiaTheme="minorEastAsia"/>
          <w:color w:val="auto"/>
        </w:rPr>
        <w:t>（1）开采工艺流程</w:t>
      </w:r>
    </w:p>
    <w:p>
      <w:pPr>
        <w:pStyle w:val="276"/>
        <w:rPr>
          <w:rFonts w:eastAsiaTheme="minorEastAsia"/>
          <w:color w:val="auto"/>
        </w:rPr>
      </w:pPr>
      <w:r>
        <w:rPr>
          <w:rFonts w:eastAsiaTheme="minorEastAsia"/>
          <w:color w:val="auto"/>
        </w:rPr>
        <w:t>开采工艺流程及产污节点分析见图3-3-1。从工艺流程图可以看到：本项目在剥离、凿岩、爆破、破碎、筛分、废土岩堆存及运输过程中，产生土岩、粉尘、噪声及植被变化、水土流失等的对环境影响。其中最值得关注的是大气污染、噪声污染及生态环境的变化。</w:t>
      </w:r>
    </w:p>
    <w:p>
      <w:pPr>
        <w:pStyle w:val="276"/>
        <w:spacing w:line="240" w:lineRule="auto"/>
        <w:ind w:firstLine="0" w:firstLineChars="0"/>
        <w:rPr>
          <w:rFonts w:eastAsiaTheme="minorEastAsia"/>
          <w:color w:val="auto"/>
        </w:rPr>
      </w:pPr>
      <w:r>
        <w:rPr>
          <w:rFonts w:eastAsiaTheme="minorEastAsia"/>
          <w:color w:val="auto"/>
        </w:rPr>
        <w:object>
          <v:shape id="_x0000_i1030" o:spt="75" type="#_x0000_t75" style="height:439.5pt;width:417.75pt;" o:ole="t" filled="f" o:preferrelative="t" stroked="f" coordsize="21600,21600">
            <v:path/>
            <v:fill on="f" focussize="0,0"/>
            <v:stroke on="f" joinstyle="miter"/>
            <v:imagedata r:id="rId23" o:title=""/>
            <o:lock v:ext="edit" aspectratio="t"/>
            <w10:wrap type="none"/>
            <w10:anchorlock/>
          </v:shape>
          <o:OLEObject Type="Embed" ProgID="Visio.Drawing.11" ShapeID="_x0000_i1030" DrawAspect="Content" ObjectID="_1468075730" r:id="rId22">
            <o:LockedField>false</o:LockedField>
          </o:OLEObject>
        </w:object>
      </w:r>
    </w:p>
    <w:p>
      <w:pPr>
        <w:pStyle w:val="276"/>
        <w:jc w:val="center"/>
        <w:rPr>
          <w:rFonts w:eastAsiaTheme="minorEastAsia"/>
          <w:color w:val="auto"/>
        </w:rPr>
      </w:pPr>
      <w:r>
        <w:rPr>
          <w:rFonts w:eastAsiaTheme="minorEastAsia"/>
          <w:color w:val="auto"/>
        </w:rPr>
        <w:t>图3-3-1  本项目工艺流程及产污环节示意图</w:t>
      </w:r>
    </w:p>
    <w:p>
      <w:pPr>
        <w:pStyle w:val="276"/>
        <w:rPr>
          <w:rFonts w:eastAsiaTheme="minorEastAsia"/>
          <w:color w:val="auto"/>
        </w:rPr>
      </w:pPr>
      <w:r>
        <w:rPr>
          <w:rFonts w:eastAsiaTheme="minorEastAsia"/>
          <w:color w:val="auto"/>
        </w:rPr>
        <w:t>矿石为灰-灰褐色，致密块状，主要矿物由斜长石、辉石、角闪石及少量石英灯矿物的碎屑、晶屑和火山灰组成。岩石较破碎，靠近地表局部风化呈土状，矿石为建筑用石，根据该矿床的开采技术条件，确定本矿山开采方式为露天开采，工艺步骤如下：</w:t>
      </w:r>
    </w:p>
    <w:p>
      <w:pPr>
        <w:pStyle w:val="276"/>
        <w:rPr>
          <w:rFonts w:eastAsiaTheme="minorEastAsia"/>
          <w:color w:val="auto"/>
        </w:rPr>
      </w:pPr>
      <w:r>
        <w:rPr>
          <w:rFonts w:eastAsiaTheme="minorEastAsia"/>
          <w:color w:val="auto"/>
        </w:rPr>
        <w:t xml:space="preserve">1）凿岩穿孔 </w:t>
      </w:r>
    </w:p>
    <w:p>
      <w:pPr>
        <w:pStyle w:val="276"/>
        <w:rPr>
          <w:rFonts w:eastAsiaTheme="minorEastAsia"/>
          <w:color w:val="auto"/>
        </w:rPr>
      </w:pPr>
      <w:r>
        <w:rPr>
          <w:rFonts w:eastAsiaTheme="minorEastAsia"/>
          <w:color w:val="auto"/>
        </w:rPr>
        <w:t>采用岩凿机及100B型潜孔钻机在台阶上钻孔，主要参数为见表3-3-2。</w:t>
      </w:r>
    </w:p>
    <w:p>
      <w:pPr>
        <w:pStyle w:val="276"/>
        <w:jc w:val="center"/>
        <w:rPr>
          <w:rFonts w:eastAsiaTheme="minorEastAsia"/>
          <w:color w:val="auto"/>
        </w:rPr>
      </w:pPr>
    </w:p>
    <w:p>
      <w:pPr>
        <w:pStyle w:val="276"/>
        <w:jc w:val="center"/>
        <w:rPr>
          <w:rFonts w:eastAsiaTheme="minorEastAsia"/>
          <w:color w:val="auto"/>
        </w:rPr>
      </w:pPr>
    </w:p>
    <w:p>
      <w:pPr>
        <w:pStyle w:val="276"/>
        <w:jc w:val="center"/>
        <w:rPr>
          <w:rFonts w:eastAsiaTheme="minorEastAsia"/>
          <w:color w:val="auto"/>
        </w:rPr>
      </w:pPr>
      <w:r>
        <w:rPr>
          <w:rFonts w:eastAsiaTheme="minorEastAsia"/>
          <w:color w:val="auto"/>
        </w:rPr>
        <w:t>表3-3-2 穿孔主要参数表</w:t>
      </w:r>
    </w:p>
    <w:tbl>
      <w:tblPr>
        <w:tblStyle w:val="222"/>
        <w:tblW w:w="8306"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071"/>
        <w:gridCol w:w="2084"/>
        <w:gridCol w:w="2072"/>
        <w:gridCol w:w="207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71" w:type="dxa"/>
            <w:vAlign w:val="center"/>
          </w:tcPr>
          <w:p>
            <w:pPr>
              <w:pStyle w:val="276"/>
              <w:snapToGrid w:val="0"/>
              <w:spacing w:line="240" w:lineRule="auto"/>
              <w:ind w:firstLine="0" w:firstLineChars="0"/>
              <w:jc w:val="center"/>
              <w:rPr>
                <w:rFonts w:eastAsiaTheme="minorEastAsia"/>
                <w:color w:val="auto"/>
              </w:rPr>
            </w:pPr>
            <w:r>
              <w:rPr>
                <w:rFonts w:eastAsiaTheme="minorEastAsia"/>
                <w:color w:val="auto"/>
              </w:rPr>
              <w:t>孔径</w:t>
            </w:r>
          </w:p>
        </w:tc>
        <w:tc>
          <w:tcPr>
            <w:tcW w:w="2084" w:type="dxa"/>
            <w:vAlign w:val="center"/>
          </w:tcPr>
          <w:p>
            <w:pPr>
              <w:pStyle w:val="276"/>
              <w:snapToGrid w:val="0"/>
              <w:spacing w:line="240" w:lineRule="auto"/>
              <w:ind w:firstLine="0" w:firstLineChars="0"/>
              <w:jc w:val="center"/>
              <w:rPr>
                <w:rFonts w:eastAsiaTheme="minorEastAsia"/>
                <w:color w:val="auto"/>
              </w:rPr>
            </w:pPr>
            <w:r>
              <w:rPr>
                <w:rFonts w:eastAsiaTheme="minorEastAsia"/>
                <w:color w:val="auto"/>
              </w:rPr>
              <w:t>95mm</w:t>
            </w:r>
          </w:p>
        </w:tc>
        <w:tc>
          <w:tcPr>
            <w:tcW w:w="2072" w:type="dxa"/>
            <w:vAlign w:val="center"/>
          </w:tcPr>
          <w:p>
            <w:pPr>
              <w:pStyle w:val="276"/>
              <w:snapToGrid w:val="0"/>
              <w:spacing w:line="240" w:lineRule="auto"/>
              <w:ind w:firstLine="0" w:firstLineChars="0"/>
              <w:jc w:val="center"/>
              <w:rPr>
                <w:rFonts w:eastAsiaTheme="minorEastAsia"/>
                <w:color w:val="auto"/>
              </w:rPr>
            </w:pPr>
            <w:r>
              <w:rPr>
                <w:rFonts w:eastAsiaTheme="minorEastAsia"/>
                <w:color w:val="auto"/>
              </w:rPr>
              <w:t>孔深</w:t>
            </w:r>
          </w:p>
        </w:tc>
        <w:tc>
          <w:tcPr>
            <w:tcW w:w="2079" w:type="dxa"/>
            <w:vAlign w:val="center"/>
          </w:tcPr>
          <w:p>
            <w:pPr>
              <w:pStyle w:val="276"/>
              <w:snapToGrid w:val="0"/>
              <w:spacing w:line="240" w:lineRule="auto"/>
              <w:ind w:firstLine="0" w:firstLineChars="0"/>
              <w:jc w:val="center"/>
              <w:rPr>
                <w:rFonts w:eastAsiaTheme="minorEastAsia"/>
                <w:color w:val="auto"/>
              </w:rPr>
            </w:pPr>
            <w:r>
              <w:rPr>
                <w:rFonts w:eastAsiaTheme="minorEastAsia"/>
                <w:color w:val="auto"/>
              </w:rPr>
              <w:t>16m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71" w:type="dxa"/>
            <w:vAlign w:val="center"/>
          </w:tcPr>
          <w:p>
            <w:pPr>
              <w:pStyle w:val="276"/>
              <w:snapToGrid w:val="0"/>
              <w:spacing w:line="240" w:lineRule="auto"/>
              <w:ind w:firstLine="0" w:firstLineChars="0"/>
              <w:jc w:val="center"/>
              <w:rPr>
                <w:rFonts w:eastAsiaTheme="minorEastAsia"/>
                <w:color w:val="auto"/>
              </w:rPr>
            </w:pPr>
            <w:r>
              <w:rPr>
                <w:rFonts w:eastAsiaTheme="minorEastAsia"/>
                <w:color w:val="auto"/>
              </w:rPr>
              <w:t>孔距</w:t>
            </w:r>
          </w:p>
        </w:tc>
        <w:tc>
          <w:tcPr>
            <w:tcW w:w="2084" w:type="dxa"/>
            <w:vAlign w:val="center"/>
          </w:tcPr>
          <w:p>
            <w:pPr>
              <w:pStyle w:val="276"/>
              <w:snapToGrid w:val="0"/>
              <w:spacing w:line="240" w:lineRule="auto"/>
              <w:ind w:firstLine="0" w:firstLineChars="0"/>
              <w:jc w:val="center"/>
              <w:rPr>
                <w:rFonts w:eastAsiaTheme="minorEastAsia"/>
                <w:color w:val="auto"/>
              </w:rPr>
            </w:pPr>
            <w:r>
              <w:rPr>
                <w:rFonts w:eastAsiaTheme="minorEastAsia"/>
                <w:color w:val="auto"/>
              </w:rPr>
              <w:t>3m</w:t>
            </w:r>
          </w:p>
        </w:tc>
        <w:tc>
          <w:tcPr>
            <w:tcW w:w="2072" w:type="dxa"/>
            <w:vAlign w:val="center"/>
          </w:tcPr>
          <w:p>
            <w:pPr>
              <w:pStyle w:val="276"/>
              <w:snapToGrid w:val="0"/>
              <w:spacing w:line="240" w:lineRule="auto"/>
              <w:ind w:firstLine="0" w:firstLineChars="0"/>
              <w:jc w:val="center"/>
              <w:rPr>
                <w:rFonts w:eastAsiaTheme="minorEastAsia"/>
                <w:color w:val="auto"/>
              </w:rPr>
            </w:pPr>
            <w:r>
              <w:rPr>
                <w:rFonts w:eastAsiaTheme="minorEastAsia"/>
                <w:color w:val="auto"/>
              </w:rPr>
              <w:t>排距</w:t>
            </w:r>
          </w:p>
        </w:tc>
        <w:tc>
          <w:tcPr>
            <w:tcW w:w="2079" w:type="dxa"/>
            <w:vAlign w:val="center"/>
          </w:tcPr>
          <w:p>
            <w:pPr>
              <w:pStyle w:val="276"/>
              <w:snapToGrid w:val="0"/>
              <w:spacing w:line="240" w:lineRule="auto"/>
              <w:ind w:firstLine="0" w:firstLineChars="0"/>
              <w:jc w:val="center"/>
              <w:rPr>
                <w:rFonts w:eastAsiaTheme="minorEastAsia"/>
                <w:color w:val="auto"/>
              </w:rPr>
            </w:pPr>
            <w:r>
              <w:rPr>
                <w:rFonts w:eastAsiaTheme="minorEastAsia"/>
                <w:color w:val="auto"/>
              </w:rPr>
              <w:t>4m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71" w:type="dxa"/>
            <w:vAlign w:val="center"/>
          </w:tcPr>
          <w:p>
            <w:pPr>
              <w:pStyle w:val="276"/>
              <w:snapToGrid w:val="0"/>
              <w:spacing w:line="240" w:lineRule="auto"/>
              <w:ind w:firstLine="0" w:firstLineChars="0"/>
              <w:jc w:val="center"/>
              <w:rPr>
                <w:rFonts w:eastAsiaTheme="minorEastAsia"/>
                <w:color w:val="auto"/>
              </w:rPr>
            </w:pPr>
            <w:r>
              <w:rPr>
                <w:rFonts w:eastAsiaTheme="minorEastAsia"/>
                <w:color w:val="auto"/>
              </w:rPr>
              <w:t>最小抵抗线</w:t>
            </w:r>
          </w:p>
        </w:tc>
        <w:tc>
          <w:tcPr>
            <w:tcW w:w="2084" w:type="dxa"/>
            <w:vAlign w:val="center"/>
          </w:tcPr>
          <w:p>
            <w:pPr>
              <w:pStyle w:val="276"/>
              <w:snapToGrid w:val="0"/>
              <w:spacing w:line="240" w:lineRule="auto"/>
              <w:ind w:firstLine="0" w:firstLineChars="0"/>
              <w:jc w:val="center"/>
              <w:rPr>
                <w:rFonts w:eastAsiaTheme="minorEastAsia"/>
                <w:color w:val="auto"/>
              </w:rPr>
            </w:pPr>
            <w:r>
              <w:rPr>
                <w:rFonts w:eastAsiaTheme="minorEastAsia"/>
                <w:color w:val="auto"/>
              </w:rPr>
              <w:t>4m</w:t>
            </w:r>
          </w:p>
        </w:tc>
        <w:tc>
          <w:tcPr>
            <w:tcW w:w="2072" w:type="dxa"/>
            <w:vAlign w:val="center"/>
          </w:tcPr>
          <w:p>
            <w:pPr>
              <w:pStyle w:val="276"/>
              <w:snapToGrid w:val="0"/>
              <w:spacing w:line="240" w:lineRule="auto"/>
              <w:ind w:firstLine="0" w:firstLineChars="0"/>
              <w:jc w:val="center"/>
              <w:rPr>
                <w:rFonts w:eastAsiaTheme="minorEastAsia"/>
                <w:color w:val="auto"/>
              </w:rPr>
            </w:pPr>
            <w:r>
              <w:rPr>
                <w:rFonts w:eastAsiaTheme="minorEastAsia"/>
                <w:color w:val="auto"/>
              </w:rPr>
              <w:t>-</w:t>
            </w:r>
          </w:p>
        </w:tc>
        <w:tc>
          <w:tcPr>
            <w:tcW w:w="2079" w:type="dxa"/>
            <w:vAlign w:val="center"/>
          </w:tcPr>
          <w:p>
            <w:pPr>
              <w:pStyle w:val="276"/>
              <w:snapToGrid w:val="0"/>
              <w:spacing w:line="240" w:lineRule="auto"/>
              <w:ind w:firstLine="0" w:firstLineChars="0"/>
              <w:jc w:val="center"/>
              <w:rPr>
                <w:rFonts w:eastAsiaTheme="minorEastAsia"/>
                <w:color w:val="auto"/>
              </w:rPr>
            </w:pPr>
            <w:r>
              <w:rPr>
                <w:rFonts w:eastAsiaTheme="minorEastAsia"/>
                <w:color w:val="auto"/>
              </w:rPr>
              <w:t>-</w:t>
            </w:r>
          </w:p>
        </w:tc>
      </w:tr>
    </w:tbl>
    <w:p>
      <w:pPr>
        <w:pStyle w:val="276"/>
        <w:rPr>
          <w:rFonts w:eastAsiaTheme="minorEastAsia"/>
          <w:color w:val="auto"/>
        </w:rPr>
      </w:pPr>
      <w:r>
        <w:rPr>
          <w:rFonts w:eastAsiaTheme="minorEastAsia"/>
          <w:color w:val="auto"/>
        </w:rPr>
        <w:t xml:space="preserve">2）炸药准备 </w:t>
      </w:r>
    </w:p>
    <w:p>
      <w:pPr>
        <w:pStyle w:val="276"/>
        <w:rPr>
          <w:rFonts w:eastAsiaTheme="minorEastAsia"/>
          <w:color w:val="auto"/>
        </w:rPr>
      </w:pPr>
      <w:r>
        <w:rPr>
          <w:rFonts w:eastAsiaTheme="minorEastAsia"/>
          <w:color w:val="auto"/>
        </w:rPr>
        <w:t>采用由哈尔滨恒达民爆器材有限公司运送的2号岩石粉状铵梯炸药。炸药成分组成见表3-3-3。</w:t>
      </w:r>
    </w:p>
    <w:p>
      <w:pPr>
        <w:pStyle w:val="276"/>
        <w:jc w:val="center"/>
        <w:rPr>
          <w:rFonts w:eastAsiaTheme="minorEastAsia"/>
          <w:color w:val="auto"/>
        </w:rPr>
      </w:pPr>
      <w:r>
        <w:rPr>
          <w:rFonts w:eastAsiaTheme="minorEastAsia"/>
          <w:color w:val="auto"/>
        </w:rPr>
        <w:t>表3-3-3炸药成分组成表</w:t>
      </w:r>
    </w:p>
    <w:tbl>
      <w:tblPr>
        <w:tblStyle w:val="222"/>
        <w:tblW w:w="8306"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151"/>
        <w:gridCol w:w="415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151" w:type="dxa"/>
            <w:vAlign w:val="center"/>
          </w:tcPr>
          <w:p>
            <w:pPr>
              <w:pStyle w:val="276"/>
              <w:snapToGrid w:val="0"/>
              <w:spacing w:line="240" w:lineRule="auto"/>
              <w:ind w:firstLine="0" w:firstLineChars="0"/>
              <w:jc w:val="center"/>
              <w:rPr>
                <w:rFonts w:eastAsiaTheme="minorEastAsia"/>
                <w:color w:val="auto"/>
              </w:rPr>
            </w:pPr>
            <w:r>
              <w:rPr>
                <w:rFonts w:eastAsiaTheme="minorEastAsia"/>
                <w:color w:val="auto"/>
              </w:rPr>
              <w:t>名称</w:t>
            </w:r>
          </w:p>
        </w:tc>
        <w:tc>
          <w:tcPr>
            <w:tcW w:w="4155" w:type="dxa"/>
            <w:vAlign w:val="center"/>
          </w:tcPr>
          <w:p>
            <w:pPr>
              <w:pStyle w:val="276"/>
              <w:snapToGrid w:val="0"/>
              <w:spacing w:line="240" w:lineRule="auto"/>
              <w:ind w:firstLine="0" w:firstLineChars="0"/>
              <w:jc w:val="center"/>
              <w:rPr>
                <w:rFonts w:eastAsiaTheme="minorEastAsia"/>
                <w:color w:val="auto"/>
              </w:rPr>
            </w:pPr>
            <w:r>
              <w:rPr>
                <w:rFonts w:eastAsiaTheme="minorEastAsia"/>
                <w:color w:val="auto"/>
              </w:rPr>
              <w:t>成分含量（%）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151" w:type="dxa"/>
            <w:vAlign w:val="center"/>
          </w:tcPr>
          <w:p>
            <w:pPr>
              <w:pStyle w:val="276"/>
              <w:snapToGrid w:val="0"/>
              <w:spacing w:line="240" w:lineRule="auto"/>
              <w:ind w:firstLine="0" w:firstLineChars="0"/>
              <w:jc w:val="center"/>
              <w:rPr>
                <w:rFonts w:eastAsiaTheme="minorEastAsia"/>
                <w:color w:val="auto"/>
              </w:rPr>
            </w:pPr>
            <w:r>
              <w:rPr>
                <w:rFonts w:eastAsiaTheme="minorEastAsia"/>
                <w:color w:val="auto"/>
              </w:rPr>
              <w:t>硝酸铵</w:t>
            </w:r>
          </w:p>
        </w:tc>
        <w:tc>
          <w:tcPr>
            <w:tcW w:w="4155" w:type="dxa"/>
            <w:vAlign w:val="center"/>
          </w:tcPr>
          <w:p>
            <w:pPr>
              <w:pStyle w:val="55"/>
              <w:snapToGrid w:val="0"/>
              <w:jc w:val="center"/>
              <w:rPr>
                <w:rFonts w:ascii="Times New Roman" w:hAnsi="Times New Roman" w:cs="Times New Roman" w:eastAsiaTheme="minorEastAsia"/>
                <w:color w:val="auto"/>
              </w:rPr>
            </w:pPr>
            <w:r>
              <w:rPr>
                <w:rFonts w:ascii="Times New Roman" w:hAnsi="Times New Roman" w:cs="Times New Roman" w:eastAsiaTheme="minorEastAsia"/>
                <w:color w:val="auto"/>
              </w:rPr>
              <w:t>85±1.5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151" w:type="dxa"/>
            <w:vAlign w:val="center"/>
          </w:tcPr>
          <w:p>
            <w:pPr>
              <w:pStyle w:val="276"/>
              <w:snapToGrid w:val="0"/>
              <w:spacing w:line="240" w:lineRule="auto"/>
              <w:ind w:firstLine="0" w:firstLineChars="0"/>
              <w:jc w:val="center"/>
              <w:rPr>
                <w:rFonts w:eastAsiaTheme="minorEastAsia"/>
                <w:color w:val="auto"/>
              </w:rPr>
            </w:pPr>
            <w:r>
              <w:rPr>
                <w:rFonts w:eastAsiaTheme="minorEastAsia"/>
                <w:color w:val="auto"/>
              </w:rPr>
              <w:t>TNT</w:t>
            </w:r>
          </w:p>
        </w:tc>
        <w:tc>
          <w:tcPr>
            <w:tcW w:w="4155" w:type="dxa"/>
            <w:vAlign w:val="center"/>
          </w:tcPr>
          <w:p>
            <w:pPr>
              <w:pStyle w:val="55"/>
              <w:snapToGrid w:val="0"/>
              <w:jc w:val="center"/>
              <w:rPr>
                <w:rFonts w:ascii="Times New Roman" w:hAnsi="Times New Roman" w:cs="Times New Roman" w:eastAsiaTheme="minorEastAsia"/>
                <w:color w:val="auto"/>
              </w:rPr>
            </w:pPr>
            <w:r>
              <w:rPr>
                <w:rFonts w:ascii="Times New Roman" w:hAnsi="Times New Roman" w:cs="Times New Roman" w:eastAsiaTheme="minorEastAsia"/>
                <w:color w:val="auto"/>
              </w:rPr>
              <w:t>11±1.0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151" w:type="dxa"/>
            <w:vAlign w:val="center"/>
          </w:tcPr>
          <w:p>
            <w:pPr>
              <w:pStyle w:val="276"/>
              <w:snapToGrid w:val="0"/>
              <w:spacing w:line="240" w:lineRule="auto"/>
              <w:ind w:firstLine="0" w:firstLineChars="0"/>
              <w:jc w:val="center"/>
              <w:rPr>
                <w:rFonts w:eastAsiaTheme="minorEastAsia"/>
                <w:color w:val="auto"/>
              </w:rPr>
            </w:pPr>
            <w:r>
              <w:rPr>
                <w:rFonts w:eastAsiaTheme="minorEastAsia"/>
                <w:color w:val="auto"/>
              </w:rPr>
              <w:t>木粉</w:t>
            </w:r>
          </w:p>
        </w:tc>
        <w:tc>
          <w:tcPr>
            <w:tcW w:w="4155" w:type="dxa"/>
            <w:vAlign w:val="center"/>
          </w:tcPr>
          <w:p>
            <w:pPr>
              <w:pStyle w:val="55"/>
              <w:snapToGrid w:val="0"/>
              <w:jc w:val="center"/>
              <w:rPr>
                <w:rFonts w:ascii="Times New Roman" w:hAnsi="Times New Roman" w:cs="Times New Roman" w:eastAsiaTheme="minorEastAsia"/>
                <w:color w:val="auto"/>
              </w:rPr>
            </w:pPr>
            <w:r>
              <w:rPr>
                <w:rFonts w:ascii="Times New Roman" w:hAnsi="Times New Roman" w:cs="Times New Roman" w:eastAsiaTheme="minorEastAsia"/>
                <w:color w:val="auto"/>
              </w:rPr>
              <w:t>4±1.0</w:t>
            </w:r>
          </w:p>
        </w:tc>
      </w:tr>
    </w:tbl>
    <w:p>
      <w:pPr>
        <w:pStyle w:val="276"/>
        <w:rPr>
          <w:rFonts w:eastAsiaTheme="minorEastAsia"/>
          <w:color w:val="auto"/>
        </w:rPr>
      </w:pPr>
      <w:r>
        <w:rPr>
          <w:rFonts w:eastAsiaTheme="minorEastAsia"/>
          <w:color w:val="auto"/>
        </w:rPr>
        <w:t xml:space="preserve">炸药的运输按照《危险货物运输规则》执行，炸药单耗在0.5kg/m3以下。硝酸铵物色或白色结晶，无臭有强烈苦味，在空气中潮解，由于硝酸铵易潮解而失效，往往将其混在有机溶剂中，制成防水型浆状炸药，TNT化学名称为2，4，6-三硝基甲苯，黄色炸药，淡黄色结晶，难溶于水、乙醇、乙醚，易溶于氯仿、苯、甲苯、丙酮。 </w:t>
      </w:r>
    </w:p>
    <w:p>
      <w:pPr>
        <w:pStyle w:val="276"/>
        <w:rPr>
          <w:rFonts w:eastAsiaTheme="minorEastAsia"/>
          <w:color w:val="auto"/>
        </w:rPr>
      </w:pPr>
      <w:r>
        <w:rPr>
          <w:rFonts w:eastAsiaTheme="minorEastAsia"/>
          <w:color w:val="auto"/>
        </w:rPr>
        <w:t xml:space="preserve">3）爆破 </w:t>
      </w:r>
    </w:p>
    <w:p>
      <w:pPr>
        <w:pStyle w:val="276"/>
        <w:rPr>
          <w:rFonts w:eastAsiaTheme="minorEastAsia"/>
          <w:color w:val="auto"/>
        </w:rPr>
      </w:pPr>
      <w:r>
        <w:rPr>
          <w:rFonts w:eastAsiaTheme="minorEastAsia"/>
          <w:color w:val="auto"/>
        </w:rPr>
        <w:t>在爆破工序中采用电雷管引爆。为提高爆破效率及安全性，采用导爆管微差爆破法，并控制爆破安全距离。硝酸铵在常温下是稳定的，对打击、碰撞或摩擦均不敏感。但在高温、高压下会发生爆炸，在生产、储运和使用中必须严格遵守安全规定。爆破过程的化学反应方程式如下：</w:t>
      </w:r>
    </w:p>
    <w:p>
      <w:pPr>
        <w:pStyle w:val="276"/>
        <w:rPr>
          <w:rFonts w:eastAsiaTheme="minorEastAsia"/>
          <w:color w:val="auto"/>
        </w:rPr>
      </w:pPr>
      <w:r>
        <w:rPr>
          <w:rFonts w:eastAsiaTheme="minorEastAsia"/>
          <w:color w:val="auto"/>
        </w:rPr>
        <w:t>4NH</w:t>
      </w:r>
      <w:r>
        <w:rPr>
          <w:rFonts w:eastAsiaTheme="minorEastAsia"/>
          <w:color w:val="auto"/>
          <w:vertAlign w:val="subscript"/>
        </w:rPr>
        <w:t>4</w:t>
      </w:r>
      <w:r>
        <w:rPr>
          <w:rFonts w:eastAsiaTheme="minorEastAsia"/>
          <w:color w:val="auto"/>
        </w:rPr>
        <w:t>NO</w:t>
      </w:r>
      <w:r>
        <w:rPr>
          <w:rFonts w:eastAsiaTheme="minorEastAsia"/>
          <w:color w:val="auto"/>
          <w:vertAlign w:val="subscript"/>
        </w:rPr>
        <w:t>3</w:t>
      </w:r>
      <w:r>
        <w:rPr>
          <w:rFonts w:eastAsiaTheme="minorEastAsia"/>
          <w:color w:val="auto"/>
        </w:rPr>
        <w:t>—3N</w:t>
      </w:r>
      <w:r>
        <w:rPr>
          <w:rFonts w:eastAsiaTheme="minorEastAsia"/>
          <w:color w:val="auto"/>
          <w:vertAlign w:val="subscript"/>
        </w:rPr>
        <w:t>2</w:t>
      </w:r>
      <w:r>
        <w:rPr>
          <w:rFonts w:eastAsiaTheme="minorEastAsia"/>
          <w:color w:val="auto"/>
        </w:rPr>
        <w:t>+2NO</w:t>
      </w:r>
      <w:r>
        <w:rPr>
          <w:rFonts w:eastAsiaTheme="minorEastAsia"/>
          <w:color w:val="auto"/>
          <w:vertAlign w:val="subscript"/>
        </w:rPr>
        <w:t>2</w:t>
      </w:r>
      <w:r>
        <w:rPr>
          <w:rFonts w:eastAsiaTheme="minorEastAsia"/>
          <w:color w:val="auto"/>
        </w:rPr>
        <w:t>+8H</w:t>
      </w:r>
      <w:r>
        <w:rPr>
          <w:rFonts w:eastAsiaTheme="minorEastAsia"/>
          <w:color w:val="auto"/>
          <w:vertAlign w:val="subscript"/>
        </w:rPr>
        <w:t>2</w:t>
      </w:r>
      <w:r>
        <w:rPr>
          <w:rFonts w:eastAsiaTheme="minorEastAsia"/>
          <w:color w:val="auto"/>
        </w:rPr>
        <w:t xml:space="preserve">O+Q </w:t>
      </w:r>
    </w:p>
    <w:p>
      <w:pPr>
        <w:pStyle w:val="276"/>
        <w:rPr>
          <w:rFonts w:eastAsiaTheme="minorEastAsia"/>
          <w:color w:val="auto"/>
        </w:rPr>
      </w:pPr>
      <w:r>
        <w:rPr>
          <w:rFonts w:eastAsiaTheme="minorEastAsia"/>
          <w:color w:val="auto"/>
        </w:rPr>
        <w:t>在电雷管引爆下，硝酸铵瞬时分解并产生大量的热和氮氧化物等气体，从而产生了爆炸现象。由于采用中深孔爆破，可能避免产生岩石个别被炸飞，本项目采用在爆破地点四周遮挡，以减少个别岩石远距离炸飞，岩凿机为气动工具，有空压机提供动力。为了安全起见，本项目将培养专业爆破人员进行装药引爆，并根据《爆破安全规程》（GB6722-2014）本项目划定安全距离300m以外及定向爆破来控制受影响的方向和范围。本项目厂界距离最近村庄</w:t>
      </w:r>
      <w:r>
        <w:rPr>
          <w:rFonts w:hint="eastAsia" w:eastAsiaTheme="minorEastAsia"/>
          <w:color w:val="auto"/>
          <w:lang w:eastAsia="zh-CN"/>
        </w:rPr>
        <w:t>新华村450m</w:t>
      </w:r>
      <w:r>
        <w:rPr>
          <w:rFonts w:eastAsiaTheme="minorEastAsia"/>
          <w:color w:val="auto"/>
        </w:rPr>
        <w:t>不会对敏感目标构成危险。</w:t>
      </w:r>
    </w:p>
    <w:p>
      <w:pPr>
        <w:pStyle w:val="276"/>
        <w:rPr>
          <w:rFonts w:eastAsiaTheme="minorEastAsia"/>
          <w:color w:val="auto"/>
        </w:rPr>
      </w:pPr>
      <w:r>
        <w:rPr>
          <w:rFonts w:eastAsiaTheme="minorEastAsia"/>
          <w:color w:val="auto"/>
        </w:rPr>
        <w:t xml:space="preserve">4）运输过程 </w:t>
      </w:r>
    </w:p>
    <w:p>
      <w:pPr>
        <w:pStyle w:val="276"/>
        <w:rPr>
          <w:rFonts w:eastAsiaTheme="minorEastAsia"/>
          <w:color w:val="auto"/>
        </w:rPr>
      </w:pPr>
      <w:r>
        <w:rPr>
          <w:rFonts w:eastAsiaTheme="minorEastAsia"/>
          <w:color w:val="auto"/>
        </w:rPr>
        <w:t xml:space="preserve">剥离的土岩及爆破后的岩石用挖掘机、装载机、自卸车等设备进行集运。采剥下来的土岩运至厂区的临时堆土场暂时存储，定期外售。 </w:t>
      </w:r>
    </w:p>
    <w:p>
      <w:pPr>
        <w:pStyle w:val="276"/>
        <w:rPr>
          <w:rFonts w:eastAsiaTheme="minorEastAsia"/>
          <w:color w:val="auto"/>
        </w:rPr>
      </w:pPr>
      <w:r>
        <w:rPr>
          <w:rFonts w:eastAsiaTheme="minorEastAsia"/>
          <w:color w:val="auto"/>
        </w:rPr>
        <w:t xml:space="preserve">（2）破碎筛分工艺 </w:t>
      </w:r>
    </w:p>
    <w:p>
      <w:pPr>
        <w:pStyle w:val="276"/>
        <w:rPr>
          <w:rFonts w:eastAsiaTheme="minorEastAsia"/>
          <w:color w:val="auto"/>
        </w:rPr>
      </w:pPr>
      <w:r>
        <w:rPr>
          <w:rFonts w:eastAsiaTheme="minorEastAsia"/>
          <w:color w:val="auto"/>
        </w:rPr>
        <w:t>本项目采矿工作面崩落的矿石，大块的进行人工破碎达到下一工序的要求。再进入破碎筛分机，本项目采用</w:t>
      </w:r>
      <w:r>
        <w:rPr>
          <w:rFonts w:hint="eastAsia" w:eastAsiaTheme="minorEastAsia"/>
          <w:color w:val="auto"/>
          <w:lang w:eastAsia="zh-CN"/>
        </w:rPr>
        <w:t>锤式</w:t>
      </w:r>
      <w:r>
        <w:rPr>
          <w:rFonts w:eastAsiaTheme="minorEastAsia"/>
          <w:color w:val="auto"/>
        </w:rPr>
        <w:t xml:space="preserve">破碎设备及振动筛对石料进行破碎和筛分。 </w:t>
      </w:r>
    </w:p>
    <w:p>
      <w:pPr>
        <w:pStyle w:val="276"/>
        <w:rPr>
          <w:rFonts w:eastAsiaTheme="minorEastAsia"/>
          <w:color w:val="auto"/>
        </w:rPr>
      </w:pPr>
      <w:r>
        <w:rPr>
          <w:rFonts w:eastAsiaTheme="minorEastAsia"/>
          <w:color w:val="auto"/>
        </w:rPr>
        <w:t>本工程所采用的设备主要有喂料机、颚式破碎机、</w:t>
      </w:r>
      <w:r>
        <w:rPr>
          <w:rFonts w:hint="eastAsia" w:eastAsiaTheme="minorEastAsia"/>
          <w:color w:val="auto"/>
          <w:lang w:eastAsia="zh-CN"/>
        </w:rPr>
        <w:t>锤式</w:t>
      </w:r>
      <w:r>
        <w:rPr>
          <w:rFonts w:eastAsiaTheme="minorEastAsia"/>
          <w:color w:val="auto"/>
        </w:rPr>
        <w:t>破碎机及振动筛。给</w:t>
      </w:r>
    </w:p>
    <w:p>
      <w:pPr>
        <w:pStyle w:val="276"/>
        <w:ind w:left="0" w:leftChars="0" w:firstLine="0" w:firstLineChars="0"/>
        <w:rPr>
          <w:rFonts w:eastAsiaTheme="minorEastAsia"/>
          <w:color w:val="auto"/>
        </w:rPr>
      </w:pPr>
      <w:r>
        <w:rPr>
          <w:rFonts w:eastAsiaTheme="minorEastAsia"/>
          <w:color w:val="auto"/>
        </w:rPr>
        <w:t>料机在生产流程中，可以将块状、颗粒状物从贮料仓中均匀、定时、连续地给到受料装置中去，可为生产线其他破碎机械连续均匀地喂料，并对物料进行粗筛，经振动喂料机组筛分后，不合格石料经皮带机传送至料坑，合格碎石传送至颚式破碎机（最大给料尺寸600mm）进行中等力度的碎石破碎，复摆颚式破碎机利用两颚对物料的挤压和弯曲作用，从而达到破碎石料的目的，破碎后的中等粒度石料在传送到</w:t>
      </w:r>
      <w:r>
        <w:rPr>
          <w:rFonts w:hint="eastAsia" w:eastAsiaTheme="minorEastAsia"/>
          <w:color w:val="auto"/>
          <w:lang w:eastAsia="zh-CN"/>
        </w:rPr>
        <w:t>锤式</w:t>
      </w:r>
      <w:r>
        <w:rPr>
          <w:rFonts w:eastAsiaTheme="minorEastAsia"/>
          <w:color w:val="auto"/>
        </w:rPr>
        <w:t>破碎机（最大进料粒度300mm），石料在破碎腔内受高速运动的锤子的打击、冲击、剪切、研磨作用而粉碎。下部设有筛板、粉碎物料中小于筛孔尺寸的粒级通过筛板排出，大于筛孔尺寸的粗粒级阻留在筛板上继续受锤子的打击和研磨，最后通过筛板排出机外。排出来的产品再经传送至筛分机，产品自上而下经过多层筛分成品被各自的传送带送入各自的堆场。破碎筛分工艺流程图及排污节点见图3-3-2。</w:t>
      </w:r>
    </w:p>
    <w:p>
      <w:pPr>
        <w:pStyle w:val="276"/>
        <w:spacing w:line="240" w:lineRule="auto"/>
        <w:ind w:firstLine="0" w:firstLineChars="0"/>
        <w:rPr>
          <w:rFonts w:eastAsiaTheme="minorEastAsia"/>
          <w:color w:val="auto"/>
        </w:rPr>
      </w:pPr>
      <w:r>
        <w:rPr>
          <w:rFonts w:eastAsiaTheme="minorEastAsia"/>
          <w:color w:val="auto"/>
        </w:rPr>
        <w:drawing>
          <wp:inline distT="0" distB="0" distL="0" distR="0">
            <wp:extent cx="5274310" cy="3618230"/>
            <wp:effectExtent l="0" t="0" r="2540" b="127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24">
                      <a:extLst>
                        <a:ext uri="{28A0092B-C50C-407E-A947-70E740481C1C}">
                          <a14:useLocalDpi xmlns:a14="http://schemas.microsoft.com/office/drawing/2010/main" val="0"/>
                        </a:ext>
                      </a:extLst>
                    </a:blip>
                    <a:stretch>
                      <a:fillRect/>
                    </a:stretch>
                  </pic:blipFill>
                  <pic:spPr>
                    <a:xfrm>
                      <a:off x="0" y="0"/>
                      <a:ext cx="5274310" cy="3618230"/>
                    </a:xfrm>
                    <a:prstGeom prst="rect">
                      <a:avLst/>
                    </a:prstGeom>
                  </pic:spPr>
                </pic:pic>
              </a:graphicData>
            </a:graphic>
          </wp:inline>
        </w:drawing>
      </w:r>
    </w:p>
    <w:p>
      <w:pPr>
        <w:pStyle w:val="276"/>
        <w:jc w:val="center"/>
        <w:rPr>
          <w:rFonts w:eastAsiaTheme="minorEastAsia"/>
          <w:color w:val="auto"/>
        </w:rPr>
      </w:pPr>
      <w:r>
        <w:rPr>
          <w:rFonts w:eastAsiaTheme="minorEastAsia"/>
          <w:color w:val="auto"/>
        </w:rPr>
        <w:t>图 3-3-2  破碎筛分工艺流程及排污节点图</w:t>
      </w:r>
    </w:p>
    <w:p>
      <w:pPr>
        <w:widowControl/>
        <w:spacing w:line="240" w:lineRule="auto"/>
        <w:jc w:val="left"/>
        <w:rPr>
          <w:rFonts w:eastAsiaTheme="minorEastAsia"/>
          <w:color w:val="auto"/>
        </w:rPr>
      </w:pPr>
      <w:r>
        <w:rPr>
          <w:rFonts w:eastAsiaTheme="minorEastAsia"/>
          <w:color w:val="auto"/>
        </w:rPr>
        <w:t>3.3.2.2</w:t>
      </w:r>
      <w:r>
        <w:rPr>
          <w:rFonts w:eastAsiaTheme="minorEastAsia"/>
          <w:color w:val="auto"/>
        </w:rPr>
        <w:t>污染因素分析</w:t>
      </w:r>
    </w:p>
    <w:p>
      <w:pPr>
        <w:pStyle w:val="276"/>
        <w:rPr>
          <w:rFonts w:eastAsiaTheme="minorEastAsia"/>
          <w:color w:val="auto"/>
        </w:rPr>
      </w:pPr>
      <w:r>
        <w:rPr>
          <w:rFonts w:eastAsiaTheme="minorEastAsia"/>
          <w:color w:val="auto"/>
        </w:rPr>
        <w:t xml:space="preserve">（1）大气污染物分析 </w:t>
      </w:r>
    </w:p>
    <w:p>
      <w:pPr>
        <w:pStyle w:val="276"/>
        <w:rPr>
          <w:rFonts w:eastAsiaTheme="minorEastAsia"/>
          <w:color w:val="auto"/>
        </w:rPr>
      </w:pPr>
      <w:r>
        <w:rPr>
          <w:rFonts w:eastAsiaTheme="minorEastAsia"/>
          <w:color w:val="auto"/>
        </w:rPr>
        <w:t>本项目产生环节主要为凿岩钻孔、爆破、破碎筛分、集堆铲装、临时堆土场、原矿堆场、运输过程，排放方式分为有组织和无组织。有组织废气主要为破碎筛分设备排气筒产生的粉尘，主要污染物为PM</w:t>
      </w:r>
      <w:r>
        <w:rPr>
          <w:rFonts w:eastAsiaTheme="minorEastAsia"/>
          <w:color w:val="auto"/>
          <w:vertAlign w:val="subscript"/>
        </w:rPr>
        <w:t>10</w:t>
      </w:r>
      <w:r>
        <w:rPr>
          <w:rFonts w:eastAsiaTheme="minorEastAsia"/>
          <w:color w:val="auto"/>
        </w:rPr>
        <w:t xml:space="preserve">。无组织废气主要为本项目无组织排放源包括凿岩穿孔工序、爆破工序、集堆铲装工序、运输过程、临时堆土场、原矿堆场及破碎筛分工序未成功收集的废气，主要污染物为TSP。 </w:t>
      </w:r>
    </w:p>
    <w:p>
      <w:pPr>
        <w:pStyle w:val="276"/>
        <w:rPr>
          <w:rFonts w:eastAsiaTheme="minorEastAsia"/>
          <w:color w:val="auto"/>
        </w:rPr>
      </w:pPr>
      <w:r>
        <w:rPr>
          <w:rFonts w:eastAsiaTheme="minorEastAsia"/>
          <w:color w:val="auto"/>
        </w:rPr>
        <w:t xml:space="preserve">（2）废水污染分析 </w:t>
      </w:r>
    </w:p>
    <w:p>
      <w:pPr>
        <w:pStyle w:val="276"/>
        <w:rPr>
          <w:rFonts w:eastAsiaTheme="minorEastAsia"/>
          <w:color w:val="auto"/>
        </w:rPr>
      </w:pPr>
      <w:r>
        <w:rPr>
          <w:rFonts w:eastAsiaTheme="minorEastAsia"/>
          <w:color w:val="auto"/>
        </w:rPr>
        <w:t xml:space="preserve">凿岩钻孔过程中，需要用水来为钻机降温及抑尘；另外爆破、集堆铲装过程及临时堆土场和运输道路，也需洒水抑尘。本项目生产用水取自矿区汇水，不足部分由井水补充，生产抑尘或降尘用水，绝大多是蒸发消耗掉。本项目生活污水经防渗旱厕，定期清掏，外运堆肥。 </w:t>
      </w:r>
    </w:p>
    <w:p>
      <w:pPr>
        <w:pStyle w:val="276"/>
        <w:rPr>
          <w:rFonts w:eastAsiaTheme="minorEastAsia"/>
          <w:color w:val="auto"/>
        </w:rPr>
      </w:pPr>
      <w:r>
        <w:rPr>
          <w:rFonts w:eastAsiaTheme="minorEastAsia"/>
          <w:color w:val="auto"/>
        </w:rPr>
        <w:t xml:space="preserve">（3）噪声及振动污染源分析 </w:t>
      </w:r>
    </w:p>
    <w:p>
      <w:pPr>
        <w:pStyle w:val="276"/>
        <w:jc w:val="both"/>
        <w:rPr>
          <w:rFonts w:eastAsiaTheme="minorEastAsia"/>
          <w:color w:val="auto"/>
        </w:rPr>
      </w:pPr>
      <w:r>
        <w:rPr>
          <w:rFonts w:eastAsiaTheme="minorEastAsia"/>
          <w:color w:val="auto"/>
        </w:rPr>
        <w:t>本项目在采石过程、破碎筛分加工过程、水泵工作、铲装集堆及运输是产生噪声。采石过程产生的噪声主要为爆破噪声和凿岩机、潜孔钻机、空压机产生的设备噪声。爆破噪声特征为瞬时性，25m处噪声源强为120dB（A）。其他设备噪声源强约为85~102 dB（A）。破碎筛分设备主要为</w:t>
      </w:r>
      <w:r>
        <w:rPr>
          <w:rFonts w:hint="eastAsia" w:eastAsiaTheme="minorEastAsia"/>
          <w:color w:val="auto"/>
          <w:lang w:eastAsia="zh-CN"/>
        </w:rPr>
        <w:t>锤式</w:t>
      </w:r>
      <w:r>
        <w:rPr>
          <w:rFonts w:eastAsiaTheme="minorEastAsia"/>
          <w:color w:val="auto"/>
        </w:rPr>
        <w:t xml:space="preserve">破碎机、振动筛产生的噪声，噪声源强约为90~93dB（A）。水泵用于将矿区汇水汇于贮水池内，噪声源强约为80~85 dB（A）。剥离的土岩及爆破后的岩石用挖掘机、装载机、自卸车等设备进行铲装集运，铲装集运过程产生噪声源强为70~85dB（A），运输路线沿途经过噪声敏感点处产生噪声源强约为70dB（A）。 </w:t>
      </w:r>
    </w:p>
    <w:p>
      <w:pPr>
        <w:pStyle w:val="276"/>
        <w:rPr>
          <w:rFonts w:eastAsiaTheme="minorEastAsia"/>
          <w:color w:val="auto"/>
        </w:rPr>
      </w:pPr>
      <w:r>
        <w:rPr>
          <w:rFonts w:eastAsiaTheme="minorEastAsia"/>
          <w:color w:val="auto"/>
        </w:rPr>
        <w:t xml:space="preserve">（4）固体废物的污染分析 </w:t>
      </w:r>
    </w:p>
    <w:p>
      <w:pPr>
        <w:pStyle w:val="276"/>
        <w:rPr>
          <w:rFonts w:eastAsiaTheme="minorEastAsia"/>
          <w:color w:val="auto"/>
        </w:rPr>
      </w:pPr>
      <w:r>
        <w:rPr>
          <w:rFonts w:eastAsiaTheme="minorEastAsia"/>
          <w:color w:val="auto"/>
        </w:rPr>
        <w:t xml:space="preserve">本项目固体废物主要产生在剥离时的土岩、炸药包装物、职工生活垃圾、除尘器收集到的粉尘、筛分下来的石粉及设备废机油（HW08）。 </w:t>
      </w:r>
    </w:p>
    <w:p>
      <w:pPr>
        <w:pStyle w:val="276"/>
        <w:rPr>
          <w:rFonts w:eastAsiaTheme="minorEastAsia"/>
          <w:color w:val="auto"/>
        </w:rPr>
      </w:pPr>
      <w:r>
        <w:rPr>
          <w:rFonts w:eastAsiaTheme="minorEastAsia"/>
          <w:color w:val="auto"/>
        </w:rPr>
        <w:t xml:space="preserve">（5）生态环境分析 </w:t>
      </w:r>
    </w:p>
    <w:p>
      <w:pPr>
        <w:pStyle w:val="276"/>
        <w:rPr>
          <w:rFonts w:eastAsiaTheme="minorEastAsia"/>
          <w:color w:val="auto"/>
        </w:rPr>
      </w:pPr>
      <w:r>
        <w:rPr>
          <w:rFonts w:eastAsiaTheme="minorEastAsia"/>
          <w:color w:val="auto"/>
        </w:rPr>
        <w:t>本项目目前矿区地表植被主要以杨树及低矮灌木林地为主，地表绿色植被覆盖率较高，裸岩、裸地零星分布于矿区，存在一定水土流失，野生动物资源较为贫乏；在评价区内有大量的人为活动，主要为农业种植。</w:t>
      </w:r>
    </w:p>
    <w:p>
      <w:pPr>
        <w:pStyle w:val="276"/>
        <w:rPr>
          <w:rFonts w:eastAsiaTheme="minorEastAsia"/>
          <w:color w:val="auto"/>
        </w:rPr>
      </w:pPr>
      <w:r>
        <w:rPr>
          <w:rFonts w:eastAsiaTheme="minorEastAsia"/>
          <w:color w:val="auto"/>
        </w:rPr>
        <w:t xml:space="preserve">1）对动植物的影响 </w:t>
      </w:r>
    </w:p>
    <w:p>
      <w:pPr>
        <w:pStyle w:val="276"/>
        <w:rPr>
          <w:rFonts w:eastAsiaTheme="minorEastAsia"/>
          <w:color w:val="auto"/>
        </w:rPr>
      </w:pPr>
      <w:r>
        <w:rPr>
          <w:rFonts w:hint="eastAsia" w:eastAsiaTheme="minorEastAsia"/>
          <w:color w:val="auto"/>
          <w:lang w:eastAsia="zh-CN"/>
        </w:rPr>
        <w:t>项目区所占土地为采矿用地，目前基本已无植被覆盖，由于既有项目的建设对植被造成了一定生物量损失，本项目</w:t>
      </w:r>
      <w:r>
        <w:rPr>
          <w:rFonts w:eastAsiaTheme="minorEastAsia"/>
          <w:color w:val="auto"/>
        </w:rPr>
        <w:t>采矿结束后</w:t>
      </w:r>
      <w:r>
        <w:rPr>
          <w:rFonts w:hint="eastAsia" w:eastAsiaTheme="minorEastAsia"/>
          <w:color w:val="auto"/>
          <w:lang w:eastAsia="zh-CN"/>
        </w:rPr>
        <w:t>将</w:t>
      </w:r>
      <w:r>
        <w:rPr>
          <w:rFonts w:eastAsiaTheme="minorEastAsia"/>
          <w:color w:val="auto"/>
        </w:rPr>
        <w:t>进行植被恢复，对损失植被进行补偿，因此，本项目对植被影响很小</w:t>
      </w:r>
      <w:r>
        <w:rPr>
          <w:rFonts w:eastAsiaTheme="minorEastAsia"/>
          <w:color w:val="auto"/>
          <w:sz w:val="23"/>
          <w:szCs w:val="23"/>
        </w:rPr>
        <w:t>。</w:t>
      </w:r>
      <w:r>
        <w:rPr>
          <w:rFonts w:eastAsiaTheme="minorEastAsia"/>
          <w:color w:val="auto"/>
        </w:rPr>
        <w:t xml:space="preserve"> </w:t>
      </w:r>
    </w:p>
    <w:p>
      <w:pPr>
        <w:pStyle w:val="276"/>
        <w:rPr>
          <w:rFonts w:eastAsiaTheme="minorEastAsia"/>
          <w:color w:val="auto"/>
        </w:rPr>
      </w:pPr>
      <w:r>
        <w:rPr>
          <w:rFonts w:eastAsiaTheme="minorEastAsia"/>
          <w:color w:val="auto"/>
        </w:rPr>
        <w:t xml:space="preserve">项目所在区域无珍稀野生动植物资源，野生动物包括麻雀、老鼠及蜘蛛等常见昆虫。矿区开采将破坏鼠类、昆虫的生存环境，导致动物数量减少，采矿及爆破噪声影响鸟类的栖息和觅食。本项目运行过程中采取一定的降噪、减振措施，对鸟类的影响较小，采矿结束后进行植被恢复，动物的数量将很快得以恢复。 </w:t>
      </w:r>
    </w:p>
    <w:p>
      <w:pPr>
        <w:pStyle w:val="276"/>
        <w:rPr>
          <w:rFonts w:eastAsiaTheme="minorEastAsia"/>
          <w:color w:val="auto"/>
        </w:rPr>
      </w:pPr>
      <w:r>
        <w:rPr>
          <w:rFonts w:eastAsiaTheme="minorEastAsia"/>
          <w:color w:val="auto"/>
        </w:rPr>
        <w:t>2）对生物多样性的影响</w:t>
      </w:r>
    </w:p>
    <w:p>
      <w:pPr>
        <w:pStyle w:val="276"/>
        <w:rPr>
          <w:rFonts w:eastAsiaTheme="minorEastAsia"/>
          <w:color w:val="auto"/>
        </w:rPr>
      </w:pPr>
      <w:r>
        <w:rPr>
          <w:rFonts w:eastAsiaTheme="minorEastAsia"/>
          <w:color w:val="auto"/>
          <w:szCs w:val="24"/>
        </w:rPr>
        <w:t>项目区</w:t>
      </w:r>
      <w:r>
        <w:rPr>
          <w:rFonts w:hint="eastAsia" w:eastAsiaTheme="minorEastAsia"/>
          <w:color w:val="auto"/>
          <w:szCs w:val="24"/>
          <w:lang w:eastAsia="zh-CN"/>
        </w:rPr>
        <w:t>评价范围内</w:t>
      </w:r>
      <w:r>
        <w:rPr>
          <w:rFonts w:eastAsiaTheme="minorEastAsia"/>
          <w:color w:val="auto"/>
          <w:szCs w:val="24"/>
        </w:rPr>
        <w:t>土地利用现状为裸露岩石和林地，有林地为次生林。虽然破坏了原有植被，但是由于被破坏的植被物种均为评价区所在区域常见物种，该区域原有物种组成不会有很大的变化，因此本项目对所在区域的原有生物多样性和生态系统的稳定性影响不大。</w:t>
      </w:r>
      <w:r>
        <w:rPr>
          <w:rFonts w:eastAsiaTheme="minorEastAsia"/>
          <w:color w:val="auto"/>
        </w:rPr>
        <w:t xml:space="preserve"> </w:t>
      </w:r>
    </w:p>
    <w:p>
      <w:pPr>
        <w:pStyle w:val="276"/>
        <w:rPr>
          <w:rFonts w:eastAsiaTheme="minorEastAsia"/>
          <w:color w:val="auto"/>
        </w:rPr>
      </w:pPr>
      <w:r>
        <w:rPr>
          <w:rFonts w:eastAsiaTheme="minorEastAsia"/>
          <w:color w:val="auto"/>
        </w:rPr>
        <w:t xml:space="preserve">3）对自然景观的影响 </w:t>
      </w:r>
    </w:p>
    <w:p>
      <w:pPr>
        <w:pStyle w:val="276"/>
        <w:rPr>
          <w:rFonts w:eastAsiaTheme="minorEastAsia"/>
          <w:color w:val="auto"/>
        </w:rPr>
      </w:pPr>
      <w:r>
        <w:rPr>
          <w:rFonts w:eastAsiaTheme="minorEastAsia"/>
          <w:color w:val="auto"/>
          <w:szCs w:val="24"/>
        </w:rPr>
        <w:t>项目产生的景观变化主要分为两个方面：一是地貌形态由原来的山丘逐渐降低；二是</w:t>
      </w:r>
      <w:r>
        <w:rPr>
          <w:rFonts w:hint="eastAsia" w:eastAsiaTheme="minorEastAsia"/>
          <w:color w:val="auto"/>
          <w:szCs w:val="24"/>
          <w:lang w:eastAsia="zh-CN"/>
        </w:rPr>
        <w:t>随着开采的进行，采场上的林地消失（主要发生在既有项目开采过程中），逐渐</w:t>
      </w:r>
      <w:r>
        <w:rPr>
          <w:rFonts w:eastAsiaTheme="minorEastAsia"/>
          <w:color w:val="auto"/>
          <w:szCs w:val="24"/>
        </w:rPr>
        <w:t>变为采矿用地。采矿结束采取生态恢复措施后，评价区植被覆盖提高，改善当地自然景观</w:t>
      </w:r>
      <w:r>
        <w:rPr>
          <w:rFonts w:eastAsiaTheme="minorEastAsia"/>
          <w:color w:val="auto"/>
        </w:rPr>
        <w:t>。</w:t>
      </w:r>
    </w:p>
    <w:p>
      <w:pPr>
        <w:pStyle w:val="276"/>
        <w:rPr>
          <w:rFonts w:eastAsiaTheme="minorEastAsia"/>
          <w:color w:val="auto"/>
        </w:rPr>
      </w:pPr>
      <w:r>
        <w:rPr>
          <w:rFonts w:eastAsiaTheme="minorEastAsia"/>
          <w:color w:val="auto"/>
        </w:rPr>
        <w:t>4）水土流失</w:t>
      </w:r>
    </w:p>
    <w:p>
      <w:pPr>
        <w:pStyle w:val="276"/>
        <w:rPr>
          <w:rFonts w:eastAsiaTheme="minorEastAsia"/>
          <w:color w:val="auto"/>
        </w:rPr>
      </w:pPr>
      <w:r>
        <w:rPr>
          <w:rFonts w:eastAsiaTheme="minorEastAsia"/>
          <w:color w:val="auto"/>
        </w:rPr>
        <w:t>本项目新建截水沟、排水沟和沉淀贮水池，截排水沟和沉淀贮水池的开挖会扰动地表，扰动地貌，导致截排水沟和和沉淀贮水池处的植被遭到破坏，极易产生水土流失。临时堆土场设置挡土墙，成品料场设置拦渣坝。</w:t>
      </w:r>
    </w:p>
    <w:p>
      <w:pPr>
        <w:pStyle w:val="276"/>
        <w:rPr>
          <w:rFonts w:eastAsiaTheme="minorEastAsia"/>
          <w:color w:val="auto"/>
        </w:rPr>
      </w:pPr>
      <w:r>
        <w:rPr>
          <w:rFonts w:eastAsiaTheme="minorEastAsia"/>
          <w:color w:val="auto"/>
        </w:rPr>
        <w:t>（6）风险因素识别</w:t>
      </w:r>
    </w:p>
    <w:p>
      <w:pPr>
        <w:pStyle w:val="276"/>
        <w:rPr>
          <w:rFonts w:eastAsiaTheme="minorEastAsia"/>
          <w:color w:val="auto"/>
        </w:rPr>
      </w:pPr>
      <w:r>
        <w:rPr>
          <w:rFonts w:eastAsiaTheme="minorEastAsia"/>
          <w:color w:val="auto"/>
        </w:rPr>
        <w:t>根据经验和参照类似条件的生产矿山所发生的事故统计分析资料，对露天开采单元预先危险性分析如表3-3-4。</w:t>
      </w:r>
    </w:p>
    <w:p>
      <w:pPr>
        <w:pStyle w:val="244"/>
        <w:rPr>
          <w:rFonts w:eastAsiaTheme="minorEastAsia"/>
          <w:color w:val="auto"/>
        </w:rPr>
      </w:pPr>
      <w:r>
        <w:rPr>
          <w:rFonts w:eastAsiaTheme="minorEastAsia"/>
          <w:color w:val="auto"/>
        </w:rPr>
        <w:t>表3-3-4露天采矿预先危险性分析表</w:t>
      </w:r>
    </w:p>
    <w:tbl>
      <w:tblPr>
        <w:tblStyle w:val="53"/>
        <w:tblW w:w="9215" w:type="dxa"/>
        <w:tblInd w:w="-176"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568"/>
        <w:gridCol w:w="992"/>
        <w:gridCol w:w="851"/>
        <w:gridCol w:w="1026"/>
        <w:gridCol w:w="3651"/>
        <w:gridCol w:w="2127"/>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c>
          <w:tcPr>
            <w:tcW w:w="568" w:type="dxa"/>
            <w:vAlign w:val="center"/>
          </w:tcPr>
          <w:p>
            <w:pPr>
              <w:pStyle w:val="246"/>
              <w:rPr>
                <w:rFonts w:eastAsiaTheme="minorEastAsia"/>
                <w:color w:val="auto"/>
              </w:rPr>
            </w:pPr>
            <w:r>
              <w:rPr>
                <w:rFonts w:eastAsiaTheme="minorEastAsia"/>
                <w:color w:val="auto"/>
              </w:rPr>
              <w:t>序号</w:t>
            </w:r>
          </w:p>
        </w:tc>
        <w:tc>
          <w:tcPr>
            <w:tcW w:w="992" w:type="dxa"/>
            <w:vAlign w:val="center"/>
          </w:tcPr>
          <w:p>
            <w:pPr>
              <w:pStyle w:val="246"/>
              <w:rPr>
                <w:rFonts w:eastAsiaTheme="minorEastAsia"/>
                <w:color w:val="auto"/>
              </w:rPr>
            </w:pPr>
            <w:r>
              <w:rPr>
                <w:rFonts w:eastAsiaTheme="minorEastAsia"/>
                <w:color w:val="auto"/>
              </w:rPr>
              <w:t>风险源</w:t>
            </w:r>
          </w:p>
        </w:tc>
        <w:tc>
          <w:tcPr>
            <w:tcW w:w="851" w:type="dxa"/>
            <w:vAlign w:val="center"/>
          </w:tcPr>
          <w:p>
            <w:pPr>
              <w:pStyle w:val="246"/>
              <w:rPr>
                <w:rFonts w:eastAsiaTheme="minorEastAsia"/>
                <w:color w:val="auto"/>
              </w:rPr>
            </w:pPr>
            <w:r>
              <w:rPr>
                <w:rFonts w:eastAsiaTheme="minorEastAsia"/>
                <w:color w:val="auto"/>
              </w:rPr>
              <w:t>危险有害因素</w:t>
            </w:r>
          </w:p>
        </w:tc>
        <w:tc>
          <w:tcPr>
            <w:tcW w:w="1026" w:type="dxa"/>
            <w:vAlign w:val="center"/>
          </w:tcPr>
          <w:p>
            <w:pPr>
              <w:pStyle w:val="246"/>
              <w:rPr>
                <w:rFonts w:eastAsiaTheme="minorEastAsia"/>
                <w:color w:val="auto"/>
              </w:rPr>
            </w:pPr>
            <w:r>
              <w:rPr>
                <w:rFonts w:eastAsiaTheme="minorEastAsia"/>
                <w:color w:val="auto"/>
              </w:rPr>
              <w:t>位置</w:t>
            </w:r>
          </w:p>
        </w:tc>
        <w:tc>
          <w:tcPr>
            <w:tcW w:w="3651" w:type="dxa"/>
            <w:vAlign w:val="center"/>
          </w:tcPr>
          <w:p>
            <w:pPr>
              <w:pStyle w:val="246"/>
              <w:rPr>
                <w:rFonts w:eastAsiaTheme="minorEastAsia"/>
                <w:color w:val="auto"/>
              </w:rPr>
            </w:pPr>
            <w:r>
              <w:rPr>
                <w:rFonts w:eastAsiaTheme="minorEastAsia"/>
                <w:color w:val="auto"/>
              </w:rPr>
              <w:t>事故触发因子</w:t>
            </w:r>
          </w:p>
        </w:tc>
        <w:tc>
          <w:tcPr>
            <w:tcW w:w="2127" w:type="dxa"/>
            <w:vAlign w:val="center"/>
          </w:tcPr>
          <w:p>
            <w:pPr>
              <w:pStyle w:val="246"/>
              <w:rPr>
                <w:rFonts w:eastAsiaTheme="minorEastAsia"/>
                <w:color w:val="auto"/>
              </w:rPr>
            </w:pPr>
            <w:r>
              <w:rPr>
                <w:rFonts w:eastAsiaTheme="minorEastAsia"/>
                <w:color w:val="auto"/>
              </w:rPr>
              <w:t>危害后果</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c>
          <w:tcPr>
            <w:tcW w:w="568" w:type="dxa"/>
            <w:vMerge w:val="restart"/>
            <w:vAlign w:val="center"/>
          </w:tcPr>
          <w:p>
            <w:pPr>
              <w:pStyle w:val="246"/>
              <w:rPr>
                <w:rFonts w:eastAsiaTheme="minorEastAsia"/>
                <w:color w:val="auto"/>
              </w:rPr>
            </w:pPr>
            <w:r>
              <w:rPr>
                <w:rFonts w:eastAsiaTheme="minorEastAsia"/>
                <w:color w:val="auto"/>
              </w:rPr>
              <w:t>1</w:t>
            </w:r>
          </w:p>
        </w:tc>
        <w:tc>
          <w:tcPr>
            <w:tcW w:w="992" w:type="dxa"/>
            <w:vMerge w:val="restart"/>
            <w:vAlign w:val="center"/>
          </w:tcPr>
          <w:p>
            <w:pPr>
              <w:pStyle w:val="246"/>
              <w:rPr>
                <w:rFonts w:eastAsiaTheme="minorEastAsia"/>
                <w:color w:val="auto"/>
              </w:rPr>
            </w:pPr>
            <w:r>
              <w:rPr>
                <w:rFonts w:eastAsiaTheme="minorEastAsia"/>
                <w:color w:val="auto"/>
              </w:rPr>
              <w:t>采区</w:t>
            </w:r>
          </w:p>
        </w:tc>
        <w:tc>
          <w:tcPr>
            <w:tcW w:w="851" w:type="dxa"/>
            <w:vAlign w:val="center"/>
          </w:tcPr>
          <w:p>
            <w:pPr>
              <w:pStyle w:val="246"/>
              <w:rPr>
                <w:rFonts w:eastAsiaTheme="minorEastAsia"/>
                <w:color w:val="auto"/>
              </w:rPr>
            </w:pPr>
            <w:r>
              <w:rPr>
                <w:rFonts w:eastAsiaTheme="minorEastAsia"/>
                <w:color w:val="auto"/>
              </w:rPr>
              <w:t>岩体片帮事故</w:t>
            </w:r>
          </w:p>
        </w:tc>
        <w:tc>
          <w:tcPr>
            <w:tcW w:w="1026" w:type="dxa"/>
            <w:vAlign w:val="center"/>
          </w:tcPr>
          <w:p>
            <w:pPr>
              <w:pStyle w:val="246"/>
              <w:rPr>
                <w:rFonts w:eastAsiaTheme="minorEastAsia"/>
                <w:color w:val="auto"/>
              </w:rPr>
            </w:pPr>
            <w:r>
              <w:rPr>
                <w:rFonts w:eastAsiaTheme="minorEastAsia"/>
                <w:color w:val="auto"/>
              </w:rPr>
              <w:t>采场</w:t>
            </w:r>
          </w:p>
        </w:tc>
        <w:tc>
          <w:tcPr>
            <w:tcW w:w="3651" w:type="dxa"/>
            <w:vAlign w:val="center"/>
          </w:tcPr>
          <w:p>
            <w:pPr>
              <w:pStyle w:val="246"/>
              <w:rPr>
                <w:rFonts w:eastAsiaTheme="minorEastAsia"/>
                <w:color w:val="auto"/>
              </w:rPr>
            </w:pPr>
            <w:r>
              <w:rPr>
                <w:rFonts w:eastAsiaTheme="minorEastAsia"/>
                <w:color w:val="auto"/>
              </w:rPr>
              <w:t xml:space="preserve">1.采矿方法不合理导致矿区暴露面积大；2.矿设计不合理或未按设计开采； </w:t>
            </w:r>
          </w:p>
        </w:tc>
        <w:tc>
          <w:tcPr>
            <w:tcW w:w="2127" w:type="dxa"/>
            <w:vAlign w:val="center"/>
          </w:tcPr>
          <w:p>
            <w:pPr>
              <w:pStyle w:val="246"/>
              <w:rPr>
                <w:rFonts w:eastAsiaTheme="minorEastAsia"/>
                <w:color w:val="auto"/>
              </w:rPr>
            </w:pPr>
            <w:r>
              <w:rPr>
                <w:rFonts w:eastAsiaTheme="minorEastAsia"/>
                <w:color w:val="auto"/>
              </w:rPr>
              <w:t>人员伤亡、财产受损、影响生产</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c>
          <w:tcPr>
            <w:tcW w:w="568" w:type="dxa"/>
            <w:vMerge w:val="continue"/>
            <w:vAlign w:val="center"/>
          </w:tcPr>
          <w:p>
            <w:pPr>
              <w:pStyle w:val="246"/>
              <w:rPr>
                <w:rFonts w:eastAsiaTheme="minorEastAsia"/>
                <w:color w:val="auto"/>
              </w:rPr>
            </w:pPr>
          </w:p>
        </w:tc>
        <w:tc>
          <w:tcPr>
            <w:tcW w:w="992" w:type="dxa"/>
            <w:vMerge w:val="continue"/>
            <w:vAlign w:val="center"/>
          </w:tcPr>
          <w:p>
            <w:pPr>
              <w:pStyle w:val="246"/>
              <w:rPr>
                <w:rFonts w:eastAsiaTheme="minorEastAsia"/>
                <w:color w:val="auto"/>
              </w:rPr>
            </w:pPr>
          </w:p>
        </w:tc>
        <w:tc>
          <w:tcPr>
            <w:tcW w:w="851" w:type="dxa"/>
            <w:vAlign w:val="center"/>
          </w:tcPr>
          <w:p>
            <w:pPr>
              <w:pStyle w:val="246"/>
              <w:rPr>
                <w:rFonts w:eastAsiaTheme="minorEastAsia"/>
                <w:color w:val="auto"/>
              </w:rPr>
            </w:pPr>
            <w:r>
              <w:rPr>
                <w:rFonts w:eastAsiaTheme="minorEastAsia"/>
                <w:color w:val="auto"/>
              </w:rPr>
              <w:t>边坡不稳</w:t>
            </w:r>
          </w:p>
        </w:tc>
        <w:tc>
          <w:tcPr>
            <w:tcW w:w="1026" w:type="dxa"/>
            <w:vAlign w:val="center"/>
          </w:tcPr>
          <w:p>
            <w:pPr>
              <w:pStyle w:val="246"/>
              <w:rPr>
                <w:rFonts w:eastAsiaTheme="minorEastAsia"/>
                <w:color w:val="auto"/>
              </w:rPr>
            </w:pPr>
            <w:r>
              <w:rPr>
                <w:rFonts w:eastAsiaTheme="minorEastAsia"/>
                <w:color w:val="auto"/>
              </w:rPr>
              <w:t>采场</w:t>
            </w:r>
          </w:p>
        </w:tc>
        <w:tc>
          <w:tcPr>
            <w:tcW w:w="3651" w:type="dxa"/>
            <w:vAlign w:val="center"/>
          </w:tcPr>
          <w:p>
            <w:pPr>
              <w:pStyle w:val="246"/>
              <w:rPr>
                <w:rFonts w:eastAsiaTheme="minorEastAsia"/>
                <w:color w:val="auto"/>
              </w:rPr>
            </w:pPr>
            <w:r>
              <w:rPr>
                <w:rFonts w:eastAsiaTheme="minorEastAsia"/>
                <w:color w:val="auto"/>
              </w:rPr>
              <w:t xml:space="preserve">1、边坡岩石不稳固；2、采矿工艺不合理； </w:t>
            </w:r>
          </w:p>
        </w:tc>
        <w:tc>
          <w:tcPr>
            <w:tcW w:w="2127" w:type="dxa"/>
            <w:vAlign w:val="center"/>
          </w:tcPr>
          <w:p>
            <w:pPr>
              <w:pStyle w:val="246"/>
              <w:rPr>
                <w:rFonts w:eastAsiaTheme="minorEastAsia"/>
                <w:color w:val="auto"/>
              </w:rPr>
            </w:pPr>
            <w:r>
              <w:rPr>
                <w:rFonts w:eastAsiaTheme="minorEastAsia"/>
                <w:color w:val="auto"/>
              </w:rPr>
              <w:t>人员伤亡，设备设施受损、影响生产</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784" w:hRule="atLeast"/>
        </w:trPr>
        <w:tc>
          <w:tcPr>
            <w:tcW w:w="568" w:type="dxa"/>
            <w:vAlign w:val="center"/>
          </w:tcPr>
          <w:p>
            <w:pPr>
              <w:pStyle w:val="246"/>
              <w:rPr>
                <w:rFonts w:eastAsiaTheme="minorEastAsia"/>
                <w:color w:val="auto"/>
              </w:rPr>
            </w:pPr>
            <w:r>
              <w:rPr>
                <w:rFonts w:eastAsiaTheme="minorEastAsia"/>
                <w:color w:val="auto"/>
              </w:rPr>
              <w:t>2</w:t>
            </w:r>
          </w:p>
        </w:tc>
        <w:tc>
          <w:tcPr>
            <w:tcW w:w="992" w:type="dxa"/>
            <w:vAlign w:val="center"/>
          </w:tcPr>
          <w:p>
            <w:pPr>
              <w:pStyle w:val="246"/>
              <w:rPr>
                <w:rFonts w:eastAsiaTheme="minorEastAsia"/>
                <w:color w:val="auto"/>
              </w:rPr>
            </w:pPr>
            <w:r>
              <w:rPr>
                <w:rFonts w:eastAsiaTheme="minorEastAsia"/>
                <w:color w:val="auto"/>
              </w:rPr>
              <w:t>临时堆土场</w:t>
            </w:r>
          </w:p>
        </w:tc>
        <w:tc>
          <w:tcPr>
            <w:tcW w:w="851" w:type="dxa"/>
            <w:vAlign w:val="center"/>
          </w:tcPr>
          <w:p>
            <w:pPr>
              <w:pStyle w:val="246"/>
              <w:rPr>
                <w:rFonts w:eastAsiaTheme="minorEastAsia"/>
                <w:color w:val="auto"/>
              </w:rPr>
            </w:pPr>
            <w:r>
              <w:rPr>
                <w:rFonts w:eastAsiaTheme="minorEastAsia"/>
                <w:color w:val="auto"/>
              </w:rPr>
              <w:t>坝体坍塌、滑坡</w:t>
            </w:r>
          </w:p>
        </w:tc>
        <w:tc>
          <w:tcPr>
            <w:tcW w:w="1026" w:type="dxa"/>
            <w:vAlign w:val="center"/>
          </w:tcPr>
          <w:p>
            <w:pPr>
              <w:pStyle w:val="246"/>
              <w:rPr>
                <w:rFonts w:eastAsiaTheme="minorEastAsia"/>
                <w:color w:val="auto"/>
              </w:rPr>
            </w:pPr>
            <w:r>
              <w:rPr>
                <w:rFonts w:eastAsiaTheme="minorEastAsia"/>
                <w:color w:val="auto"/>
              </w:rPr>
              <w:t>临时堆土场</w:t>
            </w:r>
          </w:p>
        </w:tc>
        <w:tc>
          <w:tcPr>
            <w:tcW w:w="3651" w:type="dxa"/>
            <w:vAlign w:val="center"/>
          </w:tcPr>
          <w:p>
            <w:pPr>
              <w:pStyle w:val="246"/>
              <w:rPr>
                <w:rFonts w:eastAsiaTheme="minorEastAsia"/>
                <w:color w:val="auto"/>
              </w:rPr>
            </w:pPr>
            <w:r>
              <w:rPr>
                <w:rFonts w:eastAsiaTheme="minorEastAsia"/>
                <w:color w:val="auto"/>
              </w:rPr>
              <w:t>1.土堆坡角度设计不当； 2.监测、管理措施不当</w:t>
            </w:r>
          </w:p>
        </w:tc>
        <w:tc>
          <w:tcPr>
            <w:tcW w:w="2127" w:type="dxa"/>
            <w:vAlign w:val="center"/>
          </w:tcPr>
          <w:p>
            <w:pPr>
              <w:pStyle w:val="246"/>
              <w:rPr>
                <w:rFonts w:eastAsiaTheme="minorEastAsia"/>
                <w:color w:val="auto"/>
              </w:rPr>
            </w:pPr>
            <w:r>
              <w:rPr>
                <w:rFonts w:eastAsiaTheme="minorEastAsia"/>
                <w:color w:val="auto"/>
              </w:rPr>
              <w:t>坝体坍塌、发生泥石流，破坏周围生态环境</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784" w:hRule="atLeast"/>
        </w:trPr>
        <w:tc>
          <w:tcPr>
            <w:tcW w:w="568" w:type="dxa"/>
            <w:vAlign w:val="center"/>
          </w:tcPr>
          <w:p>
            <w:pPr>
              <w:pStyle w:val="246"/>
              <w:rPr>
                <w:rFonts w:eastAsiaTheme="minorEastAsia"/>
                <w:color w:val="auto"/>
              </w:rPr>
            </w:pPr>
            <w:r>
              <w:rPr>
                <w:rFonts w:eastAsiaTheme="minorEastAsia"/>
                <w:color w:val="auto"/>
              </w:rPr>
              <w:t>3</w:t>
            </w:r>
          </w:p>
        </w:tc>
        <w:tc>
          <w:tcPr>
            <w:tcW w:w="992" w:type="dxa"/>
            <w:vAlign w:val="center"/>
          </w:tcPr>
          <w:p>
            <w:pPr>
              <w:pStyle w:val="246"/>
              <w:rPr>
                <w:rFonts w:eastAsiaTheme="minorEastAsia"/>
                <w:color w:val="auto"/>
              </w:rPr>
            </w:pPr>
            <w:r>
              <w:rPr>
                <w:rFonts w:eastAsiaTheme="minorEastAsia"/>
                <w:color w:val="auto"/>
              </w:rPr>
              <w:t>矿区使用炸药</w:t>
            </w:r>
          </w:p>
        </w:tc>
        <w:tc>
          <w:tcPr>
            <w:tcW w:w="851" w:type="dxa"/>
            <w:vAlign w:val="center"/>
          </w:tcPr>
          <w:p>
            <w:pPr>
              <w:pStyle w:val="246"/>
              <w:rPr>
                <w:rFonts w:eastAsiaTheme="minorEastAsia"/>
                <w:color w:val="auto"/>
              </w:rPr>
            </w:pPr>
            <w:r>
              <w:rPr>
                <w:rFonts w:eastAsiaTheme="minorEastAsia"/>
                <w:color w:val="auto"/>
              </w:rPr>
              <w:t>爆炸危害</w:t>
            </w:r>
          </w:p>
        </w:tc>
        <w:tc>
          <w:tcPr>
            <w:tcW w:w="1026" w:type="dxa"/>
            <w:vAlign w:val="center"/>
          </w:tcPr>
          <w:p>
            <w:pPr>
              <w:pStyle w:val="246"/>
              <w:rPr>
                <w:rFonts w:eastAsiaTheme="minorEastAsia"/>
                <w:color w:val="auto"/>
              </w:rPr>
            </w:pPr>
            <w:r>
              <w:rPr>
                <w:rFonts w:eastAsiaTheme="minorEastAsia"/>
                <w:color w:val="auto"/>
              </w:rPr>
              <w:t>采场、爆破器材发放及运送路线</w:t>
            </w:r>
          </w:p>
        </w:tc>
        <w:tc>
          <w:tcPr>
            <w:tcW w:w="3651" w:type="dxa"/>
            <w:vAlign w:val="center"/>
          </w:tcPr>
          <w:p>
            <w:pPr>
              <w:pStyle w:val="246"/>
              <w:rPr>
                <w:rFonts w:eastAsiaTheme="minorEastAsia"/>
                <w:color w:val="auto"/>
              </w:rPr>
            </w:pPr>
            <w:r>
              <w:rPr>
                <w:rFonts w:eastAsiaTheme="minorEastAsia"/>
                <w:color w:val="auto"/>
              </w:rPr>
              <w:t>1炸药及引爆材料不合格；2.违章运输，存放、使用（包括违章装药、起爆、处理盲炮、哑炮等）或突发意外接触明火、高温、强烈磨擦等；3.爆破后爆堆混入有雷管、炸药等；4.爆破设计不合理；5.违章管理爆破材料，违章爆破作业，打残眼等</w:t>
            </w:r>
          </w:p>
        </w:tc>
        <w:tc>
          <w:tcPr>
            <w:tcW w:w="2127" w:type="dxa"/>
            <w:vAlign w:val="center"/>
          </w:tcPr>
          <w:p>
            <w:pPr>
              <w:pStyle w:val="246"/>
              <w:rPr>
                <w:rFonts w:eastAsiaTheme="minorEastAsia"/>
                <w:color w:val="auto"/>
              </w:rPr>
            </w:pPr>
            <w:r>
              <w:rPr>
                <w:rFonts w:eastAsiaTheme="minorEastAsia"/>
                <w:color w:val="auto"/>
              </w:rPr>
              <w:t>人员伤亡</w:t>
            </w:r>
          </w:p>
          <w:p>
            <w:pPr>
              <w:pStyle w:val="246"/>
              <w:rPr>
                <w:rFonts w:eastAsiaTheme="minorEastAsia"/>
                <w:color w:val="auto"/>
              </w:rPr>
            </w:pPr>
            <w:r>
              <w:rPr>
                <w:rFonts w:eastAsiaTheme="minorEastAsia"/>
                <w:color w:val="auto"/>
              </w:rPr>
              <w:t>设备受损</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784" w:hRule="atLeast"/>
        </w:trPr>
        <w:tc>
          <w:tcPr>
            <w:tcW w:w="568" w:type="dxa"/>
            <w:vAlign w:val="center"/>
          </w:tcPr>
          <w:p>
            <w:pPr>
              <w:pStyle w:val="246"/>
              <w:rPr>
                <w:rFonts w:eastAsiaTheme="minorEastAsia"/>
                <w:color w:val="auto"/>
              </w:rPr>
            </w:pPr>
            <w:r>
              <w:rPr>
                <w:rFonts w:eastAsiaTheme="minorEastAsia"/>
                <w:color w:val="auto"/>
              </w:rPr>
              <w:t>4</w:t>
            </w:r>
          </w:p>
        </w:tc>
        <w:tc>
          <w:tcPr>
            <w:tcW w:w="992" w:type="dxa"/>
            <w:vAlign w:val="center"/>
          </w:tcPr>
          <w:p>
            <w:pPr>
              <w:pStyle w:val="246"/>
              <w:rPr>
                <w:rFonts w:eastAsiaTheme="minorEastAsia"/>
                <w:color w:val="auto"/>
              </w:rPr>
            </w:pPr>
            <w:r>
              <w:rPr>
                <w:rFonts w:eastAsiaTheme="minorEastAsia"/>
                <w:color w:val="auto"/>
              </w:rPr>
              <w:t>危废暂存间</w:t>
            </w:r>
          </w:p>
        </w:tc>
        <w:tc>
          <w:tcPr>
            <w:tcW w:w="851" w:type="dxa"/>
            <w:vAlign w:val="center"/>
          </w:tcPr>
          <w:p>
            <w:pPr>
              <w:pStyle w:val="246"/>
              <w:rPr>
                <w:rFonts w:eastAsiaTheme="minorEastAsia"/>
                <w:color w:val="auto"/>
              </w:rPr>
            </w:pPr>
            <w:r>
              <w:rPr>
                <w:rFonts w:eastAsiaTheme="minorEastAsia"/>
                <w:color w:val="auto"/>
              </w:rPr>
              <w:t>废机油泄漏</w:t>
            </w:r>
          </w:p>
        </w:tc>
        <w:tc>
          <w:tcPr>
            <w:tcW w:w="1026" w:type="dxa"/>
            <w:vAlign w:val="center"/>
          </w:tcPr>
          <w:p>
            <w:pPr>
              <w:pStyle w:val="246"/>
              <w:rPr>
                <w:rFonts w:eastAsiaTheme="minorEastAsia"/>
                <w:color w:val="auto"/>
              </w:rPr>
            </w:pPr>
            <w:r>
              <w:rPr>
                <w:rFonts w:eastAsiaTheme="minorEastAsia"/>
                <w:color w:val="auto"/>
              </w:rPr>
              <w:t>危废暂存间</w:t>
            </w:r>
          </w:p>
        </w:tc>
        <w:tc>
          <w:tcPr>
            <w:tcW w:w="3651" w:type="dxa"/>
            <w:vAlign w:val="center"/>
          </w:tcPr>
          <w:p>
            <w:pPr>
              <w:pStyle w:val="55"/>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 xml:space="preserve">废机油存储设施老化，发生废机油泄漏，对环境造成污染 </w:t>
            </w:r>
          </w:p>
        </w:tc>
        <w:tc>
          <w:tcPr>
            <w:tcW w:w="2127" w:type="dxa"/>
            <w:vAlign w:val="center"/>
          </w:tcPr>
          <w:p>
            <w:pPr>
              <w:pStyle w:val="55"/>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 xml:space="preserve">污染土壤及地下水、危害人体健康 </w:t>
            </w:r>
          </w:p>
        </w:tc>
      </w:tr>
    </w:tbl>
    <w:p>
      <w:pPr>
        <w:pStyle w:val="276"/>
        <w:rPr>
          <w:rFonts w:eastAsiaTheme="minorEastAsia"/>
          <w:color w:val="auto"/>
        </w:rPr>
      </w:pPr>
      <w:r>
        <w:rPr>
          <w:rFonts w:eastAsiaTheme="minorEastAsia"/>
          <w:color w:val="auto"/>
        </w:rPr>
        <w:t>根据项目的实际情况，通过对项目的危险因素进行识别和分析，可以确定本项目的最大可信事故为：</w:t>
      </w:r>
    </w:p>
    <w:p>
      <w:pPr>
        <w:pStyle w:val="276"/>
        <w:rPr>
          <w:rFonts w:eastAsiaTheme="minorEastAsia"/>
          <w:color w:val="auto"/>
        </w:rPr>
      </w:pPr>
      <w:r>
        <w:rPr>
          <w:rFonts w:eastAsiaTheme="minorEastAsia"/>
          <w:color w:val="auto"/>
        </w:rPr>
        <w:t>（1）岩体坍塌风险</w:t>
      </w:r>
    </w:p>
    <w:p>
      <w:pPr>
        <w:pStyle w:val="276"/>
        <w:rPr>
          <w:rFonts w:eastAsiaTheme="minorEastAsia"/>
          <w:color w:val="auto"/>
        </w:rPr>
      </w:pPr>
      <w:r>
        <w:rPr>
          <w:rFonts w:eastAsiaTheme="minorEastAsia"/>
          <w:color w:val="auto"/>
        </w:rPr>
        <w:t>矿区露天开采体积达到一定的数量时，又没有及时处理时，可能发生开采区的垮塌、片帮落石坍塌、边坡不稳等事故。</w:t>
      </w:r>
    </w:p>
    <w:p>
      <w:pPr>
        <w:pStyle w:val="276"/>
        <w:rPr>
          <w:rFonts w:eastAsiaTheme="minorEastAsia"/>
          <w:color w:val="auto"/>
        </w:rPr>
      </w:pPr>
      <w:r>
        <w:rPr>
          <w:rFonts w:eastAsiaTheme="minorEastAsia"/>
          <w:color w:val="auto"/>
        </w:rPr>
        <w:t>（2）临时堆土场产生崩塌、滑坡、泥石流等地质灾害</w:t>
      </w:r>
    </w:p>
    <w:p>
      <w:pPr>
        <w:pStyle w:val="276"/>
        <w:rPr>
          <w:rFonts w:eastAsiaTheme="minorEastAsia"/>
          <w:color w:val="auto"/>
        </w:rPr>
      </w:pPr>
      <w:r>
        <w:rPr>
          <w:rFonts w:eastAsiaTheme="minorEastAsia"/>
          <w:color w:val="auto"/>
        </w:rPr>
        <w:t>在土岩堆积过程中，在雨水特别是强降水的冲刷作用下，就会发生水土侵蚀现象，若边坡不稳，有可能发生局部滑坡危险。</w:t>
      </w:r>
    </w:p>
    <w:p>
      <w:pPr>
        <w:pStyle w:val="276"/>
        <w:rPr>
          <w:rFonts w:eastAsiaTheme="minorEastAsia"/>
          <w:color w:val="auto"/>
        </w:rPr>
      </w:pPr>
      <w:r>
        <w:rPr>
          <w:rFonts w:eastAsiaTheme="minorEastAsia"/>
          <w:color w:val="auto"/>
        </w:rPr>
        <w:t>（3）炸药爆炸风险</w:t>
      </w:r>
    </w:p>
    <w:p>
      <w:pPr>
        <w:pStyle w:val="276"/>
        <w:rPr>
          <w:rFonts w:eastAsiaTheme="minorEastAsia"/>
          <w:color w:val="auto"/>
        </w:rPr>
      </w:pPr>
      <w:r>
        <w:rPr>
          <w:rFonts w:eastAsiaTheme="minorEastAsia"/>
          <w:color w:val="auto"/>
        </w:rPr>
        <w:t>矿区生产过程中，所使用的雷管、炸药均为高风险物料，所进行的爆破工作为高风险作业。炸药和雷管在运输、储存、加工和使用过程中，都有可能因遇非正常起爆能（如各种热能、机械能等）而引起爆炸或正常爆破方法不当或爆破器材质量差造成爆破事故，伤及生命和造成财产损失。</w:t>
      </w:r>
    </w:p>
    <w:p>
      <w:pPr>
        <w:pStyle w:val="276"/>
        <w:rPr>
          <w:rFonts w:eastAsiaTheme="minorEastAsia"/>
          <w:color w:val="auto"/>
        </w:rPr>
      </w:pPr>
      <w:r>
        <w:rPr>
          <w:rFonts w:eastAsiaTheme="minorEastAsia"/>
          <w:color w:val="auto"/>
        </w:rPr>
        <w:t>（4）废机油泄漏</w:t>
      </w:r>
    </w:p>
    <w:p>
      <w:pPr>
        <w:pStyle w:val="276"/>
        <w:rPr>
          <w:rFonts w:eastAsiaTheme="minorEastAsia"/>
          <w:color w:val="auto"/>
        </w:rPr>
      </w:pPr>
      <w:r>
        <w:rPr>
          <w:rFonts w:eastAsiaTheme="minorEastAsia"/>
          <w:color w:val="auto"/>
        </w:rPr>
        <w:t>本项目废机油存储设施老化破损，发生废机油泄漏，会对污染土壤及地下水产生污染，进而危害人体健康。</w:t>
      </w:r>
    </w:p>
    <w:p>
      <w:pPr>
        <w:pStyle w:val="242"/>
        <w:rPr>
          <w:rFonts w:ascii="Times New Roman" w:hAnsi="Times New Roman" w:cs="Times New Roman" w:eastAsiaTheme="minorEastAsia"/>
          <w:color w:val="auto"/>
        </w:rPr>
      </w:pPr>
      <w:r>
        <w:rPr>
          <w:rFonts w:ascii="Times New Roman" w:hAnsi="Times New Roman" w:cs="Times New Roman" w:eastAsiaTheme="minorEastAsia"/>
          <w:color w:val="auto"/>
        </w:rPr>
        <w:t>3.3.2.3污染源强核算</w:t>
      </w:r>
    </w:p>
    <w:p>
      <w:pPr>
        <w:pStyle w:val="276"/>
        <w:rPr>
          <w:rFonts w:eastAsiaTheme="minorEastAsia"/>
          <w:color w:val="auto"/>
        </w:rPr>
      </w:pPr>
      <w:bookmarkStart w:id="118" w:name="_Toc440973718"/>
      <w:bookmarkStart w:id="119" w:name="_Toc440973452"/>
      <w:bookmarkStart w:id="120" w:name="_Toc440973082"/>
      <w:r>
        <w:rPr>
          <w:rFonts w:eastAsiaTheme="minorEastAsia"/>
          <w:color w:val="auto"/>
        </w:rPr>
        <w:t>（1）大气污染物</w:t>
      </w:r>
    </w:p>
    <w:p>
      <w:pPr>
        <w:pStyle w:val="276"/>
        <w:rPr>
          <w:rFonts w:eastAsiaTheme="minorEastAsia"/>
          <w:color w:val="auto"/>
        </w:rPr>
      </w:pPr>
      <w:r>
        <w:rPr>
          <w:rFonts w:eastAsiaTheme="minorEastAsia"/>
          <w:color w:val="auto"/>
        </w:rPr>
        <w:t xml:space="preserve">本项目产生环节主要为凿岩钻孔、爆破、破碎筛分、集堆铲装、临时堆土场、运输过程，排放方式分为有组织和无组织。 </w:t>
      </w:r>
    </w:p>
    <w:p>
      <w:pPr>
        <w:pStyle w:val="276"/>
        <w:rPr>
          <w:rFonts w:eastAsiaTheme="minorEastAsia"/>
          <w:color w:val="auto"/>
        </w:rPr>
      </w:pPr>
      <w:r>
        <w:rPr>
          <w:rFonts w:eastAsiaTheme="minorEastAsia"/>
          <w:color w:val="auto"/>
        </w:rPr>
        <w:t>1）有组织源强</w:t>
      </w:r>
    </w:p>
    <w:p>
      <w:pPr>
        <w:pStyle w:val="276"/>
        <w:rPr>
          <w:rFonts w:eastAsiaTheme="minorEastAsia"/>
          <w:color w:val="auto"/>
        </w:rPr>
      </w:pPr>
      <w:r>
        <w:rPr>
          <w:rFonts w:eastAsiaTheme="minorEastAsia"/>
          <w:color w:val="auto"/>
        </w:rPr>
        <w:t>本项目有组织排放源包括破碎</w:t>
      </w:r>
      <w:r>
        <w:rPr>
          <w:rFonts w:hint="eastAsia" w:eastAsiaTheme="minorEastAsia"/>
          <w:color w:val="auto"/>
          <w:lang w:eastAsia="zh-CN"/>
        </w:rPr>
        <w:t>、</w:t>
      </w:r>
      <w:r>
        <w:rPr>
          <w:rFonts w:eastAsiaTheme="minorEastAsia"/>
          <w:color w:val="auto"/>
        </w:rPr>
        <w:t>筛分设备排气筒。破碎筛分过程会有大量粉尘产生，本项目破碎筛分设备的粉尘源强类比</w:t>
      </w:r>
      <w:r>
        <w:rPr>
          <w:rFonts w:hint="eastAsia" w:eastAsiaTheme="minorEastAsia"/>
          <w:color w:val="auto"/>
          <w:lang w:eastAsia="zh-CN"/>
        </w:rPr>
        <w:t>《</w:t>
      </w:r>
      <w:r>
        <w:rPr>
          <w:rFonts w:hint="eastAsia" w:eastAsiaTheme="minorEastAsia"/>
          <w:color w:val="auto"/>
        </w:rPr>
        <w:t>哈尔滨市阿城区兴泉采石有限公司30</w:t>
      </w:r>
      <w:r>
        <w:rPr>
          <w:rFonts w:hint="eastAsia" w:eastAsiaTheme="minorEastAsia"/>
          <w:color w:val="auto"/>
          <w:lang w:eastAsia="zh-CN"/>
        </w:rPr>
        <w:t>万</w:t>
      </w:r>
      <w:r>
        <w:rPr>
          <w:rFonts w:hint="eastAsia" w:eastAsiaTheme="minorEastAsia"/>
          <w:color w:val="auto"/>
        </w:rPr>
        <w:t>立方米/年碎石开采加工项目竣工环境保护验收调查报告》</w:t>
      </w:r>
      <w:r>
        <w:rPr>
          <w:rFonts w:hint="eastAsia" w:eastAsiaTheme="minorEastAsia"/>
          <w:color w:val="auto"/>
          <w:lang w:eastAsia="zh-CN"/>
        </w:rPr>
        <w:t>中的监测数据</w:t>
      </w:r>
      <w:r>
        <w:rPr>
          <w:rFonts w:hint="eastAsia" w:eastAsiaTheme="minorEastAsia"/>
          <w:color w:val="auto"/>
        </w:rPr>
        <w:t>，运行工况为100%满负荷运行，</w:t>
      </w:r>
      <w:r>
        <w:rPr>
          <w:rFonts w:hint="eastAsia" w:eastAsiaTheme="minorEastAsia"/>
          <w:color w:val="auto"/>
          <w:lang w:eastAsia="zh-CN"/>
        </w:rPr>
        <w:t>开采建筑用碎石</w:t>
      </w:r>
      <w:r>
        <w:rPr>
          <w:rFonts w:hint="eastAsia" w:eastAsiaTheme="minorEastAsia"/>
          <w:color w:val="auto"/>
          <w:lang w:val="en-US" w:eastAsia="zh-CN"/>
        </w:rPr>
        <w:t>456.25m</w:t>
      </w:r>
      <w:r>
        <w:rPr>
          <w:rFonts w:hint="eastAsia" w:eastAsiaTheme="minorEastAsia"/>
          <w:color w:val="auto"/>
          <w:vertAlign w:val="superscript"/>
          <w:lang w:val="en-US" w:eastAsia="zh-CN"/>
        </w:rPr>
        <w:t>3</w:t>
      </w:r>
      <w:r>
        <w:rPr>
          <w:rFonts w:hint="eastAsia" w:eastAsiaTheme="minorEastAsia"/>
          <w:color w:val="auto"/>
          <w:lang w:val="en-US" w:eastAsia="zh-CN"/>
        </w:rPr>
        <w:t>/h</w:t>
      </w:r>
      <w:r>
        <w:rPr>
          <w:rFonts w:hint="eastAsia" w:eastAsiaTheme="minorEastAsia"/>
          <w:color w:val="auto"/>
          <w:lang w:eastAsia="zh-CN"/>
        </w:rPr>
        <w:t>，破碎及筛分工艺采用布袋除尘器，本项目开采建筑用碎石</w:t>
      </w:r>
      <w:r>
        <w:rPr>
          <w:rFonts w:hint="eastAsia" w:eastAsiaTheme="minorEastAsia"/>
          <w:color w:val="auto"/>
          <w:lang w:val="en-US" w:eastAsia="zh-CN"/>
        </w:rPr>
        <w:t>11.36m</w:t>
      </w:r>
      <w:r>
        <w:rPr>
          <w:rFonts w:hint="eastAsia" w:eastAsiaTheme="minorEastAsia"/>
          <w:color w:val="auto"/>
          <w:vertAlign w:val="superscript"/>
          <w:lang w:val="en-US" w:eastAsia="zh-CN"/>
        </w:rPr>
        <w:t>3</w:t>
      </w:r>
      <w:r>
        <w:rPr>
          <w:rFonts w:hint="eastAsia" w:eastAsiaTheme="minorEastAsia"/>
          <w:color w:val="auto"/>
          <w:lang w:val="en-US" w:eastAsia="zh-CN"/>
        </w:rPr>
        <w:t>/h</w:t>
      </w:r>
      <w:r>
        <w:rPr>
          <w:rFonts w:hint="eastAsia" w:eastAsiaTheme="minorEastAsia"/>
          <w:color w:val="auto"/>
          <w:lang w:eastAsia="zh-CN"/>
        </w:rPr>
        <w:t>，生产工艺与类比项目相同，生产设备相近，破碎及筛分工序采用布袋除尘器，类比其污染物产生量，本项目污染物</w:t>
      </w:r>
      <w:r>
        <w:rPr>
          <w:rFonts w:eastAsiaTheme="minorEastAsia"/>
          <w:color w:val="auto"/>
        </w:rPr>
        <w:t>源强排放见表3-4-1。</w:t>
      </w:r>
    </w:p>
    <w:p>
      <w:pPr>
        <w:pStyle w:val="276"/>
        <w:jc w:val="center"/>
        <w:rPr>
          <w:rFonts w:eastAsiaTheme="minorEastAsia"/>
          <w:color w:val="auto"/>
        </w:rPr>
      </w:pPr>
      <w:r>
        <w:rPr>
          <w:rFonts w:eastAsiaTheme="minorEastAsia"/>
          <w:color w:val="auto"/>
        </w:rPr>
        <w:t>表3-3-4 有组织源强一览表</w:t>
      </w:r>
    </w:p>
    <w:tbl>
      <w:tblPr>
        <w:tblStyle w:val="54"/>
        <w:tblW w:w="8522" w:type="dxa"/>
        <w:jc w:val="center"/>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308"/>
        <w:gridCol w:w="322"/>
        <w:gridCol w:w="374"/>
        <w:gridCol w:w="373"/>
        <w:gridCol w:w="726"/>
        <w:gridCol w:w="906"/>
        <w:gridCol w:w="684"/>
        <w:gridCol w:w="1236"/>
        <w:gridCol w:w="655"/>
        <w:gridCol w:w="734"/>
        <w:gridCol w:w="735"/>
        <w:gridCol w:w="795"/>
        <w:gridCol w:w="674"/>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308" w:type="dxa"/>
            <w:vMerge w:val="restart"/>
            <w:vAlign w:val="center"/>
          </w:tcPr>
          <w:p>
            <w:pPr>
              <w:pStyle w:val="276"/>
              <w:spacing w:line="280" w:lineRule="exact"/>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生</w:t>
            </w:r>
          </w:p>
          <w:p>
            <w:pPr>
              <w:pStyle w:val="276"/>
              <w:spacing w:line="280" w:lineRule="exact"/>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产</w:t>
            </w:r>
          </w:p>
          <w:p>
            <w:pPr>
              <w:pStyle w:val="276"/>
              <w:spacing w:line="280" w:lineRule="exact"/>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线</w:t>
            </w:r>
          </w:p>
        </w:tc>
        <w:tc>
          <w:tcPr>
            <w:tcW w:w="322" w:type="dxa"/>
            <w:vMerge w:val="restart"/>
            <w:vAlign w:val="center"/>
          </w:tcPr>
          <w:p>
            <w:pPr>
              <w:pStyle w:val="276"/>
              <w:spacing w:line="280" w:lineRule="exact"/>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工序</w:t>
            </w:r>
          </w:p>
        </w:tc>
        <w:tc>
          <w:tcPr>
            <w:tcW w:w="374" w:type="dxa"/>
            <w:vMerge w:val="restart"/>
            <w:vAlign w:val="center"/>
          </w:tcPr>
          <w:p>
            <w:pPr>
              <w:pStyle w:val="276"/>
              <w:spacing w:line="280" w:lineRule="exact"/>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污染源</w:t>
            </w:r>
          </w:p>
        </w:tc>
        <w:tc>
          <w:tcPr>
            <w:tcW w:w="373" w:type="dxa"/>
            <w:vMerge w:val="restart"/>
            <w:vAlign w:val="center"/>
          </w:tcPr>
          <w:p>
            <w:pPr>
              <w:pStyle w:val="276"/>
              <w:spacing w:line="280" w:lineRule="exact"/>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污染物</w:t>
            </w:r>
          </w:p>
        </w:tc>
        <w:tc>
          <w:tcPr>
            <w:tcW w:w="2316" w:type="dxa"/>
            <w:gridSpan w:val="3"/>
            <w:vAlign w:val="center"/>
          </w:tcPr>
          <w:p>
            <w:pPr>
              <w:pStyle w:val="276"/>
              <w:spacing w:line="280" w:lineRule="exact"/>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污染物生产</w:t>
            </w:r>
          </w:p>
        </w:tc>
        <w:tc>
          <w:tcPr>
            <w:tcW w:w="1891" w:type="dxa"/>
            <w:gridSpan w:val="2"/>
            <w:vAlign w:val="center"/>
          </w:tcPr>
          <w:p>
            <w:pPr>
              <w:pStyle w:val="276"/>
              <w:spacing w:line="280" w:lineRule="exact"/>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治理措施</w:t>
            </w:r>
          </w:p>
        </w:tc>
        <w:tc>
          <w:tcPr>
            <w:tcW w:w="2264" w:type="dxa"/>
            <w:gridSpan w:val="3"/>
            <w:vAlign w:val="center"/>
          </w:tcPr>
          <w:p>
            <w:pPr>
              <w:pStyle w:val="276"/>
              <w:spacing w:line="280" w:lineRule="exact"/>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污染物排放</w:t>
            </w:r>
          </w:p>
        </w:tc>
        <w:tc>
          <w:tcPr>
            <w:tcW w:w="674" w:type="dxa"/>
            <w:vMerge w:val="restart"/>
            <w:vAlign w:val="center"/>
          </w:tcPr>
          <w:p>
            <w:pPr>
              <w:pStyle w:val="276"/>
              <w:spacing w:line="280" w:lineRule="exact"/>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排放时间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308" w:type="dxa"/>
            <w:vMerge w:val="continue"/>
            <w:vAlign w:val="center"/>
          </w:tcPr>
          <w:p>
            <w:pPr>
              <w:pStyle w:val="276"/>
              <w:spacing w:line="280" w:lineRule="exact"/>
              <w:ind w:firstLine="0" w:firstLineChars="0"/>
              <w:jc w:val="center"/>
              <w:rPr>
                <w:rFonts w:ascii="Times New Roman" w:hAnsi="Times New Roman" w:eastAsiaTheme="minorEastAsia"/>
                <w:color w:val="auto"/>
                <w:sz w:val="21"/>
                <w:szCs w:val="21"/>
              </w:rPr>
            </w:pPr>
          </w:p>
        </w:tc>
        <w:tc>
          <w:tcPr>
            <w:tcW w:w="322" w:type="dxa"/>
            <w:vMerge w:val="continue"/>
            <w:vAlign w:val="center"/>
          </w:tcPr>
          <w:p>
            <w:pPr>
              <w:pStyle w:val="276"/>
              <w:spacing w:line="280" w:lineRule="exact"/>
              <w:ind w:firstLine="0" w:firstLineChars="0"/>
              <w:jc w:val="center"/>
              <w:rPr>
                <w:rFonts w:ascii="Times New Roman" w:hAnsi="Times New Roman" w:eastAsiaTheme="minorEastAsia"/>
                <w:color w:val="auto"/>
                <w:sz w:val="21"/>
                <w:szCs w:val="21"/>
              </w:rPr>
            </w:pPr>
          </w:p>
        </w:tc>
        <w:tc>
          <w:tcPr>
            <w:tcW w:w="374" w:type="dxa"/>
            <w:vMerge w:val="continue"/>
            <w:vAlign w:val="center"/>
          </w:tcPr>
          <w:p>
            <w:pPr>
              <w:pStyle w:val="276"/>
              <w:spacing w:line="280" w:lineRule="exact"/>
              <w:ind w:firstLine="0" w:firstLineChars="0"/>
              <w:jc w:val="center"/>
              <w:rPr>
                <w:rFonts w:ascii="Times New Roman" w:hAnsi="Times New Roman" w:eastAsiaTheme="minorEastAsia"/>
                <w:color w:val="auto"/>
                <w:sz w:val="21"/>
                <w:szCs w:val="21"/>
              </w:rPr>
            </w:pPr>
          </w:p>
        </w:tc>
        <w:tc>
          <w:tcPr>
            <w:tcW w:w="373" w:type="dxa"/>
            <w:vMerge w:val="continue"/>
            <w:vAlign w:val="center"/>
          </w:tcPr>
          <w:p>
            <w:pPr>
              <w:pStyle w:val="276"/>
              <w:spacing w:line="280" w:lineRule="exact"/>
              <w:ind w:firstLine="0" w:firstLineChars="0"/>
              <w:jc w:val="center"/>
              <w:rPr>
                <w:rFonts w:ascii="Times New Roman" w:hAnsi="Times New Roman" w:eastAsiaTheme="minorEastAsia"/>
                <w:color w:val="auto"/>
                <w:sz w:val="21"/>
                <w:szCs w:val="21"/>
              </w:rPr>
            </w:pPr>
          </w:p>
        </w:tc>
        <w:tc>
          <w:tcPr>
            <w:tcW w:w="726" w:type="dxa"/>
            <w:vAlign w:val="center"/>
          </w:tcPr>
          <w:p>
            <w:pPr>
              <w:pStyle w:val="276"/>
              <w:spacing w:line="280" w:lineRule="exact"/>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产生废气量m</w:t>
            </w:r>
            <w:r>
              <w:rPr>
                <w:rFonts w:ascii="Times New Roman" w:hAnsi="Times New Roman" w:eastAsiaTheme="minorEastAsia"/>
                <w:color w:val="auto"/>
                <w:sz w:val="21"/>
                <w:szCs w:val="21"/>
                <w:vertAlign w:val="superscript"/>
              </w:rPr>
              <w:t>3</w:t>
            </w:r>
            <w:r>
              <w:rPr>
                <w:rFonts w:ascii="Times New Roman" w:hAnsi="Times New Roman" w:eastAsiaTheme="minorEastAsia"/>
                <w:color w:val="auto"/>
                <w:sz w:val="21"/>
                <w:szCs w:val="21"/>
              </w:rPr>
              <w:t>/h</w:t>
            </w:r>
          </w:p>
        </w:tc>
        <w:tc>
          <w:tcPr>
            <w:tcW w:w="906" w:type="dxa"/>
            <w:vAlign w:val="center"/>
          </w:tcPr>
          <w:p>
            <w:pPr>
              <w:pStyle w:val="276"/>
              <w:spacing w:line="280" w:lineRule="exact"/>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产生浓度</w:t>
            </w:r>
            <w:r>
              <w:rPr>
                <w:rFonts w:hint="eastAsia" w:eastAsiaTheme="minorEastAsia"/>
                <w:color w:val="auto"/>
                <w:sz w:val="21"/>
                <w:szCs w:val="21"/>
                <w:lang w:val="en-US" w:eastAsia="zh-CN"/>
              </w:rPr>
              <w:t>u</w:t>
            </w:r>
            <w:r>
              <w:rPr>
                <w:rFonts w:ascii="Times New Roman" w:hAnsi="Times New Roman" w:eastAsiaTheme="minorEastAsia"/>
                <w:color w:val="auto"/>
                <w:sz w:val="21"/>
                <w:szCs w:val="21"/>
              </w:rPr>
              <w:t>g/m</w:t>
            </w:r>
            <w:r>
              <w:rPr>
                <w:rFonts w:ascii="Times New Roman" w:hAnsi="Times New Roman" w:eastAsiaTheme="minorEastAsia"/>
                <w:color w:val="auto"/>
                <w:sz w:val="21"/>
                <w:szCs w:val="21"/>
                <w:vertAlign w:val="superscript"/>
              </w:rPr>
              <w:t>3</w:t>
            </w:r>
          </w:p>
        </w:tc>
        <w:tc>
          <w:tcPr>
            <w:tcW w:w="684" w:type="dxa"/>
            <w:vAlign w:val="center"/>
          </w:tcPr>
          <w:p>
            <w:pPr>
              <w:pStyle w:val="276"/>
              <w:spacing w:line="280" w:lineRule="exact"/>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产生量kg/h</w:t>
            </w:r>
          </w:p>
        </w:tc>
        <w:tc>
          <w:tcPr>
            <w:tcW w:w="1236" w:type="dxa"/>
            <w:vAlign w:val="center"/>
          </w:tcPr>
          <w:p>
            <w:pPr>
              <w:pStyle w:val="276"/>
              <w:spacing w:line="280" w:lineRule="exact"/>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工艺</w:t>
            </w:r>
          </w:p>
        </w:tc>
        <w:tc>
          <w:tcPr>
            <w:tcW w:w="655" w:type="dxa"/>
            <w:vAlign w:val="center"/>
          </w:tcPr>
          <w:p>
            <w:pPr>
              <w:pStyle w:val="276"/>
              <w:spacing w:line="280" w:lineRule="exact"/>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效率%</w:t>
            </w:r>
          </w:p>
        </w:tc>
        <w:tc>
          <w:tcPr>
            <w:tcW w:w="734" w:type="dxa"/>
            <w:vAlign w:val="center"/>
          </w:tcPr>
          <w:p>
            <w:pPr>
              <w:pStyle w:val="276"/>
              <w:spacing w:line="280" w:lineRule="exact"/>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排放废气量m</w:t>
            </w:r>
            <w:r>
              <w:rPr>
                <w:rFonts w:ascii="Times New Roman" w:hAnsi="Times New Roman" w:eastAsiaTheme="minorEastAsia"/>
                <w:color w:val="auto"/>
                <w:sz w:val="21"/>
                <w:szCs w:val="21"/>
                <w:vertAlign w:val="superscript"/>
              </w:rPr>
              <w:t>3</w:t>
            </w:r>
            <w:r>
              <w:rPr>
                <w:rFonts w:ascii="Times New Roman" w:hAnsi="Times New Roman" w:eastAsiaTheme="minorEastAsia"/>
                <w:color w:val="auto"/>
                <w:sz w:val="21"/>
                <w:szCs w:val="21"/>
              </w:rPr>
              <w:t>/h</w:t>
            </w:r>
          </w:p>
        </w:tc>
        <w:tc>
          <w:tcPr>
            <w:tcW w:w="735" w:type="dxa"/>
            <w:vAlign w:val="center"/>
          </w:tcPr>
          <w:p>
            <w:pPr>
              <w:pStyle w:val="276"/>
              <w:spacing w:line="280" w:lineRule="exact"/>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排放浓度</w:t>
            </w:r>
            <w:r>
              <w:rPr>
                <w:rFonts w:hint="eastAsia" w:eastAsiaTheme="minorEastAsia"/>
                <w:color w:val="auto"/>
                <w:sz w:val="21"/>
                <w:szCs w:val="21"/>
                <w:lang w:val="en-US" w:eastAsia="zh-CN"/>
              </w:rPr>
              <w:t>u</w:t>
            </w:r>
            <w:r>
              <w:rPr>
                <w:rFonts w:ascii="Times New Roman" w:hAnsi="Times New Roman" w:eastAsiaTheme="minorEastAsia"/>
                <w:color w:val="auto"/>
                <w:sz w:val="21"/>
                <w:szCs w:val="21"/>
              </w:rPr>
              <w:t>g/m</w:t>
            </w:r>
            <w:r>
              <w:rPr>
                <w:rFonts w:ascii="Times New Roman" w:hAnsi="Times New Roman" w:eastAsiaTheme="minorEastAsia"/>
                <w:color w:val="auto"/>
                <w:sz w:val="21"/>
                <w:szCs w:val="21"/>
                <w:vertAlign w:val="superscript"/>
              </w:rPr>
              <w:t>3</w:t>
            </w:r>
          </w:p>
        </w:tc>
        <w:tc>
          <w:tcPr>
            <w:tcW w:w="795" w:type="dxa"/>
            <w:vAlign w:val="center"/>
          </w:tcPr>
          <w:p>
            <w:pPr>
              <w:pStyle w:val="276"/>
              <w:spacing w:line="280" w:lineRule="exact"/>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排放量kg/h</w:t>
            </w:r>
          </w:p>
        </w:tc>
        <w:tc>
          <w:tcPr>
            <w:tcW w:w="674" w:type="dxa"/>
            <w:vMerge w:val="continue"/>
            <w:vAlign w:val="center"/>
          </w:tcPr>
          <w:p>
            <w:pPr>
              <w:pStyle w:val="276"/>
              <w:spacing w:line="280" w:lineRule="exact"/>
              <w:ind w:firstLine="0" w:firstLineChars="0"/>
              <w:jc w:val="center"/>
              <w:rPr>
                <w:rFonts w:ascii="Times New Roman" w:hAnsi="Times New Roman" w:eastAsiaTheme="minorEastAsia"/>
                <w:color w:val="auto"/>
                <w:sz w:val="21"/>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308" w:type="dxa"/>
            <w:vMerge w:val="restart"/>
            <w:vAlign w:val="center"/>
          </w:tcPr>
          <w:p>
            <w:pPr>
              <w:pStyle w:val="276"/>
              <w:spacing w:line="280" w:lineRule="exact"/>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破</w:t>
            </w:r>
          </w:p>
          <w:p>
            <w:pPr>
              <w:pStyle w:val="276"/>
              <w:spacing w:line="280" w:lineRule="exact"/>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碎</w:t>
            </w:r>
          </w:p>
          <w:p>
            <w:pPr>
              <w:pStyle w:val="276"/>
              <w:spacing w:line="280" w:lineRule="exact"/>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筛</w:t>
            </w:r>
          </w:p>
          <w:p>
            <w:pPr>
              <w:pStyle w:val="276"/>
              <w:spacing w:line="280" w:lineRule="exact"/>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分</w:t>
            </w:r>
          </w:p>
          <w:p>
            <w:pPr>
              <w:pStyle w:val="276"/>
              <w:spacing w:line="280" w:lineRule="exact"/>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工</w:t>
            </w:r>
          </w:p>
          <w:p>
            <w:pPr>
              <w:pStyle w:val="276"/>
              <w:spacing w:line="280" w:lineRule="exact"/>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序</w:t>
            </w:r>
          </w:p>
        </w:tc>
        <w:tc>
          <w:tcPr>
            <w:tcW w:w="322" w:type="dxa"/>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eastAsiaTheme="minorEastAsia"/>
                <w:color w:val="auto"/>
                <w:sz w:val="21"/>
                <w:szCs w:val="21"/>
                <w:lang w:val="en-US" w:eastAsia="zh-CN"/>
              </w:rPr>
              <w:t>粗碎</w:t>
            </w:r>
          </w:p>
        </w:tc>
        <w:tc>
          <w:tcPr>
            <w:tcW w:w="374" w:type="dxa"/>
            <w:vAlign w:val="center"/>
          </w:tcPr>
          <w:p>
            <w:pPr>
              <w:pStyle w:val="276"/>
              <w:spacing w:line="280" w:lineRule="exact"/>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排气筒1</w:t>
            </w:r>
          </w:p>
        </w:tc>
        <w:tc>
          <w:tcPr>
            <w:tcW w:w="373" w:type="dxa"/>
            <w:vMerge w:val="restart"/>
            <w:vAlign w:val="center"/>
          </w:tcPr>
          <w:p>
            <w:pPr>
              <w:pStyle w:val="276"/>
              <w:spacing w:line="280" w:lineRule="exact"/>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颗粒物</w:t>
            </w:r>
          </w:p>
        </w:tc>
        <w:tc>
          <w:tcPr>
            <w:tcW w:w="726" w:type="dxa"/>
            <w:vAlign w:val="center"/>
          </w:tcPr>
          <w:p>
            <w:pPr>
              <w:keepNext w:val="0"/>
              <w:keepLines w:val="0"/>
              <w:widowControl/>
              <w:suppressLineNumbers w:val="0"/>
              <w:jc w:val="center"/>
              <w:textAlignment w:val="top"/>
              <w:rPr>
                <w:rFonts w:ascii="Times New Roman" w:hAnsi="Times New Roman" w:eastAsiaTheme="minorEastAsia"/>
                <w:color w:val="auto"/>
                <w:sz w:val="21"/>
                <w:szCs w:val="21"/>
              </w:rPr>
            </w:pPr>
            <w:r>
              <w:rPr>
                <w:rFonts w:hint="default" w:ascii="Times New Roman" w:hAnsi="Times New Roman" w:eastAsia="宋体" w:cs="Times New Roman"/>
                <w:i w:val="0"/>
                <w:color w:val="auto"/>
                <w:kern w:val="0"/>
                <w:sz w:val="21"/>
                <w:szCs w:val="21"/>
                <w:u w:val="none"/>
                <w:lang w:val="en-US" w:eastAsia="zh-CN" w:bidi="ar"/>
              </w:rPr>
              <w:t>6000</w:t>
            </w:r>
          </w:p>
        </w:tc>
        <w:tc>
          <w:tcPr>
            <w:tcW w:w="906" w:type="dxa"/>
            <w:vAlign w:val="center"/>
          </w:tcPr>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r>
              <w:rPr>
                <w:rFonts w:hint="default" w:ascii="Times New Roman" w:hAnsi="Times New Roman" w:eastAsiaTheme="minorEastAsia"/>
                <w:color w:val="auto"/>
                <w:sz w:val="21"/>
                <w:szCs w:val="21"/>
                <w:lang w:val="en-US" w:eastAsia="zh-CN"/>
              </w:rPr>
              <w:t>403333</w:t>
            </w:r>
          </w:p>
        </w:tc>
        <w:tc>
          <w:tcPr>
            <w:tcW w:w="684" w:type="dxa"/>
            <w:vAlign w:val="center"/>
          </w:tcPr>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r>
              <w:rPr>
                <w:rFonts w:hint="default" w:ascii="Times New Roman" w:hAnsi="Times New Roman" w:eastAsiaTheme="minorEastAsia"/>
                <w:color w:val="auto"/>
                <w:sz w:val="21"/>
                <w:szCs w:val="21"/>
                <w:lang w:val="en-US" w:eastAsia="zh-CN"/>
              </w:rPr>
              <w:t>2.42</w:t>
            </w:r>
          </w:p>
        </w:tc>
        <w:tc>
          <w:tcPr>
            <w:tcW w:w="1236" w:type="dxa"/>
            <w:vMerge w:val="restart"/>
            <w:vAlign w:val="center"/>
          </w:tcPr>
          <w:p>
            <w:pPr>
              <w:pStyle w:val="276"/>
              <w:spacing w:line="280" w:lineRule="exact"/>
              <w:ind w:firstLine="0" w:firstLineChars="0"/>
              <w:jc w:val="center"/>
              <w:rPr>
                <w:rFonts w:ascii="Times New Roman" w:hAnsi="Times New Roman" w:eastAsiaTheme="minorEastAsia"/>
                <w:color w:val="auto"/>
                <w:sz w:val="21"/>
                <w:szCs w:val="21"/>
              </w:rPr>
            </w:pPr>
            <w:r>
              <w:rPr>
                <w:rFonts w:hint="eastAsia" w:eastAsiaTheme="minorEastAsia"/>
                <w:color w:val="auto"/>
                <w:sz w:val="21"/>
                <w:szCs w:val="21"/>
                <w:lang w:val="en-US" w:eastAsia="zh-CN"/>
              </w:rPr>
              <w:t>1台颚式破碎机，</w:t>
            </w:r>
            <w:r>
              <w:rPr>
                <w:rFonts w:hint="eastAsia" w:ascii="Times New Roman" w:hAnsi="Times New Roman" w:eastAsiaTheme="minorEastAsia"/>
                <w:color w:val="auto"/>
                <w:sz w:val="21"/>
                <w:szCs w:val="21"/>
                <w:lang w:val="en-US" w:eastAsia="zh-CN"/>
              </w:rPr>
              <w:t>1台锤式破碎机，</w:t>
            </w:r>
            <w:r>
              <w:rPr>
                <w:rFonts w:hint="eastAsia" w:eastAsiaTheme="minorEastAsia"/>
                <w:color w:val="auto"/>
                <w:sz w:val="21"/>
                <w:szCs w:val="21"/>
                <w:lang w:val="en-US" w:eastAsia="zh-CN"/>
              </w:rPr>
              <w:t>采用一台</w:t>
            </w:r>
            <w:r>
              <w:rPr>
                <w:rFonts w:ascii="Times New Roman" w:hAnsi="Times New Roman" w:eastAsiaTheme="minorEastAsia"/>
                <w:color w:val="auto"/>
                <w:sz w:val="21"/>
                <w:szCs w:val="21"/>
                <w:lang w:val="en-US" w:eastAsia="zh-CN"/>
              </w:rPr>
              <w:t>1台布袋除尘器</w:t>
            </w:r>
            <w:r>
              <w:rPr>
                <w:rFonts w:hint="eastAsia" w:eastAsiaTheme="minorEastAsia"/>
                <w:color w:val="auto"/>
                <w:sz w:val="21"/>
                <w:szCs w:val="21"/>
                <w:lang w:val="en-US" w:eastAsia="zh-CN"/>
              </w:rPr>
              <w:t>除尘</w:t>
            </w:r>
            <w:r>
              <w:rPr>
                <w:rFonts w:ascii="Times New Roman" w:hAnsi="Times New Roman" w:eastAsiaTheme="minorEastAsia"/>
                <w:color w:val="auto"/>
                <w:sz w:val="21"/>
                <w:szCs w:val="21"/>
                <w:lang w:val="en-US" w:eastAsia="zh-CN"/>
              </w:rPr>
              <w:t>，经15m高排气筒排放；</w:t>
            </w:r>
          </w:p>
        </w:tc>
        <w:tc>
          <w:tcPr>
            <w:tcW w:w="655" w:type="dxa"/>
            <w:vMerge w:val="restart"/>
            <w:vAlign w:val="center"/>
          </w:tcPr>
          <w:p>
            <w:pPr>
              <w:pStyle w:val="276"/>
              <w:spacing w:line="280" w:lineRule="exact"/>
              <w:ind w:firstLine="0" w:firstLineChars="0"/>
              <w:jc w:val="center"/>
              <w:rPr>
                <w:rFonts w:ascii="Times New Roman" w:hAnsi="Times New Roman" w:eastAsiaTheme="minorEastAsia"/>
                <w:color w:val="auto"/>
                <w:sz w:val="21"/>
                <w:szCs w:val="21"/>
              </w:rPr>
            </w:pPr>
            <w:r>
              <w:rPr>
                <w:rFonts w:hint="default" w:ascii="Times New Roman" w:hAnsi="Times New Roman" w:eastAsiaTheme="minorEastAsia"/>
                <w:color w:val="auto"/>
                <w:sz w:val="21"/>
                <w:szCs w:val="21"/>
                <w:lang w:val="en-US" w:eastAsia="zh-CN"/>
              </w:rPr>
              <w:t>除尘效率99%</w:t>
            </w:r>
          </w:p>
        </w:tc>
        <w:tc>
          <w:tcPr>
            <w:tcW w:w="734" w:type="dxa"/>
            <w:vAlign w:val="center"/>
          </w:tcPr>
          <w:p>
            <w:pPr>
              <w:keepNext w:val="0"/>
              <w:keepLines w:val="0"/>
              <w:widowControl/>
              <w:suppressLineNumbers w:val="0"/>
              <w:jc w:val="center"/>
              <w:textAlignment w:val="top"/>
              <w:rPr>
                <w:rFonts w:ascii="Times New Roman" w:hAnsi="Times New Roman" w:eastAsiaTheme="minorEastAsia"/>
                <w:color w:val="auto"/>
                <w:sz w:val="21"/>
                <w:szCs w:val="21"/>
              </w:rPr>
            </w:pPr>
            <w:r>
              <w:rPr>
                <w:rFonts w:hint="default" w:ascii="Times New Roman" w:hAnsi="Times New Roman" w:eastAsia="宋体" w:cs="Times New Roman"/>
                <w:i w:val="0"/>
                <w:color w:val="auto"/>
                <w:kern w:val="0"/>
                <w:sz w:val="21"/>
                <w:szCs w:val="21"/>
                <w:u w:val="none"/>
                <w:lang w:val="en-US" w:eastAsia="zh-CN" w:bidi="ar"/>
              </w:rPr>
              <w:t>6000</w:t>
            </w:r>
          </w:p>
        </w:tc>
        <w:tc>
          <w:tcPr>
            <w:tcW w:w="735" w:type="dxa"/>
            <w:vAlign w:val="center"/>
          </w:tcPr>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r>
              <w:rPr>
                <w:rFonts w:hint="default" w:ascii="Times New Roman" w:hAnsi="Times New Roman" w:eastAsiaTheme="minorEastAsia"/>
                <w:color w:val="auto"/>
                <w:sz w:val="21"/>
                <w:szCs w:val="21"/>
                <w:lang w:val="en-US" w:eastAsia="zh-CN"/>
              </w:rPr>
              <w:t>4033</w:t>
            </w:r>
          </w:p>
        </w:tc>
        <w:tc>
          <w:tcPr>
            <w:tcW w:w="795" w:type="dxa"/>
            <w:vAlign w:val="center"/>
          </w:tcPr>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r>
              <w:rPr>
                <w:rFonts w:hint="default" w:ascii="Times New Roman" w:hAnsi="Times New Roman" w:eastAsiaTheme="minorEastAsia"/>
                <w:color w:val="auto"/>
                <w:sz w:val="21"/>
                <w:szCs w:val="21"/>
                <w:lang w:val="en-US" w:eastAsia="zh-CN"/>
              </w:rPr>
              <w:t>0.0242</w:t>
            </w:r>
          </w:p>
        </w:tc>
        <w:tc>
          <w:tcPr>
            <w:tcW w:w="674" w:type="dxa"/>
            <w:vMerge w:val="restart"/>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eastAsiaTheme="minorEastAsia"/>
                <w:color w:val="auto"/>
                <w:sz w:val="21"/>
                <w:szCs w:val="21"/>
                <w:lang w:val="en-US" w:eastAsia="zh-CN"/>
              </w:rPr>
              <w:t>1920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1140" w:hRule="atLeast"/>
          <w:jc w:val="center"/>
        </w:trPr>
        <w:tc>
          <w:tcPr>
            <w:tcW w:w="308" w:type="dxa"/>
            <w:vMerge w:val="continue"/>
            <w:vAlign w:val="center"/>
          </w:tcPr>
          <w:p>
            <w:pPr>
              <w:pStyle w:val="276"/>
              <w:spacing w:line="280" w:lineRule="exact"/>
              <w:ind w:firstLine="0" w:firstLineChars="0"/>
              <w:jc w:val="center"/>
              <w:rPr>
                <w:rFonts w:ascii="Times New Roman" w:hAnsi="Times New Roman" w:eastAsiaTheme="minorEastAsia"/>
                <w:color w:val="auto"/>
                <w:sz w:val="21"/>
                <w:szCs w:val="21"/>
              </w:rPr>
            </w:pPr>
          </w:p>
        </w:tc>
        <w:tc>
          <w:tcPr>
            <w:tcW w:w="322" w:type="dxa"/>
            <w:vAlign w:val="center"/>
          </w:tcPr>
          <w:p>
            <w:pPr>
              <w:pStyle w:val="276"/>
              <w:spacing w:line="280" w:lineRule="exact"/>
              <w:ind w:firstLine="0" w:firstLineChars="0"/>
              <w:jc w:val="center"/>
              <w:rPr>
                <w:rFonts w:hint="eastAsia" w:ascii="Times New Roman" w:hAnsi="Times New Roman" w:eastAsiaTheme="minorEastAsia"/>
                <w:color w:val="auto"/>
                <w:sz w:val="21"/>
                <w:szCs w:val="21"/>
                <w:lang w:eastAsia="zh-CN"/>
              </w:rPr>
            </w:pPr>
            <w:r>
              <w:rPr>
                <w:rFonts w:hint="eastAsia" w:eastAsiaTheme="minorEastAsia"/>
                <w:color w:val="auto"/>
                <w:sz w:val="21"/>
                <w:szCs w:val="21"/>
                <w:lang w:eastAsia="zh-CN"/>
              </w:rPr>
              <w:t>细碎</w:t>
            </w:r>
          </w:p>
        </w:tc>
        <w:tc>
          <w:tcPr>
            <w:tcW w:w="374" w:type="dxa"/>
            <w:vAlign w:val="center"/>
          </w:tcPr>
          <w:p>
            <w:pPr>
              <w:pStyle w:val="276"/>
              <w:spacing w:line="280" w:lineRule="exact"/>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排气筒2</w:t>
            </w:r>
          </w:p>
        </w:tc>
        <w:tc>
          <w:tcPr>
            <w:tcW w:w="373" w:type="dxa"/>
            <w:vMerge w:val="continue"/>
            <w:vAlign w:val="center"/>
          </w:tcPr>
          <w:p>
            <w:pPr>
              <w:pStyle w:val="276"/>
              <w:spacing w:line="280" w:lineRule="exact"/>
              <w:ind w:firstLine="0" w:firstLineChars="0"/>
              <w:jc w:val="center"/>
              <w:rPr>
                <w:rFonts w:ascii="Times New Roman" w:hAnsi="Times New Roman" w:eastAsiaTheme="minorEastAsia"/>
                <w:color w:val="auto"/>
                <w:sz w:val="21"/>
                <w:szCs w:val="21"/>
              </w:rPr>
            </w:pPr>
          </w:p>
        </w:tc>
        <w:tc>
          <w:tcPr>
            <w:tcW w:w="726" w:type="dxa"/>
            <w:vAlign w:val="center"/>
          </w:tcPr>
          <w:p>
            <w:pPr>
              <w:pStyle w:val="276"/>
              <w:spacing w:line="280" w:lineRule="exact"/>
              <w:ind w:firstLine="0" w:firstLineChars="0"/>
              <w:jc w:val="center"/>
              <w:rPr>
                <w:rFonts w:ascii="Times New Roman" w:hAnsi="Times New Roman" w:eastAsiaTheme="minorEastAsia"/>
                <w:color w:val="auto"/>
                <w:sz w:val="21"/>
                <w:szCs w:val="21"/>
              </w:rPr>
            </w:pPr>
            <w:r>
              <w:rPr>
                <w:rFonts w:hint="default" w:ascii="Times New Roman" w:hAnsi="Times New Roman" w:eastAsiaTheme="minorEastAsia"/>
                <w:color w:val="auto"/>
                <w:sz w:val="21"/>
                <w:szCs w:val="21"/>
                <w:lang w:val="en-US" w:eastAsia="zh-CN"/>
              </w:rPr>
              <w:t>6000</w:t>
            </w:r>
          </w:p>
        </w:tc>
        <w:tc>
          <w:tcPr>
            <w:tcW w:w="906" w:type="dxa"/>
            <w:vAlign w:val="center"/>
          </w:tcPr>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r>
              <w:rPr>
                <w:rFonts w:hint="default" w:ascii="Times New Roman" w:hAnsi="Times New Roman" w:eastAsiaTheme="minorEastAsia"/>
                <w:color w:val="auto"/>
                <w:sz w:val="21"/>
                <w:szCs w:val="21"/>
                <w:lang w:val="en-US" w:eastAsia="zh-CN"/>
              </w:rPr>
              <w:t>415000</w:t>
            </w:r>
          </w:p>
        </w:tc>
        <w:tc>
          <w:tcPr>
            <w:tcW w:w="684" w:type="dxa"/>
            <w:vAlign w:val="center"/>
          </w:tcPr>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r>
              <w:rPr>
                <w:rFonts w:hint="default" w:ascii="Times New Roman" w:hAnsi="Times New Roman" w:eastAsiaTheme="minorEastAsia"/>
                <w:color w:val="auto"/>
                <w:sz w:val="21"/>
                <w:szCs w:val="21"/>
                <w:lang w:val="en-US" w:eastAsia="zh-CN"/>
              </w:rPr>
              <w:t>2.49</w:t>
            </w:r>
          </w:p>
        </w:tc>
        <w:tc>
          <w:tcPr>
            <w:tcW w:w="1236" w:type="dxa"/>
            <w:vMerge w:val="continue"/>
            <w:vAlign w:val="center"/>
          </w:tcPr>
          <w:p>
            <w:pPr>
              <w:pStyle w:val="276"/>
              <w:spacing w:line="280" w:lineRule="exact"/>
              <w:ind w:firstLine="0" w:firstLineChars="0"/>
              <w:jc w:val="center"/>
              <w:rPr>
                <w:rFonts w:ascii="Times New Roman" w:hAnsi="Times New Roman" w:eastAsiaTheme="minorEastAsia"/>
                <w:color w:val="auto"/>
                <w:sz w:val="21"/>
                <w:szCs w:val="21"/>
              </w:rPr>
            </w:pPr>
          </w:p>
        </w:tc>
        <w:tc>
          <w:tcPr>
            <w:tcW w:w="655" w:type="dxa"/>
            <w:vMerge w:val="continue"/>
            <w:vAlign w:val="center"/>
          </w:tcPr>
          <w:p>
            <w:pPr>
              <w:pStyle w:val="276"/>
              <w:spacing w:line="280" w:lineRule="exact"/>
              <w:ind w:firstLine="0" w:firstLineChars="0"/>
              <w:jc w:val="center"/>
              <w:rPr>
                <w:rFonts w:ascii="Times New Roman" w:hAnsi="Times New Roman" w:eastAsiaTheme="minorEastAsia"/>
                <w:color w:val="auto"/>
                <w:sz w:val="21"/>
                <w:szCs w:val="21"/>
              </w:rPr>
            </w:pPr>
          </w:p>
        </w:tc>
        <w:tc>
          <w:tcPr>
            <w:tcW w:w="734" w:type="dxa"/>
            <w:vAlign w:val="center"/>
          </w:tcPr>
          <w:p>
            <w:pPr>
              <w:pStyle w:val="276"/>
              <w:spacing w:line="280" w:lineRule="exact"/>
              <w:ind w:firstLine="0" w:firstLineChars="0"/>
              <w:jc w:val="center"/>
              <w:rPr>
                <w:rFonts w:ascii="Times New Roman" w:hAnsi="Times New Roman" w:eastAsiaTheme="minorEastAsia"/>
                <w:color w:val="auto"/>
                <w:sz w:val="21"/>
                <w:szCs w:val="21"/>
              </w:rPr>
            </w:pPr>
            <w:r>
              <w:rPr>
                <w:rFonts w:hint="default" w:ascii="Times New Roman" w:hAnsi="Times New Roman" w:eastAsiaTheme="minorEastAsia"/>
                <w:color w:val="auto"/>
                <w:sz w:val="21"/>
                <w:szCs w:val="21"/>
                <w:lang w:val="en-US" w:eastAsia="zh-CN"/>
              </w:rPr>
              <w:t>6000</w:t>
            </w:r>
          </w:p>
        </w:tc>
        <w:tc>
          <w:tcPr>
            <w:tcW w:w="735" w:type="dxa"/>
            <w:vAlign w:val="center"/>
          </w:tcPr>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r>
              <w:rPr>
                <w:rFonts w:hint="default" w:ascii="Times New Roman" w:hAnsi="Times New Roman" w:eastAsiaTheme="minorEastAsia"/>
                <w:color w:val="auto"/>
                <w:sz w:val="21"/>
                <w:szCs w:val="21"/>
                <w:lang w:val="en-US" w:eastAsia="zh-CN"/>
              </w:rPr>
              <w:t>4150</w:t>
            </w:r>
          </w:p>
        </w:tc>
        <w:tc>
          <w:tcPr>
            <w:tcW w:w="795" w:type="dxa"/>
            <w:vAlign w:val="center"/>
          </w:tcPr>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r>
              <w:rPr>
                <w:rFonts w:hint="default" w:ascii="Times New Roman" w:hAnsi="Times New Roman" w:eastAsiaTheme="minorEastAsia"/>
                <w:color w:val="auto"/>
                <w:sz w:val="21"/>
                <w:szCs w:val="21"/>
                <w:lang w:val="en-US" w:eastAsia="zh-CN"/>
              </w:rPr>
              <w:t>0.0249</w:t>
            </w:r>
          </w:p>
        </w:tc>
        <w:tc>
          <w:tcPr>
            <w:tcW w:w="674" w:type="dxa"/>
            <w:vMerge w:val="continue"/>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308" w:type="dxa"/>
            <w:vMerge w:val="continue"/>
            <w:vAlign w:val="center"/>
          </w:tcPr>
          <w:p>
            <w:pPr>
              <w:pStyle w:val="276"/>
              <w:spacing w:line="280" w:lineRule="exact"/>
              <w:ind w:firstLine="0" w:firstLineChars="0"/>
              <w:jc w:val="center"/>
              <w:rPr>
                <w:rFonts w:ascii="Times New Roman" w:hAnsi="Times New Roman" w:eastAsiaTheme="minorEastAsia"/>
                <w:color w:val="auto"/>
                <w:sz w:val="21"/>
                <w:szCs w:val="21"/>
              </w:rPr>
            </w:pPr>
          </w:p>
        </w:tc>
        <w:tc>
          <w:tcPr>
            <w:tcW w:w="322" w:type="dxa"/>
            <w:vAlign w:val="center"/>
          </w:tcPr>
          <w:p>
            <w:pPr>
              <w:pStyle w:val="276"/>
              <w:spacing w:line="280" w:lineRule="exact"/>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筛分</w:t>
            </w:r>
          </w:p>
        </w:tc>
        <w:tc>
          <w:tcPr>
            <w:tcW w:w="374" w:type="dxa"/>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ascii="Times New Roman" w:hAnsi="Times New Roman" w:eastAsiaTheme="minorEastAsia"/>
                <w:color w:val="auto"/>
                <w:sz w:val="21"/>
                <w:szCs w:val="21"/>
              </w:rPr>
              <w:t>排气筒</w:t>
            </w:r>
            <w:r>
              <w:rPr>
                <w:rFonts w:hint="eastAsia" w:eastAsiaTheme="minorEastAsia"/>
                <w:color w:val="auto"/>
                <w:sz w:val="21"/>
                <w:szCs w:val="21"/>
                <w:lang w:val="en-US" w:eastAsia="zh-CN"/>
              </w:rPr>
              <w:t>3</w:t>
            </w:r>
          </w:p>
        </w:tc>
        <w:tc>
          <w:tcPr>
            <w:tcW w:w="373" w:type="dxa"/>
            <w:vMerge w:val="continue"/>
            <w:vAlign w:val="center"/>
          </w:tcPr>
          <w:p>
            <w:pPr>
              <w:pStyle w:val="276"/>
              <w:spacing w:line="280" w:lineRule="exact"/>
              <w:ind w:firstLine="0" w:firstLineChars="0"/>
              <w:jc w:val="center"/>
              <w:rPr>
                <w:rFonts w:ascii="Times New Roman" w:hAnsi="Times New Roman" w:eastAsiaTheme="minorEastAsia"/>
                <w:color w:val="auto"/>
                <w:sz w:val="21"/>
                <w:szCs w:val="21"/>
              </w:rPr>
            </w:pPr>
          </w:p>
        </w:tc>
        <w:tc>
          <w:tcPr>
            <w:tcW w:w="726" w:type="dxa"/>
            <w:vAlign w:val="center"/>
          </w:tcPr>
          <w:p>
            <w:pPr>
              <w:pStyle w:val="276"/>
              <w:spacing w:line="280" w:lineRule="exact"/>
              <w:ind w:firstLine="0" w:firstLineChars="0"/>
              <w:jc w:val="center"/>
              <w:rPr>
                <w:rFonts w:ascii="Times New Roman" w:hAnsi="Times New Roman" w:eastAsiaTheme="minorEastAsia"/>
                <w:color w:val="auto"/>
                <w:sz w:val="21"/>
                <w:szCs w:val="21"/>
              </w:rPr>
            </w:pPr>
            <w:r>
              <w:rPr>
                <w:rFonts w:hint="default" w:ascii="Times New Roman" w:hAnsi="Times New Roman" w:eastAsiaTheme="minorEastAsia"/>
                <w:color w:val="auto"/>
                <w:sz w:val="21"/>
                <w:szCs w:val="21"/>
                <w:lang w:val="en-US" w:eastAsia="zh-CN"/>
              </w:rPr>
              <w:t>6000</w:t>
            </w:r>
          </w:p>
        </w:tc>
        <w:tc>
          <w:tcPr>
            <w:tcW w:w="906" w:type="dxa"/>
            <w:vAlign w:val="center"/>
          </w:tcPr>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r>
              <w:rPr>
                <w:rFonts w:hint="default" w:ascii="Times New Roman" w:hAnsi="Times New Roman" w:eastAsiaTheme="minorEastAsia"/>
                <w:color w:val="auto"/>
                <w:sz w:val="21"/>
                <w:szCs w:val="21"/>
                <w:lang w:val="en-US" w:eastAsia="zh-CN"/>
              </w:rPr>
              <w:t>423333</w:t>
            </w:r>
          </w:p>
        </w:tc>
        <w:tc>
          <w:tcPr>
            <w:tcW w:w="684" w:type="dxa"/>
            <w:vAlign w:val="center"/>
          </w:tcPr>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r>
              <w:rPr>
                <w:rFonts w:hint="default" w:ascii="Times New Roman" w:hAnsi="Times New Roman" w:eastAsiaTheme="minorEastAsia"/>
                <w:color w:val="auto"/>
                <w:sz w:val="21"/>
                <w:szCs w:val="21"/>
                <w:lang w:val="en-US" w:eastAsia="zh-CN"/>
              </w:rPr>
              <w:t>2.54</w:t>
            </w:r>
          </w:p>
        </w:tc>
        <w:tc>
          <w:tcPr>
            <w:tcW w:w="1236" w:type="dxa"/>
            <w:vAlign w:val="center"/>
          </w:tcPr>
          <w:p>
            <w:pPr>
              <w:pStyle w:val="276"/>
              <w:spacing w:line="280" w:lineRule="exact"/>
              <w:ind w:firstLine="0" w:firstLineChars="0"/>
              <w:jc w:val="center"/>
              <w:rPr>
                <w:rFonts w:ascii="Times New Roman" w:hAnsi="Times New Roman" w:eastAsiaTheme="minorEastAsia"/>
                <w:color w:val="auto"/>
                <w:sz w:val="21"/>
                <w:szCs w:val="21"/>
              </w:rPr>
            </w:pPr>
            <w:r>
              <w:rPr>
                <w:rFonts w:hint="default" w:ascii="Times New Roman" w:hAnsi="Times New Roman" w:eastAsiaTheme="minorEastAsia"/>
                <w:color w:val="auto"/>
                <w:sz w:val="21"/>
                <w:szCs w:val="21"/>
                <w:lang w:val="en-US" w:eastAsia="zh-CN"/>
              </w:rPr>
              <w:t>布袋除尘器</w:t>
            </w:r>
            <w:r>
              <w:rPr>
                <w:rFonts w:ascii="Times New Roman" w:hAnsi="Times New Roman" w:eastAsiaTheme="minorEastAsia"/>
                <w:color w:val="auto"/>
                <w:sz w:val="21"/>
                <w:szCs w:val="21"/>
                <w:lang w:val="en-US" w:eastAsia="zh-CN"/>
              </w:rPr>
              <w:t>除尘，经15m高排气筒排放；</w:t>
            </w:r>
          </w:p>
        </w:tc>
        <w:tc>
          <w:tcPr>
            <w:tcW w:w="655" w:type="dxa"/>
            <w:vMerge w:val="continue"/>
            <w:vAlign w:val="center"/>
          </w:tcPr>
          <w:p>
            <w:pPr>
              <w:pStyle w:val="276"/>
              <w:spacing w:line="280" w:lineRule="exact"/>
              <w:ind w:firstLine="0" w:firstLineChars="0"/>
              <w:jc w:val="center"/>
              <w:rPr>
                <w:rFonts w:ascii="Times New Roman" w:hAnsi="Times New Roman" w:eastAsiaTheme="minorEastAsia"/>
                <w:color w:val="auto"/>
                <w:sz w:val="21"/>
                <w:szCs w:val="21"/>
              </w:rPr>
            </w:pPr>
          </w:p>
        </w:tc>
        <w:tc>
          <w:tcPr>
            <w:tcW w:w="734" w:type="dxa"/>
            <w:vAlign w:val="center"/>
          </w:tcPr>
          <w:p>
            <w:pPr>
              <w:pStyle w:val="276"/>
              <w:spacing w:line="280" w:lineRule="exact"/>
              <w:ind w:firstLine="0" w:firstLineChars="0"/>
              <w:jc w:val="center"/>
              <w:rPr>
                <w:rFonts w:ascii="Times New Roman" w:hAnsi="Times New Roman" w:eastAsiaTheme="minorEastAsia"/>
                <w:color w:val="auto"/>
                <w:sz w:val="21"/>
                <w:szCs w:val="21"/>
              </w:rPr>
            </w:pPr>
            <w:r>
              <w:rPr>
                <w:rFonts w:hint="default" w:ascii="Times New Roman" w:hAnsi="Times New Roman" w:eastAsiaTheme="minorEastAsia"/>
                <w:color w:val="auto"/>
                <w:sz w:val="21"/>
                <w:szCs w:val="21"/>
                <w:lang w:val="en-US" w:eastAsia="zh-CN"/>
              </w:rPr>
              <w:t>6000</w:t>
            </w:r>
          </w:p>
        </w:tc>
        <w:tc>
          <w:tcPr>
            <w:tcW w:w="735" w:type="dxa"/>
            <w:vAlign w:val="center"/>
          </w:tcPr>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r>
              <w:rPr>
                <w:rFonts w:hint="default" w:ascii="Times New Roman" w:hAnsi="Times New Roman" w:eastAsiaTheme="minorEastAsia"/>
                <w:color w:val="auto"/>
                <w:sz w:val="21"/>
                <w:szCs w:val="21"/>
                <w:lang w:val="en-US" w:eastAsia="zh-CN"/>
              </w:rPr>
              <w:t>4233</w:t>
            </w:r>
          </w:p>
        </w:tc>
        <w:tc>
          <w:tcPr>
            <w:tcW w:w="795" w:type="dxa"/>
            <w:vAlign w:val="center"/>
          </w:tcPr>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r>
              <w:rPr>
                <w:rFonts w:hint="default" w:ascii="Times New Roman" w:hAnsi="Times New Roman" w:eastAsiaTheme="minorEastAsia"/>
                <w:color w:val="auto"/>
                <w:sz w:val="21"/>
                <w:szCs w:val="21"/>
                <w:lang w:val="en-US" w:eastAsia="zh-CN"/>
              </w:rPr>
              <w:t>0.0254</w:t>
            </w:r>
          </w:p>
        </w:tc>
        <w:tc>
          <w:tcPr>
            <w:tcW w:w="674" w:type="dxa"/>
            <w:vMerge w:val="continue"/>
            <w:vAlign w:val="center"/>
          </w:tcPr>
          <w:p>
            <w:pPr>
              <w:pStyle w:val="276"/>
              <w:spacing w:line="280" w:lineRule="exact"/>
              <w:ind w:firstLine="0" w:firstLineChars="0"/>
              <w:jc w:val="center"/>
              <w:rPr>
                <w:rFonts w:ascii="Times New Roman" w:hAnsi="Times New Roman" w:eastAsiaTheme="minorEastAsia"/>
                <w:color w:val="auto"/>
                <w:sz w:val="21"/>
                <w:szCs w:val="21"/>
              </w:rPr>
            </w:pPr>
          </w:p>
        </w:tc>
      </w:tr>
    </w:tbl>
    <w:p>
      <w:pPr>
        <w:pStyle w:val="276"/>
        <w:jc w:val="both"/>
        <w:rPr>
          <w:rFonts w:eastAsiaTheme="minorEastAsia"/>
          <w:color w:val="auto"/>
        </w:rPr>
      </w:pPr>
      <w:r>
        <w:rPr>
          <w:rFonts w:eastAsiaTheme="minorEastAsia"/>
          <w:color w:val="auto"/>
        </w:rPr>
        <w:t>2）无组织源强</w:t>
      </w:r>
    </w:p>
    <w:p>
      <w:pPr>
        <w:autoSpaceDE w:val="0"/>
        <w:autoSpaceDN w:val="0"/>
        <w:adjustRightInd w:val="0"/>
        <w:spacing w:line="500" w:lineRule="exact"/>
        <w:ind w:firstLine="480" w:firstLineChars="200"/>
        <w:rPr>
          <w:rFonts w:eastAsiaTheme="minorEastAsia"/>
          <w:color w:val="auto"/>
          <w:kern w:val="0"/>
          <w:szCs w:val="24"/>
        </w:rPr>
      </w:pPr>
      <w:r>
        <w:rPr>
          <w:rFonts w:eastAsiaTheme="minorEastAsia"/>
          <w:color w:val="auto"/>
          <w:kern w:val="0"/>
          <w:szCs w:val="24"/>
        </w:rPr>
        <w:t xml:space="preserve">本项目无组织排放源包括凿岩穿孔工序、爆破工序、集堆铲装工序、运输过程、临时堆土场。 </w:t>
      </w:r>
    </w:p>
    <w:p>
      <w:pPr>
        <w:autoSpaceDE w:val="0"/>
        <w:autoSpaceDN w:val="0"/>
        <w:adjustRightInd w:val="0"/>
        <w:spacing w:line="500" w:lineRule="exact"/>
        <w:ind w:firstLine="480" w:firstLineChars="200"/>
        <w:rPr>
          <w:rFonts w:eastAsiaTheme="minorEastAsia"/>
          <w:color w:val="auto"/>
          <w:kern w:val="0"/>
          <w:szCs w:val="24"/>
        </w:rPr>
      </w:pPr>
      <w:r>
        <w:rPr>
          <w:rFonts w:eastAsiaTheme="minorEastAsia"/>
          <w:color w:val="auto"/>
          <w:kern w:val="0"/>
          <w:szCs w:val="24"/>
        </w:rPr>
        <w:fldChar w:fldCharType="begin"/>
      </w:r>
      <w:r>
        <w:rPr>
          <w:rFonts w:eastAsiaTheme="minorEastAsia"/>
          <w:color w:val="auto"/>
          <w:kern w:val="0"/>
          <w:szCs w:val="24"/>
        </w:rPr>
        <w:instrText xml:space="preserve"> = 1 \* GB3 </w:instrText>
      </w:r>
      <w:r>
        <w:rPr>
          <w:rFonts w:eastAsiaTheme="minorEastAsia"/>
          <w:color w:val="auto"/>
          <w:kern w:val="0"/>
          <w:szCs w:val="24"/>
        </w:rPr>
        <w:fldChar w:fldCharType="separate"/>
      </w:r>
      <w:r>
        <w:rPr>
          <w:rFonts w:hint="eastAsia" w:ascii="宋体" w:hAnsi="宋体" w:cs="宋体"/>
          <w:color w:val="auto"/>
          <w:kern w:val="0"/>
          <w:szCs w:val="24"/>
        </w:rPr>
        <w:t>①</w:t>
      </w:r>
      <w:r>
        <w:rPr>
          <w:rFonts w:eastAsiaTheme="minorEastAsia"/>
          <w:color w:val="auto"/>
          <w:kern w:val="0"/>
          <w:szCs w:val="24"/>
        </w:rPr>
        <w:fldChar w:fldCharType="end"/>
      </w:r>
      <w:r>
        <w:rPr>
          <w:rFonts w:eastAsiaTheme="minorEastAsia"/>
          <w:color w:val="auto"/>
          <w:kern w:val="0"/>
          <w:szCs w:val="24"/>
        </w:rPr>
        <w:t xml:space="preserve">凿岩打孔过程废气 </w:t>
      </w:r>
    </w:p>
    <w:p>
      <w:pPr>
        <w:pStyle w:val="276"/>
        <w:jc w:val="both"/>
        <w:rPr>
          <w:rFonts w:eastAsiaTheme="minorEastAsia"/>
          <w:color w:val="auto"/>
        </w:rPr>
      </w:pPr>
      <w:r>
        <w:rPr>
          <w:rFonts w:eastAsiaTheme="minorEastAsia"/>
          <w:color w:val="auto"/>
        </w:rPr>
        <w:t>本矿山采用深孔台阶爆破，不合格的大块的矿石采用人工击碎，不进行二次爆破，凿岩打孔在工作时产生一定的粉尘污染，会对采场周围的大气环境产生一定影响。根据国家环保总局环境影响评价工程师执业资格登记管理办公室《建材火电教材》（2006年8月）矿山凿岩时的粉尘产生量约为3g/m</w:t>
      </w:r>
      <w:r>
        <w:rPr>
          <w:rFonts w:eastAsiaTheme="minorEastAsia"/>
          <w:color w:val="auto"/>
          <w:vertAlign w:val="superscript"/>
        </w:rPr>
        <w:t>3</w:t>
      </w:r>
      <w:r>
        <w:rPr>
          <w:rFonts w:eastAsiaTheme="minorEastAsia"/>
          <w:color w:val="auto"/>
        </w:rPr>
        <w:t>，本项目生产规模为</w:t>
      </w:r>
      <w:r>
        <w:rPr>
          <w:rFonts w:hint="eastAsia" w:eastAsiaTheme="minorEastAsia"/>
          <w:color w:val="auto"/>
          <w:lang w:val="en-US" w:eastAsia="zh-CN"/>
        </w:rPr>
        <w:t>3</w:t>
      </w:r>
      <w:r>
        <w:rPr>
          <w:rFonts w:eastAsiaTheme="minorEastAsia"/>
          <w:color w:val="auto"/>
        </w:rPr>
        <w:t>×10</w:t>
      </w:r>
      <w:r>
        <w:rPr>
          <w:rFonts w:eastAsiaTheme="minorEastAsia"/>
          <w:color w:val="auto"/>
          <w:vertAlign w:val="superscript"/>
        </w:rPr>
        <w:t>4</w:t>
      </w:r>
      <w:r>
        <w:rPr>
          <w:rFonts w:eastAsiaTheme="minorEastAsia"/>
          <w:color w:val="auto"/>
        </w:rPr>
        <w:t>m</w:t>
      </w:r>
      <w:r>
        <w:rPr>
          <w:rFonts w:eastAsiaTheme="minorEastAsia"/>
          <w:color w:val="auto"/>
          <w:vertAlign w:val="superscript"/>
        </w:rPr>
        <w:t>3</w:t>
      </w:r>
      <w:r>
        <w:rPr>
          <w:rFonts w:eastAsiaTheme="minorEastAsia"/>
          <w:color w:val="auto"/>
        </w:rPr>
        <w:t>/a，因此凿岩时产生的粉尘量为0.</w:t>
      </w:r>
      <w:r>
        <w:rPr>
          <w:rFonts w:hint="eastAsia" w:eastAsiaTheme="minorEastAsia"/>
          <w:color w:val="auto"/>
          <w:lang w:val="en-US" w:eastAsia="zh-CN"/>
        </w:rPr>
        <w:t>09</w:t>
      </w:r>
      <w:r>
        <w:rPr>
          <w:rFonts w:eastAsiaTheme="minorEastAsia"/>
          <w:color w:val="auto"/>
        </w:rPr>
        <w:t>t/a，通过采用临时水管抑尘，可使粉尘排放量降低60%，本项目凿岩穿孔排放的粉尘量为0.</w:t>
      </w:r>
      <w:r>
        <w:rPr>
          <w:rFonts w:hint="eastAsia" w:eastAsiaTheme="minorEastAsia"/>
          <w:color w:val="auto"/>
          <w:lang w:val="en-US" w:eastAsia="zh-CN"/>
        </w:rPr>
        <w:t>04</w:t>
      </w:r>
      <w:r>
        <w:rPr>
          <w:rFonts w:eastAsiaTheme="minorEastAsia"/>
          <w:color w:val="auto"/>
        </w:rPr>
        <w:t>t/a。</w:t>
      </w:r>
    </w:p>
    <w:p>
      <w:pPr>
        <w:pStyle w:val="276"/>
        <w:jc w:val="both"/>
        <w:rPr>
          <w:rFonts w:eastAsiaTheme="minorEastAsia"/>
          <w:color w:val="auto"/>
        </w:rPr>
      </w:pPr>
      <w:r>
        <w:rPr>
          <w:rFonts w:eastAsiaTheme="minorEastAsia"/>
          <w:color w:val="auto"/>
        </w:rPr>
        <w:fldChar w:fldCharType="begin"/>
      </w:r>
      <w:r>
        <w:rPr>
          <w:rFonts w:eastAsiaTheme="minorEastAsia"/>
          <w:color w:val="auto"/>
        </w:rPr>
        <w:instrText xml:space="preserve"> = 2 \* GB3 </w:instrText>
      </w:r>
      <w:r>
        <w:rPr>
          <w:rFonts w:eastAsiaTheme="minorEastAsia"/>
          <w:color w:val="auto"/>
        </w:rPr>
        <w:fldChar w:fldCharType="separate"/>
      </w:r>
      <w:r>
        <w:rPr>
          <w:rFonts w:hint="eastAsia" w:ascii="宋体" w:hAnsi="宋体" w:cs="宋体"/>
          <w:color w:val="auto"/>
        </w:rPr>
        <w:t>②</w:t>
      </w:r>
      <w:r>
        <w:rPr>
          <w:rFonts w:eastAsiaTheme="minorEastAsia"/>
          <w:color w:val="auto"/>
        </w:rPr>
        <w:fldChar w:fldCharType="end"/>
      </w:r>
      <w:r>
        <w:rPr>
          <w:rFonts w:eastAsiaTheme="minorEastAsia"/>
          <w:color w:val="auto"/>
        </w:rPr>
        <w:t xml:space="preserve">爆破过程废气 </w:t>
      </w:r>
    </w:p>
    <w:p>
      <w:pPr>
        <w:pStyle w:val="276"/>
        <w:jc w:val="both"/>
        <w:rPr>
          <w:rFonts w:eastAsiaTheme="minorEastAsia"/>
          <w:color w:val="auto"/>
        </w:rPr>
      </w:pPr>
      <w:r>
        <w:rPr>
          <w:rFonts w:eastAsiaTheme="minorEastAsia"/>
          <w:color w:val="auto"/>
        </w:rPr>
        <w:t>爆破瞬间有大量的粉尘产生，其产生量与爆破方法、爆破技术、炸药种类、炸药量、矿岩理化性质等众多因素有关，爆破作业后一般要通风3～4小时，再进行采矿等作业。根据国家环保总局环境影响评价工程师执业资格登记管理办公室《建材火电教材》（2006年8月），每次爆破相应产尘量约25g/（m</w:t>
      </w:r>
      <w:r>
        <w:rPr>
          <w:rFonts w:eastAsiaTheme="minorEastAsia"/>
          <w:color w:val="auto"/>
          <w:vertAlign w:val="superscript"/>
        </w:rPr>
        <w:t>3</w:t>
      </w:r>
      <w:r>
        <w:rPr>
          <w:rFonts w:eastAsiaTheme="minorEastAsia"/>
          <w:color w:val="auto"/>
        </w:rPr>
        <w:t>石），本项目碎石开采加工的量为</w:t>
      </w:r>
      <w:r>
        <w:rPr>
          <w:rFonts w:hint="eastAsia" w:eastAsiaTheme="minorEastAsia"/>
          <w:color w:val="auto"/>
          <w:lang w:val="en-US" w:eastAsia="zh-CN"/>
        </w:rPr>
        <w:t>3</w:t>
      </w:r>
      <w:r>
        <w:rPr>
          <w:rFonts w:eastAsiaTheme="minorEastAsia"/>
          <w:color w:val="auto"/>
        </w:rPr>
        <w:t>×10</w:t>
      </w:r>
      <w:r>
        <w:rPr>
          <w:rFonts w:eastAsiaTheme="minorEastAsia"/>
          <w:color w:val="auto"/>
          <w:vertAlign w:val="superscript"/>
        </w:rPr>
        <w:t>4</w:t>
      </w:r>
      <w:r>
        <w:rPr>
          <w:rFonts w:eastAsiaTheme="minorEastAsia"/>
          <w:color w:val="auto"/>
        </w:rPr>
        <w:t>m</w:t>
      </w:r>
      <w:r>
        <w:rPr>
          <w:rFonts w:eastAsiaTheme="minorEastAsia"/>
          <w:color w:val="auto"/>
          <w:vertAlign w:val="superscript"/>
        </w:rPr>
        <w:t>3</w:t>
      </w:r>
      <w:r>
        <w:rPr>
          <w:rFonts w:eastAsiaTheme="minorEastAsia"/>
          <w:color w:val="auto"/>
        </w:rPr>
        <w:t>/a，因此本项目爆破过程产生的粉尘的量为0.</w:t>
      </w:r>
      <w:r>
        <w:rPr>
          <w:rFonts w:hint="eastAsia" w:eastAsiaTheme="minorEastAsia"/>
          <w:color w:val="auto"/>
          <w:lang w:val="en-US" w:eastAsia="zh-CN"/>
        </w:rPr>
        <w:t>75</w:t>
      </w:r>
      <w:r>
        <w:rPr>
          <w:rFonts w:eastAsiaTheme="minorEastAsia"/>
          <w:color w:val="auto"/>
        </w:rPr>
        <w:t>t/a，本项目采用中深孔爆破，爆破前通过水封爆破抑尘措施可使粉尘排放量降低80%，因此爆破排放的粉尘量为0.</w:t>
      </w:r>
      <w:r>
        <w:rPr>
          <w:rFonts w:hint="eastAsia" w:eastAsiaTheme="minorEastAsia"/>
          <w:color w:val="auto"/>
          <w:lang w:val="en-US" w:eastAsia="zh-CN"/>
        </w:rPr>
        <w:t>15</w:t>
      </w:r>
      <w:r>
        <w:rPr>
          <w:rFonts w:eastAsiaTheme="minorEastAsia"/>
          <w:color w:val="auto"/>
        </w:rPr>
        <w:t>t/a。</w:t>
      </w:r>
    </w:p>
    <w:p>
      <w:pPr>
        <w:pStyle w:val="276"/>
        <w:jc w:val="both"/>
        <w:rPr>
          <w:rFonts w:eastAsiaTheme="minorEastAsia"/>
          <w:color w:val="auto"/>
        </w:rPr>
      </w:pPr>
      <w:r>
        <w:rPr>
          <w:rFonts w:eastAsiaTheme="minorEastAsia"/>
          <w:color w:val="auto"/>
        </w:rPr>
        <w:fldChar w:fldCharType="begin"/>
      </w:r>
      <w:r>
        <w:rPr>
          <w:rFonts w:eastAsiaTheme="minorEastAsia"/>
          <w:color w:val="auto"/>
        </w:rPr>
        <w:instrText xml:space="preserve"> = 3 \* GB3 </w:instrText>
      </w:r>
      <w:r>
        <w:rPr>
          <w:rFonts w:eastAsiaTheme="minorEastAsia"/>
          <w:color w:val="auto"/>
        </w:rPr>
        <w:fldChar w:fldCharType="separate"/>
      </w:r>
      <w:r>
        <w:rPr>
          <w:rFonts w:hint="eastAsia" w:ascii="宋体" w:hAnsi="宋体" w:cs="宋体"/>
          <w:color w:val="auto"/>
        </w:rPr>
        <w:t>③</w:t>
      </w:r>
      <w:r>
        <w:rPr>
          <w:rFonts w:eastAsiaTheme="minorEastAsia"/>
          <w:color w:val="auto"/>
        </w:rPr>
        <w:fldChar w:fldCharType="end"/>
      </w:r>
      <w:r>
        <w:rPr>
          <w:rFonts w:eastAsiaTheme="minorEastAsia"/>
          <w:color w:val="auto"/>
        </w:rPr>
        <w:t>集堆、铲装粉尘</w:t>
      </w:r>
    </w:p>
    <w:p>
      <w:pPr>
        <w:pStyle w:val="276"/>
        <w:jc w:val="both"/>
        <w:rPr>
          <w:rFonts w:eastAsiaTheme="minorEastAsia"/>
          <w:color w:val="auto"/>
        </w:rPr>
      </w:pPr>
      <w:r>
        <w:rPr>
          <w:rFonts w:eastAsiaTheme="minorEastAsia"/>
          <w:color w:val="auto"/>
        </w:rPr>
        <w:t>集堆、铲装粉尘产生情况采用交通水运研究所武汉水运工程学院提出的装车粉尘经验公式估算，经验公式为：</w:t>
      </w:r>
    </w:p>
    <w:p>
      <w:pPr>
        <w:spacing w:line="240" w:lineRule="auto"/>
        <w:ind w:firstLine="480" w:firstLineChars="200"/>
        <w:jc w:val="center"/>
        <w:rPr>
          <w:rFonts w:eastAsiaTheme="minorEastAsia"/>
          <w:color w:val="auto"/>
        </w:rPr>
      </w:pPr>
      <w:r>
        <w:rPr>
          <w:rFonts w:eastAsiaTheme="minorEastAsia"/>
          <w:color w:val="auto"/>
          <w:position w:val="-24"/>
        </w:rPr>
        <w:object>
          <v:shape id="_x0000_i1031" o:spt="75" type="#_x0000_t75" style="height:28.5pt;width:122.25pt;" o:ole="t" filled="f" o:preferrelative="t" stroked="f" coordsize="21600,21600">
            <v:path/>
            <v:fill on="f" focussize="0,0"/>
            <v:stroke on="f"/>
            <v:imagedata r:id="rId17" o:title=""/>
            <o:lock v:ext="edit" aspectratio="t"/>
            <w10:wrap type="none"/>
            <w10:anchorlock/>
          </v:shape>
          <o:OLEObject Type="Embed" ProgID="Equation.KSEE3" ShapeID="_x0000_i1031" DrawAspect="Content" ObjectID="_1468075731" r:id="rId25">
            <o:LockedField>false</o:LockedField>
          </o:OLEObject>
        </w:object>
      </w:r>
    </w:p>
    <w:p>
      <w:pPr>
        <w:pStyle w:val="276"/>
        <w:adjustRightInd w:val="0"/>
        <w:snapToGrid w:val="0"/>
        <w:rPr>
          <w:rFonts w:eastAsiaTheme="minorEastAsia"/>
          <w:color w:val="auto"/>
        </w:rPr>
      </w:pPr>
      <w:r>
        <w:rPr>
          <w:rFonts w:eastAsiaTheme="minorEastAsia"/>
          <w:color w:val="auto"/>
        </w:rPr>
        <w:t>式中：Q——物料装车时机械落差起尘量，kg/s；</w:t>
      </w:r>
    </w:p>
    <w:p>
      <w:pPr>
        <w:pStyle w:val="276"/>
        <w:adjustRightInd w:val="0"/>
        <w:snapToGrid w:val="0"/>
        <w:rPr>
          <w:rFonts w:eastAsiaTheme="minorEastAsia"/>
          <w:color w:val="auto"/>
        </w:rPr>
      </w:pPr>
      <w:r>
        <w:rPr>
          <w:rFonts w:eastAsiaTheme="minorEastAsia"/>
          <w:color w:val="auto"/>
        </w:rPr>
        <w:t xml:space="preserve">      H——物料落差，m；装载车与自卸车车厢间距，取0.5m；</w:t>
      </w:r>
    </w:p>
    <w:p>
      <w:pPr>
        <w:pStyle w:val="276"/>
        <w:adjustRightInd w:val="0"/>
        <w:snapToGrid w:val="0"/>
        <w:rPr>
          <w:rFonts w:eastAsiaTheme="minorEastAsia"/>
          <w:color w:val="auto"/>
        </w:rPr>
      </w:pPr>
      <w:r>
        <w:rPr>
          <w:rFonts w:eastAsiaTheme="minorEastAsia"/>
          <w:color w:val="auto"/>
        </w:rPr>
        <w:t xml:space="preserve">      u——平均风速，</w:t>
      </w:r>
      <w:r>
        <w:rPr>
          <w:rFonts w:hint="eastAsia" w:eastAsiaTheme="minorEastAsia"/>
          <w:color w:val="auto"/>
          <w:lang w:val="en-US" w:eastAsia="zh-CN"/>
        </w:rPr>
        <w:t>3.3</w:t>
      </w:r>
      <w:r>
        <w:rPr>
          <w:rFonts w:eastAsiaTheme="minorEastAsia"/>
          <w:color w:val="auto"/>
        </w:rPr>
        <w:t>m/s；</w:t>
      </w:r>
    </w:p>
    <w:p>
      <w:pPr>
        <w:pStyle w:val="276"/>
        <w:adjustRightInd w:val="0"/>
        <w:snapToGrid w:val="0"/>
        <w:rPr>
          <w:rFonts w:eastAsiaTheme="minorEastAsia"/>
          <w:color w:val="auto"/>
        </w:rPr>
      </w:pPr>
      <w:r>
        <w:rPr>
          <w:rFonts w:eastAsiaTheme="minorEastAsia"/>
          <w:color w:val="auto"/>
        </w:rPr>
        <w:t xml:space="preserve">      ω——物料含水率，%；取1.5%；</w:t>
      </w:r>
    </w:p>
    <w:p>
      <w:pPr>
        <w:pStyle w:val="276"/>
        <w:adjustRightInd w:val="0"/>
        <w:snapToGrid w:val="0"/>
        <w:ind w:firstLine="1200" w:firstLineChars="500"/>
        <w:rPr>
          <w:rFonts w:eastAsiaTheme="minorEastAsia"/>
          <w:color w:val="auto"/>
        </w:rPr>
      </w:pPr>
      <w:r>
        <w:rPr>
          <w:rFonts w:eastAsiaTheme="minorEastAsia"/>
          <w:color w:val="auto"/>
        </w:rPr>
        <w:t>t——物料装车所需时间，t/s；装载车每铲容量为5t，每铲物料下落时间为1s，则物料装车所需时间为5t/s。</w:t>
      </w:r>
    </w:p>
    <w:p>
      <w:pPr>
        <w:pStyle w:val="276"/>
        <w:ind w:firstLine="600" w:firstLineChars="250"/>
        <w:rPr>
          <w:rFonts w:eastAsiaTheme="minorEastAsia"/>
          <w:color w:val="auto"/>
        </w:rPr>
      </w:pPr>
      <w:r>
        <w:rPr>
          <w:rFonts w:eastAsiaTheme="minorEastAsia"/>
          <w:color w:val="auto"/>
        </w:rPr>
        <w:t>装载机每铲容量为5t，每铲物料下落时间为1s，项目每天装运</w:t>
      </w:r>
      <w:r>
        <w:rPr>
          <w:rFonts w:hint="eastAsia" w:eastAsiaTheme="minorEastAsia"/>
          <w:color w:val="auto"/>
          <w:lang w:val="en-US" w:eastAsia="zh-CN"/>
        </w:rPr>
        <w:t>332.5</w:t>
      </w:r>
      <w:r>
        <w:rPr>
          <w:rFonts w:eastAsiaTheme="minorEastAsia"/>
          <w:color w:val="auto"/>
        </w:rPr>
        <w:t>t物料，相当于物料下落总时间为每天</w:t>
      </w:r>
      <w:r>
        <w:rPr>
          <w:rFonts w:hint="eastAsia" w:eastAsiaTheme="minorEastAsia"/>
          <w:color w:val="auto"/>
          <w:lang w:val="en-US" w:eastAsia="zh-CN"/>
        </w:rPr>
        <w:t>66.5</w:t>
      </w:r>
      <w:r>
        <w:rPr>
          <w:rFonts w:eastAsiaTheme="minorEastAsia"/>
          <w:color w:val="auto"/>
        </w:rPr>
        <w:t>s，全年工作</w:t>
      </w:r>
      <w:r>
        <w:rPr>
          <w:rFonts w:hint="eastAsia" w:eastAsiaTheme="minorEastAsia"/>
          <w:color w:val="auto"/>
          <w:lang w:eastAsia="zh-CN"/>
        </w:rPr>
        <w:t>240天</w:t>
      </w:r>
      <w:r>
        <w:rPr>
          <w:rFonts w:eastAsiaTheme="minorEastAsia"/>
          <w:color w:val="auto"/>
        </w:rPr>
        <w:t>，经计算得出矿区铲装每年产生粉尘量为0.</w:t>
      </w:r>
      <w:r>
        <w:rPr>
          <w:rFonts w:hint="eastAsia" w:eastAsiaTheme="minorEastAsia"/>
          <w:color w:val="auto"/>
          <w:lang w:val="en-US" w:eastAsia="zh-CN"/>
        </w:rPr>
        <w:t>27</w:t>
      </w:r>
      <w:r>
        <w:rPr>
          <w:rFonts w:eastAsiaTheme="minorEastAsia"/>
          <w:color w:val="auto"/>
        </w:rPr>
        <w:t>t/a，通过洒水抑尘可使粉尘排放量降低80%，则集堆铲装排放的粉尘量为0.0</w:t>
      </w:r>
      <w:r>
        <w:rPr>
          <w:rFonts w:hint="eastAsia" w:eastAsiaTheme="minorEastAsia"/>
          <w:color w:val="auto"/>
          <w:lang w:val="en-US" w:eastAsia="zh-CN"/>
        </w:rPr>
        <w:t>5</w:t>
      </w:r>
      <w:r>
        <w:rPr>
          <w:rFonts w:eastAsiaTheme="minorEastAsia"/>
          <w:color w:val="auto"/>
        </w:rPr>
        <w:t>t/a。</w:t>
      </w:r>
    </w:p>
    <w:p>
      <w:pPr>
        <w:pStyle w:val="276"/>
        <w:rPr>
          <w:rFonts w:eastAsiaTheme="minorEastAsia"/>
          <w:color w:val="auto"/>
        </w:rPr>
      </w:pPr>
      <w:r>
        <w:rPr>
          <w:rFonts w:eastAsiaTheme="minorEastAsia"/>
          <w:color w:val="auto"/>
        </w:rPr>
        <w:fldChar w:fldCharType="begin"/>
      </w:r>
      <w:r>
        <w:rPr>
          <w:rFonts w:eastAsiaTheme="minorEastAsia"/>
          <w:color w:val="auto"/>
        </w:rPr>
        <w:instrText xml:space="preserve"> = 4 \* GB3 </w:instrText>
      </w:r>
      <w:r>
        <w:rPr>
          <w:rFonts w:eastAsiaTheme="minorEastAsia"/>
          <w:color w:val="auto"/>
        </w:rPr>
        <w:fldChar w:fldCharType="separate"/>
      </w:r>
      <w:r>
        <w:rPr>
          <w:rFonts w:hint="eastAsia" w:ascii="宋体" w:hAnsi="宋体" w:cs="宋体"/>
          <w:color w:val="auto"/>
        </w:rPr>
        <w:t>④</w:t>
      </w:r>
      <w:r>
        <w:rPr>
          <w:rFonts w:eastAsiaTheme="minorEastAsia"/>
          <w:color w:val="auto"/>
        </w:rPr>
        <w:fldChar w:fldCharType="end"/>
      </w:r>
      <w:r>
        <w:rPr>
          <w:rFonts w:hint="eastAsia" w:eastAsiaTheme="minorEastAsia"/>
          <w:color w:val="auto"/>
          <w:lang w:eastAsia="zh-CN"/>
        </w:rPr>
        <w:t>采场及工业场地</w:t>
      </w:r>
      <w:r>
        <w:rPr>
          <w:rFonts w:eastAsiaTheme="minorEastAsia"/>
          <w:color w:val="auto"/>
        </w:rPr>
        <w:t>运输过程扬尘</w:t>
      </w:r>
    </w:p>
    <w:p>
      <w:pPr>
        <w:pStyle w:val="276"/>
        <w:rPr>
          <w:rFonts w:eastAsiaTheme="minorEastAsia"/>
          <w:color w:val="auto"/>
        </w:rPr>
      </w:pPr>
      <w:r>
        <w:rPr>
          <w:rFonts w:eastAsiaTheme="minorEastAsia"/>
          <w:color w:val="auto"/>
        </w:rPr>
        <w:t>运输场地道路产生的粉尘按照经验公式计算：</w:t>
      </w:r>
    </w:p>
    <w:p>
      <w:pPr>
        <w:pStyle w:val="276"/>
        <w:rPr>
          <w:rFonts w:eastAsiaTheme="minorEastAsia"/>
          <w:color w:val="auto"/>
          <w:vertAlign w:val="superscript"/>
        </w:rPr>
      </w:pPr>
      <w:r>
        <w:rPr>
          <w:rFonts w:eastAsiaTheme="minorEastAsia"/>
          <w:color w:val="auto"/>
        </w:rPr>
        <w:t>Q=0.123（V/5）（W/6.8）</w:t>
      </w:r>
      <w:r>
        <w:rPr>
          <w:rFonts w:eastAsiaTheme="minorEastAsia"/>
          <w:color w:val="auto"/>
          <w:vertAlign w:val="superscript"/>
        </w:rPr>
        <w:t>0.85</w:t>
      </w:r>
      <w:r>
        <w:rPr>
          <w:rFonts w:eastAsiaTheme="minorEastAsia"/>
          <w:color w:val="auto"/>
        </w:rPr>
        <w:t>（P/0.5）</w:t>
      </w:r>
      <w:r>
        <w:rPr>
          <w:rFonts w:eastAsiaTheme="minorEastAsia"/>
          <w:color w:val="auto"/>
          <w:vertAlign w:val="superscript"/>
        </w:rPr>
        <w:t>0.75</w:t>
      </w:r>
    </w:p>
    <w:p>
      <w:pPr>
        <w:pStyle w:val="276"/>
        <w:ind w:left="1200" w:leftChars="200" w:hanging="720" w:hangingChars="300"/>
        <w:rPr>
          <w:rFonts w:eastAsiaTheme="minorEastAsia"/>
          <w:color w:val="auto"/>
        </w:rPr>
      </w:pPr>
      <w:r>
        <w:rPr>
          <w:rFonts w:eastAsiaTheme="minorEastAsia"/>
          <w:color w:val="auto"/>
        </w:rPr>
        <w:t>式中：Q—汽车行驶的扬尘，kg/ km·辆；</w:t>
      </w:r>
      <w:r>
        <w:rPr>
          <w:rFonts w:eastAsiaTheme="minorEastAsia"/>
          <w:color w:val="auto"/>
        </w:rPr>
        <w:br w:type="textWrapping"/>
      </w:r>
      <w:r>
        <w:rPr>
          <w:rFonts w:eastAsiaTheme="minorEastAsia"/>
          <w:color w:val="auto"/>
        </w:rPr>
        <w:t>V—汽车速度，km/h，本项目为15km/h；</w:t>
      </w:r>
      <w:r>
        <w:rPr>
          <w:rFonts w:eastAsiaTheme="minorEastAsia"/>
          <w:color w:val="auto"/>
        </w:rPr>
        <w:br w:type="textWrapping"/>
      </w:r>
      <w:r>
        <w:rPr>
          <w:rFonts w:eastAsiaTheme="minorEastAsia"/>
          <w:color w:val="auto"/>
        </w:rPr>
        <w:t>W—汽车载重量，吨，本项目采用32t载重汽车；</w:t>
      </w:r>
      <w:r>
        <w:rPr>
          <w:rFonts w:eastAsiaTheme="minorEastAsia"/>
          <w:color w:val="auto"/>
        </w:rPr>
        <w:br w:type="textWrapping"/>
      </w:r>
      <w:r>
        <w:rPr>
          <w:rFonts w:eastAsiaTheme="minorEastAsia"/>
          <w:color w:val="auto"/>
        </w:rPr>
        <w:t>P—道路表面粉尘量，kg/m</w:t>
      </w:r>
      <w:r>
        <w:rPr>
          <w:rFonts w:eastAsiaTheme="minorEastAsia"/>
          <w:color w:val="auto"/>
          <w:vertAlign w:val="superscript"/>
        </w:rPr>
        <w:t>2</w:t>
      </w:r>
      <w:r>
        <w:rPr>
          <w:rFonts w:eastAsiaTheme="minorEastAsia"/>
          <w:color w:val="auto"/>
        </w:rPr>
        <w:t>，本项目按0.5kg/m</w:t>
      </w:r>
      <w:r>
        <w:rPr>
          <w:rFonts w:eastAsiaTheme="minorEastAsia"/>
          <w:color w:val="auto"/>
          <w:vertAlign w:val="superscript"/>
        </w:rPr>
        <w:t>2</w:t>
      </w:r>
      <w:r>
        <w:rPr>
          <w:rFonts w:eastAsiaTheme="minorEastAsia"/>
          <w:color w:val="auto"/>
        </w:rPr>
        <w:t>计</w:t>
      </w:r>
    </w:p>
    <w:p>
      <w:pPr>
        <w:pStyle w:val="276"/>
        <w:jc w:val="both"/>
        <w:rPr>
          <w:rFonts w:eastAsiaTheme="minorEastAsia"/>
          <w:color w:val="auto"/>
        </w:rPr>
      </w:pPr>
      <w:r>
        <w:rPr>
          <w:rFonts w:eastAsiaTheme="minorEastAsia"/>
          <w:color w:val="auto"/>
        </w:rPr>
        <w:t>经计算，汽车形式扬尘产生源强为1.38kg/km·辆，矿区运输次数约为3125次/a，本项目</w:t>
      </w:r>
      <w:r>
        <w:rPr>
          <w:rFonts w:hint="eastAsia" w:eastAsiaTheme="minorEastAsia"/>
          <w:color w:val="auto"/>
          <w:lang w:eastAsia="zh-CN"/>
        </w:rPr>
        <w:t>采场</w:t>
      </w:r>
      <w:r>
        <w:rPr>
          <w:rFonts w:eastAsiaTheme="minorEastAsia"/>
          <w:color w:val="auto"/>
        </w:rPr>
        <w:t>道路长约为</w:t>
      </w:r>
      <w:r>
        <w:rPr>
          <w:rFonts w:hint="eastAsia" w:eastAsiaTheme="minorEastAsia"/>
          <w:color w:val="auto"/>
          <w:lang w:val="en-US" w:eastAsia="zh-CN"/>
        </w:rPr>
        <w:t>0.26</w:t>
      </w:r>
      <w:r>
        <w:rPr>
          <w:rFonts w:eastAsiaTheme="minorEastAsia"/>
          <w:color w:val="auto"/>
        </w:rPr>
        <w:t>km，产生道路扬尘</w:t>
      </w:r>
      <w:r>
        <w:rPr>
          <w:rFonts w:hint="eastAsia" w:eastAsiaTheme="minorEastAsia"/>
          <w:color w:val="auto"/>
          <w:lang w:val="en-US" w:eastAsia="zh-CN"/>
        </w:rPr>
        <w:t>1.12</w:t>
      </w:r>
      <w:r>
        <w:rPr>
          <w:rFonts w:eastAsiaTheme="minorEastAsia"/>
          <w:color w:val="auto"/>
        </w:rPr>
        <w:t>t/a</w:t>
      </w:r>
      <w:r>
        <w:rPr>
          <w:rFonts w:hint="eastAsia" w:eastAsiaTheme="minorEastAsia"/>
          <w:color w:val="auto"/>
          <w:lang w:eastAsia="zh-CN"/>
        </w:rPr>
        <w:t>；工业场地</w:t>
      </w:r>
      <w:r>
        <w:rPr>
          <w:rFonts w:eastAsiaTheme="minorEastAsia"/>
          <w:color w:val="auto"/>
        </w:rPr>
        <w:t>道路长约为</w:t>
      </w:r>
      <w:r>
        <w:rPr>
          <w:rFonts w:hint="eastAsia" w:eastAsiaTheme="minorEastAsia"/>
          <w:color w:val="auto"/>
          <w:lang w:val="en-US" w:eastAsia="zh-CN"/>
        </w:rPr>
        <w:t>0.12</w:t>
      </w:r>
      <w:r>
        <w:rPr>
          <w:rFonts w:eastAsiaTheme="minorEastAsia"/>
          <w:color w:val="auto"/>
        </w:rPr>
        <w:t>km，产生道路扬尘</w:t>
      </w:r>
      <w:r>
        <w:rPr>
          <w:rFonts w:hint="eastAsia" w:eastAsiaTheme="minorEastAsia"/>
          <w:color w:val="auto"/>
          <w:lang w:val="en-US" w:eastAsia="zh-CN"/>
        </w:rPr>
        <w:t>0.52</w:t>
      </w:r>
      <w:r>
        <w:rPr>
          <w:rFonts w:eastAsiaTheme="minorEastAsia"/>
          <w:color w:val="auto"/>
        </w:rPr>
        <w:t>t/a。通过洒水车向地面洒水抑尘、运输车辆加盖苫布、限速行驶等措施，可使粉尘排放量降低80%，因此</w:t>
      </w:r>
      <w:r>
        <w:rPr>
          <w:rFonts w:hint="eastAsia" w:eastAsiaTheme="minorEastAsia"/>
          <w:color w:val="auto"/>
          <w:lang w:eastAsia="zh-CN"/>
        </w:rPr>
        <w:t>采场</w:t>
      </w:r>
      <w:r>
        <w:rPr>
          <w:rFonts w:eastAsiaTheme="minorEastAsia"/>
          <w:color w:val="auto"/>
        </w:rPr>
        <w:t>运输过程中无组织排放的粉尘量为</w:t>
      </w:r>
      <w:r>
        <w:rPr>
          <w:rFonts w:hint="eastAsia" w:eastAsiaTheme="minorEastAsia"/>
          <w:color w:val="auto"/>
          <w:lang w:val="en-US" w:eastAsia="zh-CN"/>
        </w:rPr>
        <w:t>0.22</w:t>
      </w:r>
      <w:r>
        <w:rPr>
          <w:rFonts w:eastAsiaTheme="minorEastAsia"/>
          <w:color w:val="auto"/>
        </w:rPr>
        <w:t>t/a</w:t>
      </w:r>
      <w:r>
        <w:rPr>
          <w:rFonts w:hint="eastAsia" w:eastAsiaTheme="minorEastAsia"/>
          <w:color w:val="auto"/>
          <w:lang w:eastAsia="zh-CN"/>
        </w:rPr>
        <w:t>，工业场地道路</w:t>
      </w:r>
      <w:r>
        <w:rPr>
          <w:rFonts w:eastAsiaTheme="minorEastAsia"/>
          <w:color w:val="auto"/>
        </w:rPr>
        <w:t>运输过程中无组织排放的粉尘量为</w:t>
      </w:r>
      <w:r>
        <w:rPr>
          <w:rFonts w:hint="eastAsia" w:eastAsiaTheme="minorEastAsia"/>
          <w:color w:val="auto"/>
          <w:lang w:val="en-US" w:eastAsia="zh-CN"/>
        </w:rPr>
        <w:t>0.10</w:t>
      </w:r>
      <w:r>
        <w:rPr>
          <w:rFonts w:eastAsiaTheme="minorEastAsia"/>
          <w:color w:val="auto"/>
        </w:rPr>
        <w:t>t/a。</w:t>
      </w:r>
    </w:p>
    <w:p>
      <w:pPr>
        <w:pStyle w:val="276"/>
        <w:rPr>
          <w:rFonts w:eastAsiaTheme="minorEastAsia"/>
          <w:color w:val="auto"/>
        </w:rPr>
      </w:pPr>
      <w:r>
        <w:rPr>
          <w:rFonts w:eastAsiaTheme="minorEastAsia"/>
          <w:color w:val="auto"/>
        </w:rPr>
        <w:fldChar w:fldCharType="begin"/>
      </w:r>
      <w:r>
        <w:rPr>
          <w:rFonts w:eastAsiaTheme="minorEastAsia"/>
          <w:color w:val="auto"/>
        </w:rPr>
        <w:instrText xml:space="preserve"> = 5 \* GB3 </w:instrText>
      </w:r>
      <w:r>
        <w:rPr>
          <w:rFonts w:eastAsiaTheme="minorEastAsia"/>
          <w:color w:val="auto"/>
        </w:rPr>
        <w:fldChar w:fldCharType="separate"/>
      </w:r>
      <w:r>
        <w:rPr>
          <w:rFonts w:hint="eastAsia" w:ascii="宋体" w:hAnsi="宋体" w:cs="宋体"/>
          <w:color w:val="auto"/>
        </w:rPr>
        <w:t>⑤</w:t>
      </w:r>
      <w:r>
        <w:rPr>
          <w:rFonts w:eastAsiaTheme="minorEastAsia"/>
          <w:color w:val="auto"/>
        </w:rPr>
        <w:fldChar w:fldCharType="end"/>
      </w:r>
      <w:r>
        <w:rPr>
          <w:rFonts w:eastAsiaTheme="minorEastAsia"/>
          <w:color w:val="auto"/>
        </w:rPr>
        <w:t>临时堆土场粉尘</w:t>
      </w:r>
    </w:p>
    <w:p>
      <w:pPr>
        <w:pStyle w:val="276"/>
        <w:rPr>
          <w:rFonts w:eastAsiaTheme="minorEastAsia"/>
          <w:color w:val="auto"/>
        </w:rPr>
      </w:pPr>
      <w:r>
        <w:rPr>
          <w:rFonts w:eastAsiaTheme="minorEastAsia"/>
          <w:color w:val="auto"/>
        </w:rPr>
        <w:t>临时堆土场粉尘计算公式如下：</w:t>
      </w:r>
    </w:p>
    <w:p>
      <w:pPr>
        <w:pStyle w:val="276"/>
        <w:rPr>
          <w:rFonts w:eastAsiaTheme="minorEastAsia"/>
          <w:color w:val="auto"/>
        </w:rPr>
      </w:pPr>
      <w:r>
        <w:rPr>
          <w:rFonts w:eastAsiaTheme="minorEastAsia"/>
          <w:color w:val="auto"/>
        </w:rPr>
        <w:t>Q=1.479×10</w:t>
      </w:r>
      <w:r>
        <w:rPr>
          <w:rFonts w:eastAsiaTheme="minorEastAsia"/>
          <w:color w:val="auto"/>
          <w:vertAlign w:val="superscript"/>
        </w:rPr>
        <w:t>-2</w:t>
      </w:r>
      <w:r>
        <w:rPr>
          <w:rFonts w:eastAsiaTheme="minorEastAsia"/>
          <w:color w:val="auto"/>
        </w:rPr>
        <w:t>×e</w:t>
      </w:r>
      <w:r>
        <w:rPr>
          <w:rFonts w:eastAsiaTheme="minorEastAsia"/>
          <w:color w:val="auto"/>
          <w:vertAlign w:val="superscript"/>
        </w:rPr>
        <w:t>-0.43w</w:t>
      </w:r>
      <w:r>
        <w:rPr>
          <w:rFonts w:eastAsiaTheme="minorEastAsia"/>
          <w:color w:val="auto"/>
        </w:rPr>
        <w:t>×Ap</w:t>
      </w:r>
    </w:p>
    <w:p>
      <w:pPr>
        <w:pStyle w:val="276"/>
        <w:rPr>
          <w:rFonts w:eastAsiaTheme="minorEastAsia"/>
          <w:color w:val="auto"/>
        </w:rPr>
      </w:pPr>
      <w:r>
        <w:rPr>
          <w:rFonts w:eastAsiaTheme="minorEastAsia"/>
          <w:color w:val="auto"/>
        </w:rPr>
        <w:t>式中：Q——起尘量，mg/s；</w:t>
      </w:r>
    </w:p>
    <w:p>
      <w:pPr>
        <w:pStyle w:val="276"/>
        <w:ind w:firstLine="1200" w:firstLineChars="500"/>
        <w:rPr>
          <w:rFonts w:eastAsiaTheme="minorEastAsia"/>
          <w:color w:val="auto"/>
        </w:rPr>
      </w:pPr>
      <w:r>
        <w:rPr>
          <w:rFonts w:eastAsiaTheme="minorEastAsia"/>
          <w:color w:val="auto"/>
        </w:rPr>
        <w:t>W——物料含水率，%，本项目临时堆土场表面含水率为10%；</w:t>
      </w:r>
    </w:p>
    <w:p>
      <w:pPr>
        <w:pStyle w:val="276"/>
        <w:ind w:firstLine="1200" w:firstLineChars="500"/>
        <w:rPr>
          <w:rFonts w:hint="eastAsia" w:eastAsiaTheme="minorEastAsia"/>
          <w:color w:val="auto"/>
          <w:lang w:eastAsia="zh-CN"/>
        </w:rPr>
      </w:pPr>
      <w:r>
        <w:rPr>
          <w:rFonts w:eastAsiaTheme="minorEastAsia"/>
          <w:color w:val="auto"/>
        </w:rPr>
        <w:t>Ap——面积，m</w:t>
      </w:r>
      <w:r>
        <w:rPr>
          <w:rFonts w:eastAsiaTheme="minorEastAsia"/>
          <w:color w:val="auto"/>
          <w:vertAlign w:val="superscript"/>
        </w:rPr>
        <w:t>2</w:t>
      </w:r>
      <w:r>
        <w:rPr>
          <w:rFonts w:eastAsiaTheme="minorEastAsia"/>
          <w:color w:val="auto"/>
        </w:rPr>
        <w:t>，本项目临时堆土场面积取</w:t>
      </w:r>
      <w:r>
        <w:rPr>
          <w:rFonts w:hint="eastAsia" w:eastAsiaTheme="minorEastAsia"/>
          <w:color w:val="auto"/>
          <w:lang w:val="en-US" w:eastAsia="zh-CN"/>
        </w:rPr>
        <w:t>40</w:t>
      </w:r>
      <w:r>
        <w:rPr>
          <w:rFonts w:eastAsiaTheme="minorEastAsia"/>
          <w:color w:val="auto"/>
        </w:rPr>
        <w:t>m</w:t>
      </w:r>
      <w:r>
        <w:rPr>
          <w:rFonts w:eastAsiaTheme="minorEastAsia"/>
          <w:color w:val="auto"/>
          <w:vertAlign w:val="superscript"/>
        </w:rPr>
        <w:t>2</w:t>
      </w:r>
      <w:r>
        <w:rPr>
          <w:rFonts w:hint="eastAsia" w:eastAsiaTheme="minorEastAsia"/>
          <w:color w:val="auto"/>
          <w:lang w:eastAsia="zh-CN"/>
        </w:rPr>
        <w:t>。</w:t>
      </w:r>
    </w:p>
    <w:p>
      <w:pPr>
        <w:pStyle w:val="276"/>
        <w:jc w:val="both"/>
        <w:rPr>
          <w:rFonts w:hint="eastAsia" w:eastAsiaTheme="minorEastAsia"/>
          <w:color w:val="auto"/>
          <w:lang w:eastAsia="zh-CN"/>
        </w:rPr>
      </w:pPr>
      <w:r>
        <w:rPr>
          <w:rFonts w:eastAsiaTheme="minorEastAsia"/>
          <w:color w:val="auto"/>
        </w:rPr>
        <w:t>经计算，临时堆土场起尘量约为</w:t>
      </w:r>
      <w:r>
        <w:rPr>
          <w:rFonts w:hint="eastAsia" w:eastAsiaTheme="minorEastAsia"/>
          <w:color w:val="auto"/>
          <w:lang w:val="en-US" w:eastAsia="zh-CN"/>
        </w:rPr>
        <w:t>0.57</w:t>
      </w:r>
      <w:r>
        <w:rPr>
          <w:rFonts w:eastAsiaTheme="minorEastAsia"/>
          <w:color w:val="auto"/>
        </w:rPr>
        <w:t>mg/s，0.</w:t>
      </w:r>
      <w:r>
        <w:rPr>
          <w:rFonts w:hint="eastAsia" w:eastAsiaTheme="minorEastAsia"/>
          <w:color w:val="auto"/>
          <w:lang w:val="en-US" w:eastAsia="zh-CN"/>
        </w:rPr>
        <w:t>004</w:t>
      </w:r>
      <w:r>
        <w:rPr>
          <w:rFonts w:eastAsiaTheme="minorEastAsia"/>
          <w:color w:val="auto"/>
        </w:rPr>
        <w:t>t/a；通过在临时堆土场周围设置喷淋装置洒水抑尘，可使起尘量降低80%，则采取洒水抑尘措施后起尘量约为</w:t>
      </w:r>
      <w:r>
        <w:rPr>
          <w:rFonts w:hint="eastAsia" w:eastAsiaTheme="minorEastAsia"/>
          <w:color w:val="auto"/>
          <w:lang w:val="en-US" w:eastAsia="zh-CN"/>
        </w:rPr>
        <w:t>0.001</w:t>
      </w:r>
      <w:r>
        <w:rPr>
          <w:rFonts w:eastAsiaTheme="minorEastAsia"/>
          <w:color w:val="auto"/>
        </w:rPr>
        <w:t>t/a</w:t>
      </w:r>
      <w:r>
        <w:rPr>
          <w:rFonts w:hint="eastAsia" w:eastAsiaTheme="minorEastAsia"/>
          <w:color w:val="auto"/>
          <w:lang w:eastAsia="zh-CN"/>
        </w:rPr>
        <w:t>。</w:t>
      </w:r>
    </w:p>
    <w:p>
      <w:pPr>
        <w:pStyle w:val="299"/>
        <w:spacing w:line="500" w:lineRule="exact"/>
        <w:ind w:firstLine="480"/>
        <w:rPr>
          <w:rFonts w:eastAsiaTheme="minorEastAsia"/>
          <w:color w:val="auto"/>
        </w:rPr>
      </w:pPr>
      <w:r>
        <w:rPr>
          <w:rFonts w:eastAsiaTheme="minorEastAsia"/>
          <w:color w:val="auto"/>
        </w:rPr>
        <w:fldChar w:fldCharType="begin"/>
      </w:r>
      <w:r>
        <w:rPr>
          <w:rFonts w:eastAsiaTheme="minorEastAsia"/>
          <w:color w:val="auto"/>
        </w:rPr>
        <w:instrText xml:space="preserve"> = 6 \* GB3 </w:instrText>
      </w:r>
      <w:r>
        <w:rPr>
          <w:rFonts w:eastAsiaTheme="minorEastAsia"/>
          <w:color w:val="auto"/>
        </w:rPr>
        <w:fldChar w:fldCharType="separate"/>
      </w:r>
      <w:r>
        <w:rPr>
          <w:rFonts w:hint="eastAsia" w:ascii="宋体" w:hAnsi="宋体" w:cs="宋体"/>
          <w:color w:val="auto"/>
        </w:rPr>
        <w:t>⑥</w:t>
      </w:r>
      <w:r>
        <w:rPr>
          <w:rFonts w:eastAsiaTheme="minorEastAsia"/>
          <w:color w:val="auto"/>
        </w:rPr>
        <w:fldChar w:fldCharType="end"/>
      </w:r>
      <w:bookmarkEnd w:id="118"/>
      <w:bookmarkEnd w:id="119"/>
      <w:bookmarkEnd w:id="120"/>
      <w:r>
        <w:rPr>
          <w:rFonts w:eastAsiaTheme="minorEastAsia"/>
          <w:color w:val="auto"/>
        </w:rPr>
        <w:t>原矿堆场</w:t>
      </w:r>
      <w:r>
        <w:rPr>
          <w:rFonts w:hint="eastAsia" w:eastAsiaTheme="minorEastAsia"/>
          <w:color w:val="auto"/>
          <w:lang w:eastAsia="zh-CN"/>
        </w:rPr>
        <w:t>、</w:t>
      </w:r>
      <w:r>
        <w:rPr>
          <w:rFonts w:eastAsiaTheme="minorEastAsia"/>
          <w:color w:val="auto"/>
        </w:rPr>
        <w:t>成品料场粉尘</w:t>
      </w:r>
    </w:p>
    <w:p>
      <w:pPr>
        <w:pStyle w:val="299"/>
        <w:spacing w:line="500" w:lineRule="exact"/>
        <w:ind w:firstLine="480"/>
        <w:rPr>
          <w:rFonts w:eastAsiaTheme="minorEastAsia"/>
          <w:color w:val="auto"/>
        </w:rPr>
      </w:pPr>
      <w:r>
        <w:rPr>
          <w:rFonts w:eastAsiaTheme="minorEastAsia"/>
          <w:color w:val="auto"/>
        </w:rPr>
        <w:t>粉尘计算公式参照临时堆土场，从矿山运来原矿石堆入原矿堆场，原矿堆场面积取500</w:t>
      </w:r>
      <w:r>
        <w:rPr>
          <w:rFonts w:eastAsiaTheme="minorEastAsia"/>
          <w:color w:val="auto"/>
          <w:szCs w:val="21"/>
        </w:rPr>
        <w:t xml:space="preserve"> m</w:t>
      </w:r>
      <w:r>
        <w:rPr>
          <w:rFonts w:eastAsiaTheme="minorEastAsia"/>
          <w:color w:val="auto"/>
          <w:szCs w:val="21"/>
          <w:vertAlign w:val="superscript"/>
        </w:rPr>
        <w:t>2</w:t>
      </w:r>
      <w:r>
        <w:rPr>
          <w:rFonts w:eastAsiaTheme="minorEastAsia"/>
          <w:color w:val="auto"/>
          <w:szCs w:val="21"/>
        </w:rPr>
        <w:t>。</w:t>
      </w:r>
      <w:r>
        <w:rPr>
          <w:rFonts w:eastAsiaTheme="minorEastAsia"/>
          <w:color w:val="auto"/>
        </w:rPr>
        <w:t>粉尘产生量为0.</w:t>
      </w:r>
      <w:r>
        <w:rPr>
          <w:rFonts w:hint="eastAsia" w:eastAsiaTheme="minorEastAsia"/>
          <w:color w:val="auto"/>
          <w:lang w:val="en-US" w:eastAsia="zh-CN"/>
        </w:rPr>
        <w:t>05</w:t>
      </w:r>
      <w:r>
        <w:rPr>
          <w:rFonts w:eastAsiaTheme="minorEastAsia"/>
          <w:color w:val="auto"/>
        </w:rPr>
        <w:t>t/a，通过在原矿堆场洒水抑尘，可使起尘量降低80%，成品料场产生的扬尘量为0.0</w:t>
      </w:r>
      <w:r>
        <w:rPr>
          <w:rFonts w:hint="eastAsia" w:eastAsiaTheme="minorEastAsia"/>
          <w:color w:val="auto"/>
          <w:lang w:val="en-US" w:eastAsia="zh-CN"/>
        </w:rPr>
        <w:t>1</w:t>
      </w:r>
      <w:r>
        <w:rPr>
          <w:rFonts w:eastAsiaTheme="minorEastAsia"/>
          <w:color w:val="auto"/>
        </w:rPr>
        <w:t>t/a。</w:t>
      </w:r>
    </w:p>
    <w:p>
      <w:pPr>
        <w:pStyle w:val="276"/>
        <w:adjustRightInd w:val="0"/>
        <w:snapToGrid w:val="0"/>
        <w:jc w:val="both"/>
        <w:rPr>
          <w:rFonts w:eastAsiaTheme="minorEastAsia"/>
          <w:color w:val="auto"/>
        </w:rPr>
      </w:pPr>
      <w:r>
        <w:rPr>
          <w:rFonts w:eastAsiaTheme="minorEastAsia"/>
          <w:color w:val="auto"/>
        </w:rPr>
        <w:t>成品堆场料堆面积取</w:t>
      </w:r>
      <w:r>
        <w:rPr>
          <w:rFonts w:hint="eastAsia" w:eastAsiaTheme="minorEastAsia"/>
          <w:color w:val="auto"/>
          <w:lang w:val="en-US" w:eastAsia="zh-CN"/>
        </w:rPr>
        <w:t>800</w:t>
      </w:r>
      <w:r>
        <w:rPr>
          <w:rFonts w:eastAsiaTheme="minorEastAsia"/>
          <w:color w:val="auto"/>
        </w:rPr>
        <w:t>m</w:t>
      </w:r>
      <w:r>
        <w:rPr>
          <w:rFonts w:eastAsiaTheme="minorEastAsia"/>
          <w:color w:val="auto"/>
          <w:vertAlign w:val="superscript"/>
        </w:rPr>
        <w:t>2</w:t>
      </w:r>
      <w:r>
        <w:rPr>
          <w:rFonts w:eastAsiaTheme="minorEastAsia"/>
          <w:color w:val="auto"/>
        </w:rPr>
        <w:t>，粉尘产生量为0.</w:t>
      </w:r>
      <w:r>
        <w:rPr>
          <w:rFonts w:hint="eastAsia" w:eastAsiaTheme="minorEastAsia"/>
          <w:color w:val="auto"/>
          <w:lang w:val="en-US" w:eastAsia="zh-CN"/>
        </w:rPr>
        <w:t>08</w:t>
      </w:r>
      <w:r>
        <w:rPr>
          <w:rFonts w:eastAsiaTheme="minorEastAsia"/>
          <w:color w:val="auto"/>
        </w:rPr>
        <w:t>t/a，通过在成品料场洒水抑尘，可使起尘量降低80%，成品料场排放粉尘量为0.</w:t>
      </w:r>
      <w:r>
        <w:rPr>
          <w:rFonts w:hint="eastAsia" w:eastAsiaTheme="minorEastAsia"/>
          <w:color w:val="auto"/>
          <w:lang w:val="en-US" w:eastAsia="zh-CN"/>
        </w:rPr>
        <w:t>02</w:t>
      </w:r>
      <w:r>
        <w:rPr>
          <w:rFonts w:eastAsiaTheme="minorEastAsia"/>
          <w:color w:val="auto"/>
        </w:rPr>
        <w:t>t/a。</w:t>
      </w:r>
    </w:p>
    <w:p>
      <w:pPr>
        <w:pStyle w:val="276"/>
        <w:rPr>
          <w:rFonts w:eastAsiaTheme="minorEastAsia"/>
          <w:color w:val="auto"/>
        </w:rPr>
      </w:pPr>
      <w:r>
        <w:rPr>
          <w:rFonts w:eastAsiaTheme="minorEastAsia"/>
          <w:color w:val="auto"/>
          <w:kern w:val="0"/>
          <w:szCs w:val="24"/>
        </w:rPr>
        <w:fldChar w:fldCharType="begin"/>
      </w:r>
      <w:r>
        <w:rPr>
          <w:rFonts w:eastAsiaTheme="minorEastAsia"/>
          <w:color w:val="auto"/>
          <w:kern w:val="0"/>
          <w:szCs w:val="24"/>
        </w:rPr>
        <w:instrText xml:space="preserve"> = 7 \* GB3 </w:instrText>
      </w:r>
      <w:r>
        <w:rPr>
          <w:rFonts w:eastAsiaTheme="minorEastAsia"/>
          <w:color w:val="auto"/>
          <w:kern w:val="0"/>
          <w:szCs w:val="24"/>
        </w:rPr>
        <w:fldChar w:fldCharType="separate"/>
      </w:r>
      <w:r>
        <w:rPr>
          <w:rFonts w:hint="eastAsia" w:ascii="宋体" w:hAnsi="宋体" w:cs="宋体"/>
          <w:color w:val="auto"/>
          <w:kern w:val="0"/>
          <w:szCs w:val="24"/>
        </w:rPr>
        <w:t>⑦</w:t>
      </w:r>
      <w:r>
        <w:rPr>
          <w:rFonts w:eastAsiaTheme="minorEastAsia"/>
          <w:color w:val="auto"/>
          <w:kern w:val="0"/>
          <w:szCs w:val="24"/>
        </w:rPr>
        <w:fldChar w:fldCharType="end"/>
      </w:r>
      <w:r>
        <w:rPr>
          <w:rFonts w:eastAsiaTheme="minorEastAsia"/>
          <w:color w:val="auto"/>
        </w:rPr>
        <w:t>石粉仓粉尘</w:t>
      </w:r>
    </w:p>
    <w:p>
      <w:pPr>
        <w:pStyle w:val="276"/>
        <w:rPr>
          <w:rFonts w:eastAsiaTheme="minorEastAsia"/>
          <w:color w:val="auto"/>
        </w:rPr>
      </w:pPr>
      <w:r>
        <w:rPr>
          <w:rFonts w:eastAsiaTheme="minorEastAsia"/>
          <w:color w:val="auto"/>
        </w:rPr>
        <w:t>石粉仓进出料工序会产生粉尘，本项目石粉仓粉尘的产生量类比《逸散性工业粉尘控制技术》中水泥生产的逸散尘排放因子中，石膏、铁矿石、粘土、石灰石、砂、煤等原料的卸料，排放因子为0.2kg/t，本项目石粉仓存储石粉为</w:t>
      </w:r>
      <w:r>
        <w:rPr>
          <w:rFonts w:hint="eastAsia" w:eastAsiaTheme="minorEastAsia"/>
          <w:color w:val="auto"/>
          <w:lang w:eastAsia="zh-CN"/>
        </w:rPr>
        <w:t>381.4</w:t>
      </w:r>
      <w:r>
        <w:rPr>
          <w:rFonts w:eastAsiaTheme="minorEastAsia"/>
          <w:color w:val="auto"/>
        </w:rPr>
        <w:t>t/a，因此产生的粉尘的量为0.</w:t>
      </w:r>
      <w:r>
        <w:rPr>
          <w:rFonts w:hint="eastAsia" w:eastAsiaTheme="minorEastAsia"/>
          <w:color w:val="auto"/>
          <w:lang w:val="en-US" w:eastAsia="zh-CN"/>
        </w:rPr>
        <w:t>08</w:t>
      </w:r>
      <w:r>
        <w:rPr>
          <w:rFonts w:eastAsiaTheme="minorEastAsia"/>
          <w:color w:val="auto"/>
        </w:rPr>
        <w:t>t/a。企业采取封闭石粉仓，可使起尘量降低80%，粉尘排放量0.0</w:t>
      </w:r>
      <w:r>
        <w:rPr>
          <w:rFonts w:hint="eastAsia" w:eastAsiaTheme="minorEastAsia"/>
          <w:color w:val="auto"/>
          <w:lang w:val="en-US" w:eastAsia="zh-CN"/>
        </w:rPr>
        <w:t>2</w:t>
      </w:r>
      <w:r>
        <w:rPr>
          <w:rFonts w:eastAsiaTheme="minorEastAsia"/>
          <w:color w:val="auto"/>
        </w:rPr>
        <w:t>t/a。</w:t>
      </w:r>
    </w:p>
    <w:p>
      <w:pPr>
        <w:pStyle w:val="276"/>
        <w:rPr>
          <w:rFonts w:eastAsiaTheme="minorEastAsia"/>
          <w:color w:val="auto"/>
        </w:rPr>
      </w:pPr>
      <w:r>
        <w:rPr>
          <w:rFonts w:eastAsiaTheme="minorEastAsia"/>
          <w:color w:val="auto"/>
        </w:rPr>
        <w:t>（2）废水</w:t>
      </w:r>
    </w:p>
    <w:p>
      <w:pPr>
        <w:ind w:firstLine="480"/>
        <w:rPr>
          <w:rFonts w:eastAsiaTheme="minorEastAsia"/>
          <w:color w:val="auto"/>
        </w:rPr>
      </w:pPr>
      <w:r>
        <w:rPr>
          <w:rFonts w:eastAsiaTheme="minorEastAsia"/>
          <w:color w:val="auto"/>
        </w:rPr>
        <w:t>凿岩钻孔过程中，需要用水来为钻机降温及抑尘；另外爆破、集堆铲装过程及临时堆土场和运输道路，也需洒水抑尘。经类比调查，采剥钻孔抑尘用水为6m</w:t>
      </w:r>
      <w:r>
        <w:rPr>
          <w:rFonts w:eastAsiaTheme="minorEastAsia"/>
          <w:color w:val="auto"/>
          <w:vertAlign w:val="superscript"/>
        </w:rPr>
        <w:t>3</w:t>
      </w:r>
      <w:r>
        <w:rPr>
          <w:rFonts w:eastAsiaTheme="minorEastAsia"/>
          <w:color w:val="auto"/>
        </w:rPr>
        <w:t>/次，每年约为20次；爆破抑尘用水9m</w:t>
      </w:r>
      <w:r>
        <w:rPr>
          <w:rFonts w:eastAsiaTheme="minorEastAsia"/>
          <w:color w:val="auto"/>
          <w:vertAlign w:val="superscript"/>
        </w:rPr>
        <w:t>3</w:t>
      </w:r>
      <w:r>
        <w:rPr>
          <w:rFonts w:eastAsiaTheme="minorEastAsia"/>
          <w:color w:val="auto"/>
        </w:rPr>
        <w:t>/次，每年约为20次；临时堆土场抑尘用水为1.5m</w:t>
      </w:r>
      <w:r>
        <w:rPr>
          <w:rFonts w:eastAsiaTheme="minorEastAsia"/>
          <w:color w:val="auto"/>
          <w:vertAlign w:val="superscript"/>
        </w:rPr>
        <w:t>3</w:t>
      </w:r>
      <w:r>
        <w:rPr>
          <w:rFonts w:eastAsiaTheme="minorEastAsia"/>
          <w:color w:val="auto"/>
        </w:rPr>
        <w:t>/次，每年为240次；破碎筛分工序抑尘用水为3m</w:t>
      </w:r>
      <w:r>
        <w:rPr>
          <w:rFonts w:eastAsiaTheme="minorEastAsia"/>
          <w:color w:val="auto"/>
          <w:vertAlign w:val="superscript"/>
        </w:rPr>
        <w:t>3</w:t>
      </w:r>
      <w:r>
        <w:rPr>
          <w:rFonts w:eastAsiaTheme="minorEastAsia"/>
          <w:color w:val="auto"/>
        </w:rPr>
        <w:t>/d，每年240d；集堆铲装及道路喷洒抑尘用水为2m</w:t>
      </w:r>
      <w:r>
        <w:rPr>
          <w:rFonts w:eastAsiaTheme="minorEastAsia"/>
          <w:color w:val="auto"/>
          <w:vertAlign w:val="superscript"/>
        </w:rPr>
        <w:t>3</w:t>
      </w:r>
      <w:r>
        <w:rPr>
          <w:rFonts w:eastAsiaTheme="minorEastAsia"/>
          <w:color w:val="auto"/>
        </w:rPr>
        <w:t>/d，每年约为240d，因此本项目生产用水量约为1860m</w:t>
      </w:r>
      <w:r>
        <w:rPr>
          <w:rFonts w:eastAsiaTheme="minorEastAsia"/>
          <w:color w:val="auto"/>
          <w:vertAlign w:val="superscript"/>
        </w:rPr>
        <w:t>3</w:t>
      </w:r>
      <w:r>
        <w:rPr>
          <w:rFonts w:eastAsiaTheme="minorEastAsia"/>
          <w:color w:val="auto"/>
        </w:rPr>
        <w:t>/a，本项目生产用水取自矿区汇水，不足部分由井水补充，生产抑尘或降尘用水，绝大多是蒸发消耗掉。本项目矿区汇集雨水主要污染因子为SS，含少量石油类，类比调查平均 SS浓度为700mg/L，收集至沉淀池，回用于开采平台洒水以及道路洒水抑尘等用水，不外排。</w:t>
      </w:r>
    </w:p>
    <w:p>
      <w:pPr>
        <w:pStyle w:val="276"/>
        <w:jc w:val="both"/>
        <w:rPr>
          <w:rFonts w:eastAsiaTheme="minorEastAsia"/>
          <w:color w:val="auto"/>
        </w:rPr>
      </w:pPr>
      <w:r>
        <w:rPr>
          <w:rFonts w:eastAsiaTheme="minorEastAsia"/>
          <w:color w:val="auto"/>
        </w:rPr>
        <w:t>本项目生活污水约为48m</w:t>
      </w:r>
      <w:r>
        <w:rPr>
          <w:rFonts w:eastAsiaTheme="minorEastAsia"/>
          <w:color w:val="auto"/>
          <w:vertAlign w:val="superscript"/>
        </w:rPr>
        <w:t>3</w:t>
      </w:r>
      <w:r>
        <w:rPr>
          <w:rFonts w:eastAsiaTheme="minorEastAsia"/>
          <w:color w:val="auto"/>
        </w:rPr>
        <w:t>/a，经防渗旱厕，定期清掏，外运堆肥。其给排水情况见表3-3-5。</w:t>
      </w:r>
    </w:p>
    <w:p>
      <w:pPr>
        <w:pStyle w:val="276"/>
        <w:jc w:val="center"/>
        <w:rPr>
          <w:rFonts w:eastAsiaTheme="minorEastAsia"/>
          <w:color w:val="auto"/>
        </w:rPr>
      </w:pPr>
      <w:r>
        <w:rPr>
          <w:rFonts w:eastAsiaTheme="minorEastAsia"/>
          <w:color w:val="auto"/>
        </w:rPr>
        <w:t>表3-3-5项目给排水情况</w:t>
      </w:r>
    </w:p>
    <w:tbl>
      <w:tblPr>
        <w:tblStyle w:val="54"/>
        <w:tblW w:w="8296" w:type="dxa"/>
        <w:jc w:val="center"/>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2074"/>
        <w:gridCol w:w="2074"/>
        <w:gridCol w:w="2074"/>
        <w:gridCol w:w="2074"/>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074"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项目</w:t>
            </w:r>
          </w:p>
        </w:tc>
        <w:tc>
          <w:tcPr>
            <w:tcW w:w="2074"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水量（m</w:t>
            </w:r>
            <w:r>
              <w:rPr>
                <w:rFonts w:ascii="Times New Roman" w:hAnsi="Times New Roman" w:eastAsiaTheme="minorEastAsia"/>
                <w:color w:val="auto"/>
                <w:sz w:val="21"/>
                <w:szCs w:val="21"/>
                <w:vertAlign w:val="superscript"/>
              </w:rPr>
              <w:t>3</w:t>
            </w:r>
            <w:r>
              <w:rPr>
                <w:rFonts w:ascii="Times New Roman" w:hAnsi="Times New Roman" w:eastAsiaTheme="minorEastAsia"/>
                <w:color w:val="auto"/>
                <w:sz w:val="21"/>
                <w:szCs w:val="21"/>
              </w:rPr>
              <w:t>/a）</w:t>
            </w:r>
          </w:p>
        </w:tc>
        <w:tc>
          <w:tcPr>
            <w:tcW w:w="2074"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蒸发损（m</w:t>
            </w:r>
            <w:r>
              <w:rPr>
                <w:rFonts w:ascii="Times New Roman" w:hAnsi="Times New Roman" w:eastAsiaTheme="minorEastAsia"/>
                <w:color w:val="auto"/>
                <w:sz w:val="21"/>
                <w:szCs w:val="21"/>
                <w:vertAlign w:val="superscript"/>
              </w:rPr>
              <w:t>3</w:t>
            </w:r>
            <w:r>
              <w:rPr>
                <w:rFonts w:ascii="Times New Roman" w:hAnsi="Times New Roman" w:eastAsiaTheme="minorEastAsia"/>
                <w:color w:val="auto"/>
                <w:sz w:val="21"/>
                <w:szCs w:val="21"/>
              </w:rPr>
              <w:t>/a）</w:t>
            </w:r>
          </w:p>
        </w:tc>
        <w:tc>
          <w:tcPr>
            <w:tcW w:w="2074"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废水量（m</w:t>
            </w:r>
            <w:r>
              <w:rPr>
                <w:rFonts w:ascii="Times New Roman" w:hAnsi="Times New Roman" w:eastAsiaTheme="minorEastAsia"/>
                <w:color w:val="auto"/>
                <w:sz w:val="21"/>
                <w:szCs w:val="21"/>
                <w:vertAlign w:val="superscript"/>
              </w:rPr>
              <w:t>3</w:t>
            </w:r>
            <w:r>
              <w:rPr>
                <w:rFonts w:ascii="Times New Roman" w:hAnsi="Times New Roman" w:eastAsiaTheme="minorEastAsia"/>
                <w:color w:val="auto"/>
                <w:sz w:val="21"/>
                <w:szCs w:val="21"/>
              </w:rPr>
              <w:t>/a）</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074"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生产用水</w:t>
            </w:r>
          </w:p>
        </w:tc>
        <w:tc>
          <w:tcPr>
            <w:tcW w:w="2074"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1860</w:t>
            </w:r>
          </w:p>
        </w:tc>
        <w:tc>
          <w:tcPr>
            <w:tcW w:w="2074"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1860</w:t>
            </w:r>
          </w:p>
        </w:tc>
        <w:tc>
          <w:tcPr>
            <w:tcW w:w="2074"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074"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生活用水</w:t>
            </w:r>
          </w:p>
        </w:tc>
        <w:tc>
          <w:tcPr>
            <w:tcW w:w="2074"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60</w:t>
            </w:r>
          </w:p>
        </w:tc>
        <w:tc>
          <w:tcPr>
            <w:tcW w:w="2074"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12</w:t>
            </w:r>
          </w:p>
        </w:tc>
        <w:tc>
          <w:tcPr>
            <w:tcW w:w="2074"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48</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074"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合计</w:t>
            </w:r>
          </w:p>
        </w:tc>
        <w:tc>
          <w:tcPr>
            <w:tcW w:w="2074"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1920</w:t>
            </w:r>
          </w:p>
        </w:tc>
        <w:tc>
          <w:tcPr>
            <w:tcW w:w="2074"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1872</w:t>
            </w:r>
          </w:p>
        </w:tc>
        <w:tc>
          <w:tcPr>
            <w:tcW w:w="2074"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48</w:t>
            </w:r>
          </w:p>
        </w:tc>
      </w:tr>
    </w:tbl>
    <w:p>
      <w:pPr>
        <w:pStyle w:val="276"/>
        <w:rPr>
          <w:rFonts w:eastAsiaTheme="minorEastAsia"/>
          <w:color w:val="auto"/>
        </w:rPr>
      </w:pPr>
      <w:bookmarkStart w:id="121" w:name="_Toc440973084"/>
      <w:bookmarkStart w:id="122" w:name="_Toc440973720"/>
      <w:bookmarkStart w:id="123" w:name="_Toc440973454"/>
      <w:r>
        <w:rPr>
          <w:rFonts w:eastAsiaTheme="minorEastAsia"/>
          <w:color w:val="auto"/>
        </w:rPr>
        <w:t>（3）噪声</w:t>
      </w:r>
    </w:p>
    <w:p>
      <w:pPr>
        <w:pStyle w:val="276"/>
        <w:rPr>
          <w:rFonts w:eastAsiaTheme="minorEastAsia"/>
          <w:color w:val="auto"/>
        </w:rPr>
      </w:pPr>
      <w:r>
        <w:rPr>
          <w:rFonts w:eastAsiaTheme="minorEastAsia"/>
          <w:color w:val="auto"/>
        </w:rPr>
        <w:t>1）采石过程</w:t>
      </w:r>
    </w:p>
    <w:p>
      <w:pPr>
        <w:pStyle w:val="276"/>
        <w:rPr>
          <w:rFonts w:eastAsiaTheme="minorEastAsia"/>
          <w:color w:val="auto"/>
        </w:rPr>
      </w:pPr>
      <w:r>
        <w:rPr>
          <w:rFonts w:eastAsiaTheme="minorEastAsia"/>
          <w:color w:val="auto"/>
        </w:rPr>
        <w:t>采石过程产生的噪声主要是爆破噪声和</w:t>
      </w:r>
      <w:r>
        <w:rPr>
          <w:rFonts w:hint="eastAsia" w:eastAsiaTheme="minorEastAsia"/>
          <w:color w:val="auto"/>
          <w:lang w:eastAsia="zh-CN"/>
        </w:rPr>
        <w:t>凿岩机</w:t>
      </w:r>
      <w:r>
        <w:rPr>
          <w:rFonts w:eastAsiaTheme="minorEastAsia"/>
          <w:color w:val="auto"/>
        </w:rPr>
        <w:t>、空压机产生的设备噪声。爆破噪声特征为瞬时性，25m处噪声源强为1</w:t>
      </w:r>
      <w:r>
        <w:rPr>
          <w:rFonts w:hint="eastAsia" w:eastAsiaTheme="minorEastAsia"/>
          <w:color w:val="auto"/>
          <w:lang w:val="en-US" w:eastAsia="zh-CN"/>
        </w:rPr>
        <w:t>00~115</w:t>
      </w:r>
      <w:r>
        <w:rPr>
          <w:rFonts w:eastAsiaTheme="minorEastAsia"/>
          <w:color w:val="auto"/>
        </w:rPr>
        <w:t>dB（A）。凿岩机产生的噪声源强为</w:t>
      </w:r>
      <w:r>
        <w:rPr>
          <w:rFonts w:hint="eastAsia" w:eastAsiaTheme="minorEastAsia"/>
          <w:color w:val="auto"/>
          <w:lang w:val="en-US" w:eastAsia="zh-CN"/>
        </w:rPr>
        <w:t>90~115</w:t>
      </w:r>
      <w:r>
        <w:rPr>
          <w:rFonts w:eastAsiaTheme="minorEastAsia"/>
          <w:color w:val="auto"/>
        </w:rPr>
        <w:t>dB（A），空压机产生的噪声源强为</w:t>
      </w:r>
      <w:r>
        <w:rPr>
          <w:rFonts w:hint="eastAsia" w:eastAsiaTheme="minorEastAsia"/>
          <w:color w:val="auto"/>
          <w:lang w:val="en-US" w:eastAsia="zh-CN"/>
        </w:rPr>
        <w:t>75~90</w:t>
      </w:r>
      <w:r>
        <w:rPr>
          <w:rFonts w:eastAsiaTheme="minorEastAsia"/>
          <w:color w:val="auto"/>
        </w:rPr>
        <w:t>dB（A）。挖掘机产生的噪声源强为80~90dB（A）。</w:t>
      </w:r>
    </w:p>
    <w:p>
      <w:pPr>
        <w:pStyle w:val="276"/>
        <w:rPr>
          <w:rFonts w:eastAsiaTheme="minorEastAsia"/>
          <w:color w:val="auto"/>
        </w:rPr>
      </w:pPr>
      <w:r>
        <w:rPr>
          <w:rFonts w:eastAsiaTheme="minorEastAsia"/>
          <w:color w:val="auto"/>
        </w:rPr>
        <w:t xml:space="preserve">2）破碎、筛分加工过程 </w:t>
      </w:r>
    </w:p>
    <w:p>
      <w:pPr>
        <w:pStyle w:val="276"/>
        <w:jc w:val="both"/>
        <w:rPr>
          <w:rFonts w:eastAsiaTheme="minorEastAsia"/>
          <w:color w:val="auto"/>
        </w:rPr>
      </w:pPr>
      <w:r>
        <w:rPr>
          <w:rFonts w:eastAsiaTheme="minorEastAsia"/>
          <w:color w:val="auto"/>
        </w:rPr>
        <w:t>破碎加工过程是本项目产生噪声的主要污染源，噪声源强为95~105dB（A），</w:t>
      </w:r>
      <w:r>
        <w:rPr>
          <w:rFonts w:hint="eastAsia" w:eastAsiaTheme="minorEastAsia"/>
          <w:color w:val="auto"/>
          <w:lang w:eastAsia="zh-CN"/>
        </w:rPr>
        <w:t>筛分过程</w:t>
      </w:r>
      <w:r>
        <w:rPr>
          <w:rFonts w:eastAsiaTheme="minorEastAsia"/>
          <w:color w:val="auto"/>
        </w:rPr>
        <w:t>噪声源强</w:t>
      </w:r>
      <w:r>
        <w:rPr>
          <w:rFonts w:hint="eastAsia" w:eastAsiaTheme="minorEastAsia"/>
          <w:color w:val="auto"/>
          <w:lang w:eastAsia="zh-CN"/>
        </w:rPr>
        <w:t>约为</w:t>
      </w:r>
      <w:r>
        <w:rPr>
          <w:rFonts w:eastAsiaTheme="minorEastAsia"/>
          <w:color w:val="auto"/>
        </w:rPr>
        <w:t>85~95dB（A）。</w:t>
      </w:r>
    </w:p>
    <w:p>
      <w:pPr>
        <w:pStyle w:val="276"/>
        <w:jc w:val="both"/>
        <w:rPr>
          <w:rFonts w:eastAsiaTheme="minorEastAsia"/>
          <w:color w:val="auto"/>
        </w:rPr>
      </w:pPr>
      <w:r>
        <w:rPr>
          <w:rFonts w:eastAsiaTheme="minorEastAsia"/>
          <w:color w:val="auto"/>
        </w:rPr>
        <w:t>3）集堆、铲装、运输过程</w:t>
      </w:r>
    </w:p>
    <w:p>
      <w:pPr>
        <w:pStyle w:val="55"/>
        <w:spacing w:line="500" w:lineRule="exact"/>
        <w:jc w:val="both"/>
        <w:rPr>
          <w:rFonts w:ascii="Times New Roman" w:hAnsi="Times New Roman" w:cs="Times New Roman" w:eastAsiaTheme="minorEastAsia"/>
          <w:color w:val="auto"/>
        </w:rPr>
      </w:pPr>
      <w:r>
        <w:rPr>
          <w:rFonts w:ascii="Times New Roman" w:hAnsi="Times New Roman" w:cs="Times New Roman" w:eastAsiaTheme="minorEastAsia"/>
          <w:color w:val="auto"/>
        </w:rPr>
        <w:t>剥离的土岩及爆破后的岩石用挖掘机、装载机等设备进行铲装集运，集堆、铲装时不要把石料举起太高，轻装轻放，尽量减少在铲装过程中产生的噪声，本项目挖掘机、装载机噪声强度约</w:t>
      </w:r>
      <w:r>
        <w:rPr>
          <w:rFonts w:hint="eastAsia" w:ascii="Times New Roman" w:hAnsi="Times New Roman" w:cs="Times New Roman" w:eastAsiaTheme="minorEastAsia"/>
          <w:color w:val="auto"/>
          <w:lang w:val="en-US" w:eastAsia="zh-CN"/>
        </w:rPr>
        <w:t>80~100</w:t>
      </w:r>
      <w:r>
        <w:rPr>
          <w:rFonts w:ascii="Times New Roman" w:hAnsi="Times New Roman" w:cs="Times New Roman" w:eastAsiaTheme="minorEastAsia"/>
          <w:color w:val="auto"/>
        </w:rPr>
        <w:t>dB（A）。</w:t>
      </w:r>
    </w:p>
    <w:p>
      <w:pPr>
        <w:pStyle w:val="276"/>
        <w:jc w:val="both"/>
        <w:rPr>
          <w:rFonts w:eastAsiaTheme="minorEastAsia"/>
          <w:color w:val="auto"/>
        </w:rPr>
      </w:pPr>
      <w:r>
        <w:rPr>
          <w:rFonts w:eastAsiaTheme="minorEastAsia"/>
          <w:color w:val="auto"/>
        </w:rPr>
        <w:t>对运输交通噪声，禁止使用超过噪声限值的运输车辆，汽车运输机械设备应安装消声器和禁用高音喇叭，机动车辆必须加强维修和保养，保持技术性能良好，在经过运输道路沿途村落时，应低速行驶，限制鸣笛，合理安排运输车辆工作时间，不得在夜间、休息时间运输，避免交通噪声对沿途村庄产生影响。本项目运输路线沿途经过噪声敏感点处产生噪声源强</w:t>
      </w:r>
      <w:r>
        <w:rPr>
          <w:rFonts w:hint="eastAsia" w:eastAsiaTheme="minorEastAsia"/>
          <w:color w:val="auto"/>
          <w:lang w:eastAsia="zh-CN"/>
        </w:rPr>
        <w:t>约</w:t>
      </w:r>
      <w:r>
        <w:rPr>
          <w:rFonts w:eastAsiaTheme="minorEastAsia"/>
          <w:color w:val="auto"/>
        </w:rPr>
        <w:t>为</w:t>
      </w:r>
      <w:r>
        <w:rPr>
          <w:rFonts w:hint="eastAsia" w:eastAsiaTheme="minorEastAsia"/>
          <w:color w:val="auto"/>
          <w:lang w:val="en-US" w:eastAsia="zh-CN"/>
        </w:rPr>
        <w:t>80.2</w:t>
      </w:r>
      <w:r>
        <w:rPr>
          <w:rFonts w:eastAsiaTheme="minorEastAsia"/>
          <w:color w:val="auto"/>
        </w:rPr>
        <w:t>dB（A）</w:t>
      </w:r>
      <w:r>
        <w:rPr>
          <w:rFonts w:eastAsiaTheme="minorEastAsia"/>
          <w:color w:val="auto"/>
          <w:sz w:val="23"/>
          <w:szCs w:val="23"/>
        </w:rPr>
        <w:t>。</w:t>
      </w:r>
    </w:p>
    <w:p>
      <w:pPr>
        <w:pStyle w:val="276"/>
        <w:jc w:val="both"/>
        <w:rPr>
          <w:rFonts w:eastAsiaTheme="minorEastAsia"/>
          <w:color w:val="auto"/>
        </w:rPr>
      </w:pPr>
      <w:r>
        <w:rPr>
          <w:rFonts w:eastAsiaTheme="minorEastAsia"/>
          <w:color w:val="auto"/>
        </w:rPr>
        <w:t>4）水泵工作噪声</w:t>
      </w:r>
    </w:p>
    <w:p>
      <w:pPr>
        <w:pStyle w:val="276"/>
        <w:jc w:val="both"/>
        <w:rPr>
          <w:rFonts w:eastAsiaTheme="minorEastAsia"/>
          <w:color w:val="auto"/>
        </w:rPr>
      </w:pPr>
      <w:r>
        <w:rPr>
          <w:rFonts w:eastAsiaTheme="minorEastAsia"/>
          <w:color w:val="auto"/>
        </w:rPr>
        <w:t>矿区汇水汇入贮水池后用于生产降尘，水泵噪声源强为80~85 dB（A）。本项目各工序的主要设备噪声值见表3-3-6。</w:t>
      </w:r>
    </w:p>
    <w:p>
      <w:pPr>
        <w:pStyle w:val="244"/>
        <w:rPr>
          <w:rFonts w:eastAsiaTheme="minorEastAsia"/>
          <w:color w:val="auto"/>
        </w:rPr>
      </w:pPr>
      <w:r>
        <w:rPr>
          <w:rFonts w:eastAsiaTheme="minorEastAsia"/>
          <w:color w:val="auto"/>
        </w:rPr>
        <w:t>表3-3-6  主要设备噪声值</w:t>
      </w:r>
    </w:p>
    <w:bookmarkEnd w:id="121"/>
    <w:bookmarkEnd w:id="122"/>
    <w:bookmarkEnd w:id="123"/>
    <w:tbl>
      <w:tblPr>
        <w:tblStyle w:val="53"/>
        <w:tblW w:w="8532"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81"/>
        <w:gridCol w:w="2016"/>
        <w:gridCol w:w="1722"/>
        <w:gridCol w:w="1722"/>
        <w:gridCol w:w="169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1381" w:type="dxa"/>
            <w:noWrap w:val="0"/>
            <w:vAlign w:val="center"/>
          </w:tcPr>
          <w:p>
            <w:pPr>
              <w:adjustRightInd w:val="0"/>
              <w:snapToGrid w:val="0"/>
              <w:spacing w:line="360" w:lineRule="exact"/>
              <w:jc w:val="center"/>
              <w:rPr>
                <w:color w:val="auto"/>
                <w:sz w:val="18"/>
                <w:szCs w:val="18"/>
              </w:rPr>
            </w:pPr>
            <w:bookmarkStart w:id="124" w:name="_Toc440973455"/>
            <w:bookmarkStart w:id="125" w:name="_Toc440973085"/>
            <w:bookmarkStart w:id="126" w:name="_Toc440973721"/>
            <w:r>
              <w:rPr>
                <w:color w:val="auto"/>
                <w:sz w:val="18"/>
                <w:szCs w:val="18"/>
              </w:rPr>
              <w:t>序号</w:t>
            </w:r>
          </w:p>
        </w:tc>
        <w:tc>
          <w:tcPr>
            <w:tcW w:w="2016" w:type="dxa"/>
            <w:noWrap w:val="0"/>
            <w:vAlign w:val="center"/>
          </w:tcPr>
          <w:p>
            <w:pPr>
              <w:adjustRightInd w:val="0"/>
              <w:snapToGrid w:val="0"/>
              <w:spacing w:line="360" w:lineRule="exact"/>
              <w:jc w:val="center"/>
              <w:rPr>
                <w:color w:val="auto"/>
                <w:sz w:val="18"/>
                <w:szCs w:val="18"/>
              </w:rPr>
            </w:pPr>
            <w:r>
              <w:rPr>
                <w:color w:val="auto"/>
                <w:sz w:val="18"/>
                <w:szCs w:val="18"/>
              </w:rPr>
              <w:t>噪声源</w:t>
            </w:r>
          </w:p>
        </w:tc>
        <w:tc>
          <w:tcPr>
            <w:tcW w:w="1722" w:type="dxa"/>
            <w:noWrap w:val="0"/>
            <w:vAlign w:val="center"/>
          </w:tcPr>
          <w:p>
            <w:pPr>
              <w:adjustRightInd w:val="0"/>
              <w:snapToGrid w:val="0"/>
              <w:spacing w:line="360" w:lineRule="exact"/>
              <w:jc w:val="center"/>
              <w:rPr>
                <w:rFonts w:hint="eastAsia" w:eastAsia="宋体"/>
                <w:color w:val="auto"/>
                <w:sz w:val="18"/>
                <w:szCs w:val="18"/>
                <w:lang w:eastAsia="zh-CN"/>
              </w:rPr>
            </w:pPr>
            <w:r>
              <w:rPr>
                <w:color w:val="auto"/>
                <w:sz w:val="18"/>
                <w:szCs w:val="18"/>
              </w:rPr>
              <w:t>数量（台）</w:t>
            </w:r>
          </w:p>
        </w:tc>
        <w:tc>
          <w:tcPr>
            <w:tcW w:w="1722" w:type="dxa"/>
            <w:noWrap w:val="0"/>
            <w:vAlign w:val="center"/>
          </w:tcPr>
          <w:p>
            <w:pPr>
              <w:adjustRightInd w:val="0"/>
              <w:snapToGrid w:val="0"/>
              <w:spacing w:line="360" w:lineRule="exact"/>
              <w:jc w:val="center"/>
              <w:rPr>
                <w:color w:val="auto"/>
                <w:sz w:val="18"/>
                <w:szCs w:val="18"/>
              </w:rPr>
            </w:pPr>
            <w:r>
              <w:rPr>
                <w:color w:val="auto"/>
                <w:sz w:val="18"/>
                <w:szCs w:val="18"/>
              </w:rPr>
              <w:t>噪声级dB（A）</w:t>
            </w:r>
          </w:p>
        </w:tc>
        <w:tc>
          <w:tcPr>
            <w:tcW w:w="1691" w:type="dxa"/>
            <w:noWrap w:val="0"/>
            <w:vAlign w:val="center"/>
          </w:tcPr>
          <w:p>
            <w:pPr>
              <w:adjustRightInd w:val="0"/>
              <w:snapToGrid w:val="0"/>
              <w:spacing w:line="360" w:lineRule="exact"/>
              <w:jc w:val="center"/>
              <w:rPr>
                <w:color w:val="auto"/>
                <w:sz w:val="18"/>
                <w:szCs w:val="18"/>
              </w:rPr>
            </w:pPr>
            <w:r>
              <w:rPr>
                <w:color w:val="auto"/>
                <w:sz w:val="18"/>
                <w:szCs w:val="18"/>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1381" w:type="dxa"/>
            <w:noWrap w:val="0"/>
            <w:vAlign w:val="center"/>
          </w:tcPr>
          <w:p>
            <w:pPr>
              <w:adjustRightInd w:val="0"/>
              <w:snapToGrid w:val="0"/>
              <w:spacing w:line="360" w:lineRule="exact"/>
              <w:jc w:val="center"/>
              <w:rPr>
                <w:color w:val="auto"/>
                <w:sz w:val="18"/>
                <w:szCs w:val="18"/>
              </w:rPr>
            </w:pPr>
            <w:r>
              <w:rPr>
                <w:color w:val="auto"/>
                <w:sz w:val="18"/>
                <w:szCs w:val="18"/>
              </w:rPr>
              <w:t>1</w:t>
            </w:r>
          </w:p>
        </w:tc>
        <w:tc>
          <w:tcPr>
            <w:tcW w:w="2016" w:type="dxa"/>
            <w:noWrap w:val="0"/>
            <w:vAlign w:val="center"/>
          </w:tcPr>
          <w:p>
            <w:pPr>
              <w:adjustRightInd w:val="0"/>
              <w:snapToGrid w:val="0"/>
              <w:spacing w:line="360" w:lineRule="exact"/>
              <w:jc w:val="center"/>
              <w:rPr>
                <w:color w:val="auto"/>
                <w:sz w:val="18"/>
                <w:szCs w:val="18"/>
              </w:rPr>
            </w:pPr>
            <w:r>
              <w:rPr>
                <w:color w:val="auto"/>
                <w:sz w:val="18"/>
                <w:szCs w:val="18"/>
              </w:rPr>
              <w:t>凿岩机</w:t>
            </w:r>
          </w:p>
        </w:tc>
        <w:tc>
          <w:tcPr>
            <w:tcW w:w="1722" w:type="dxa"/>
            <w:noWrap w:val="0"/>
            <w:vAlign w:val="center"/>
          </w:tcPr>
          <w:p>
            <w:pPr>
              <w:adjustRightInd w:val="0"/>
              <w:snapToGrid w:val="0"/>
              <w:spacing w:line="360" w:lineRule="exact"/>
              <w:jc w:val="center"/>
              <w:rPr>
                <w:rFonts w:hint="eastAsia" w:eastAsia="宋体"/>
                <w:color w:val="auto"/>
                <w:sz w:val="18"/>
                <w:szCs w:val="18"/>
                <w:lang w:val="en-US" w:eastAsia="zh-CN"/>
              </w:rPr>
            </w:pPr>
            <w:r>
              <w:rPr>
                <w:rFonts w:hint="eastAsia"/>
                <w:color w:val="auto"/>
                <w:sz w:val="18"/>
                <w:szCs w:val="18"/>
                <w:lang w:val="en-US" w:eastAsia="zh-CN"/>
              </w:rPr>
              <w:t>1</w:t>
            </w:r>
          </w:p>
        </w:tc>
        <w:tc>
          <w:tcPr>
            <w:tcW w:w="1722" w:type="dxa"/>
            <w:noWrap w:val="0"/>
            <w:vAlign w:val="center"/>
          </w:tcPr>
          <w:p>
            <w:pPr>
              <w:adjustRightInd w:val="0"/>
              <w:snapToGrid w:val="0"/>
              <w:spacing w:line="360" w:lineRule="exact"/>
              <w:jc w:val="center"/>
              <w:rPr>
                <w:color w:val="auto"/>
                <w:sz w:val="18"/>
                <w:szCs w:val="18"/>
              </w:rPr>
            </w:pPr>
            <w:r>
              <w:rPr>
                <w:color w:val="auto"/>
                <w:sz w:val="18"/>
                <w:szCs w:val="18"/>
              </w:rPr>
              <w:t>90~115</w:t>
            </w:r>
          </w:p>
        </w:tc>
        <w:tc>
          <w:tcPr>
            <w:tcW w:w="1691" w:type="dxa"/>
            <w:noWrap w:val="0"/>
            <w:vAlign w:val="center"/>
          </w:tcPr>
          <w:p>
            <w:pPr>
              <w:adjustRightInd w:val="0"/>
              <w:snapToGrid w:val="0"/>
              <w:spacing w:line="360" w:lineRule="exact"/>
              <w:jc w:val="center"/>
              <w:rPr>
                <w:color w:val="auto"/>
                <w:sz w:val="18"/>
                <w:szCs w:val="18"/>
              </w:rPr>
            </w:pPr>
            <w:r>
              <w:rPr>
                <w:color w:val="auto"/>
                <w:sz w:val="18"/>
                <w:szCs w:val="18"/>
              </w:rPr>
              <w:t>间断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1381" w:type="dxa"/>
            <w:noWrap w:val="0"/>
            <w:vAlign w:val="center"/>
          </w:tcPr>
          <w:p>
            <w:pPr>
              <w:adjustRightInd w:val="0"/>
              <w:snapToGrid w:val="0"/>
              <w:spacing w:line="360" w:lineRule="exact"/>
              <w:jc w:val="center"/>
              <w:rPr>
                <w:color w:val="auto"/>
                <w:sz w:val="18"/>
                <w:szCs w:val="18"/>
              </w:rPr>
            </w:pPr>
            <w:r>
              <w:rPr>
                <w:color w:val="auto"/>
                <w:sz w:val="18"/>
                <w:szCs w:val="18"/>
              </w:rPr>
              <w:t>2</w:t>
            </w:r>
          </w:p>
        </w:tc>
        <w:tc>
          <w:tcPr>
            <w:tcW w:w="2016" w:type="dxa"/>
            <w:noWrap w:val="0"/>
            <w:vAlign w:val="center"/>
          </w:tcPr>
          <w:p>
            <w:pPr>
              <w:adjustRightInd w:val="0"/>
              <w:snapToGrid w:val="0"/>
              <w:spacing w:line="360" w:lineRule="exact"/>
              <w:jc w:val="center"/>
              <w:rPr>
                <w:color w:val="auto"/>
                <w:sz w:val="18"/>
                <w:szCs w:val="18"/>
              </w:rPr>
            </w:pPr>
            <w:r>
              <w:rPr>
                <w:color w:val="auto"/>
                <w:sz w:val="18"/>
                <w:szCs w:val="18"/>
              </w:rPr>
              <w:t>空压机</w:t>
            </w:r>
          </w:p>
        </w:tc>
        <w:tc>
          <w:tcPr>
            <w:tcW w:w="1722" w:type="dxa"/>
            <w:noWrap w:val="0"/>
            <w:vAlign w:val="center"/>
          </w:tcPr>
          <w:p>
            <w:pPr>
              <w:adjustRightInd w:val="0"/>
              <w:snapToGrid w:val="0"/>
              <w:spacing w:line="360" w:lineRule="exact"/>
              <w:jc w:val="center"/>
              <w:rPr>
                <w:rFonts w:hint="eastAsia" w:eastAsia="宋体"/>
                <w:color w:val="auto"/>
                <w:sz w:val="18"/>
                <w:szCs w:val="18"/>
                <w:lang w:val="en-US" w:eastAsia="zh-CN"/>
              </w:rPr>
            </w:pPr>
            <w:r>
              <w:rPr>
                <w:rFonts w:hint="eastAsia"/>
                <w:color w:val="auto"/>
                <w:sz w:val="18"/>
                <w:szCs w:val="18"/>
                <w:lang w:val="en-US" w:eastAsia="zh-CN"/>
              </w:rPr>
              <w:t>1</w:t>
            </w:r>
          </w:p>
        </w:tc>
        <w:tc>
          <w:tcPr>
            <w:tcW w:w="1722" w:type="dxa"/>
            <w:noWrap w:val="0"/>
            <w:vAlign w:val="center"/>
          </w:tcPr>
          <w:p>
            <w:pPr>
              <w:adjustRightInd w:val="0"/>
              <w:snapToGrid w:val="0"/>
              <w:spacing w:line="360" w:lineRule="exact"/>
              <w:jc w:val="center"/>
              <w:rPr>
                <w:color w:val="auto"/>
                <w:sz w:val="18"/>
                <w:szCs w:val="18"/>
              </w:rPr>
            </w:pPr>
            <w:r>
              <w:rPr>
                <w:color w:val="auto"/>
                <w:sz w:val="18"/>
                <w:szCs w:val="18"/>
              </w:rPr>
              <w:t>75~90</w:t>
            </w:r>
          </w:p>
        </w:tc>
        <w:tc>
          <w:tcPr>
            <w:tcW w:w="1691" w:type="dxa"/>
            <w:noWrap w:val="0"/>
            <w:vAlign w:val="center"/>
          </w:tcPr>
          <w:p>
            <w:pPr>
              <w:adjustRightInd w:val="0"/>
              <w:snapToGrid w:val="0"/>
              <w:spacing w:line="360" w:lineRule="exact"/>
              <w:jc w:val="center"/>
              <w:rPr>
                <w:color w:val="auto"/>
                <w:sz w:val="18"/>
                <w:szCs w:val="18"/>
              </w:rPr>
            </w:pPr>
            <w:r>
              <w:rPr>
                <w:color w:val="auto"/>
                <w:sz w:val="18"/>
                <w:szCs w:val="18"/>
              </w:rPr>
              <w:t>间断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1381" w:type="dxa"/>
            <w:noWrap w:val="0"/>
            <w:vAlign w:val="center"/>
          </w:tcPr>
          <w:p>
            <w:pPr>
              <w:adjustRightInd w:val="0"/>
              <w:snapToGrid w:val="0"/>
              <w:spacing w:line="360" w:lineRule="exact"/>
              <w:jc w:val="center"/>
              <w:rPr>
                <w:color w:val="auto"/>
                <w:sz w:val="18"/>
                <w:szCs w:val="18"/>
              </w:rPr>
            </w:pPr>
            <w:r>
              <w:rPr>
                <w:color w:val="auto"/>
                <w:sz w:val="18"/>
                <w:szCs w:val="18"/>
              </w:rPr>
              <w:t>3</w:t>
            </w:r>
          </w:p>
        </w:tc>
        <w:tc>
          <w:tcPr>
            <w:tcW w:w="2016" w:type="dxa"/>
            <w:noWrap w:val="0"/>
            <w:vAlign w:val="center"/>
          </w:tcPr>
          <w:p>
            <w:pPr>
              <w:adjustRightInd w:val="0"/>
              <w:snapToGrid w:val="0"/>
              <w:spacing w:line="360" w:lineRule="exact"/>
              <w:jc w:val="center"/>
              <w:rPr>
                <w:color w:val="auto"/>
                <w:sz w:val="18"/>
                <w:szCs w:val="18"/>
              </w:rPr>
            </w:pPr>
            <w:r>
              <w:rPr>
                <w:color w:val="auto"/>
                <w:sz w:val="18"/>
                <w:szCs w:val="18"/>
              </w:rPr>
              <w:t>挖掘机</w:t>
            </w:r>
          </w:p>
        </w:tc>
        <w:tc>
          <w:tcPr>
            <w:tcW w:w="1722" w:type="dxa"/>
            <w:noWrap w:val="0"/>
            <w:vAlign w:val="center"/>
          </w:tcPr>
          <w:p>
            <w:pPr>
              <w:adjustRightInd w:val="0"/>
              <w:snapToGrid w:val="0"/>
              <w:spacing w:line="360" w:lineRule="exact"/>
              <w:jc w:val="center"/>
              <w:rPr>
                <w:rFonts w:hint="eastAsia" w:eastAsia="宋体"/>
                <w:color w:val="auto"/>
                <w:sz w:val="18"/>
                <w:szCs w:val="18"/>
                <w:lang w:val="en-US" w:eastAsia="zh-CN"/>
              </w:rPr>
            </w:pPr>
            <w:r>
              <w:rPr>
                <w:rFonts w:hint="eastAsia"/>
                <w:color w:val="auto"/>
                <w:sz w:val="18"/>
                <w:szCs w:val="18"/>
                <w:lang w:val="en-US" w:eastAsia="zh-CN"/>
              </w:rPr>
              <w:t>1</w:t>
            </w:r>
          </w:p>
        </w:tc>
        <w:tc>
          <w:tcPr>
            <w:tcW w:w="1722" w:type="dxa"/>
            <w:noWrap w:val="0"/>
            <w:vAlign w:val="center"/>
          </w:tcPr>
          <w:p>
            <w:pPr>
              <w:adjustRightInd w:val="0"/>
              <w:snapToGrid w:val="0"/>
              <w:spacing w:line="360" w:lineRule="exact"/>
              <w:jc w:val="center"/>
              <w:rPr>
                <w:color w:val="auto"/>
                <w:sz w:val="18"/>
                <w:szCs w:val="18"/>
              </w:rPr>
            </w:pPr>
            <w:r>
              <w:rPr>
                <w:color w:val="auto"/>
                <w:sz w:val="18"/>
                <w:szCs w:val="18"/>
              </w:rPr>
              <w:t>80~90</w:t>
            </w:r>
          </w:p>
        </w:tc>
        <w:tc>
          <w:tcPr>
            <w:tcW w:w="1691" w:type="dxa"/>
            <w:noWrap w:val="0"/>
            <w:vAlign w:val="center"/>
          </w:tcPr>
          <w:p>
            <w:pPr>
              <w:adjustRightInd w:val="0"/>
              <w:snapToGrid w:val="0"/>
              <w:spacing w:line="360" w:lineRule="exact"/>
              <w:jc w:val="center"/>
              <w:rPr>
                <w:color w:val="auto"/>
                <w:sz w:val="18"/>
                <w:szCs w:val="18"/>
              </w:rPr>
            </w:pPr>
            <w:r>
              <w:rPr>
                <w:color w:val="auto"/>
                <w:sz w:val="18"/>
                <w:szCs w:val="18"/>
              </w:rPr>
              <w:t>连续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1381" w:type="dxa"/>
            <w:noWrap w:val="0"/>
            <w:vAlign w:val="center"/>
          </w:tcPr>
          <w:p>
            <w:pPr>
              <w:adjustRightInd w:val="0"/>
              <w:snapToGrid w:val="0"/>
              <w:spacing w:line="360" w:lineRule="exact"/>
              <w:jc w:val="center"/>
              <w:rPr>
                <w:color w:val="auto"/>
                <w:sz w:val="18"/>
                <w:szCs w:val="18"/>
              </w:rPr>
            </w:pPr>
            <w:r>
              <w:rPr>
                <w:color w:val="auto"/>
                <w:sz w:val="18"/>
                <w:szCs w:val="18"/>
              </w:rPr>
              <w:t>4</w:t>
            </w:r>
          </w:p>
        </w:tc>
        <w:tc>
          <w:tcPr>
            <w:tcW w:w="2016" w:type="dxa"/>
            <w:noWrap w:val="0"/>
            <w:vAlign w:val="center"/>
          </w:tcPr>
          <w:p>
            <w:pPr>
              <w:adjustRightInd w:val="0"/>
              <w:snapToGrid w:val="0"/>
              <w:spacing w:line="360" w:lineRule="exact"/>
              <w:jc w:val="center"/>
              <w:rPr>
                <w:color w:val="auto"/>
                <w:sz w:val="18"/>
                <w:szCs w:val="18"/>
              </w:rPr>
            </w:pPr>
            <w:r>
              <w:rPr>
                <w:color w:val="auto"/>
                <w:sz w:val="18"/>
                <w:szCs w:val="18"/>
              </w:rPr>
              <w:t>推土机</w:t>
            </w:r>
          </w:p>
        </w:tc>
        <w:tc>
          <w:tcPr>
            <w:tcW w:w="1722" w:type="dxa"/>
            <w:noWrap w:val="0"/>
            <w:vAlign w:val="center"/>
          </w:tcPr>
          <w:p>
            <w:pPr>
              <w:adjustRightInd w:val="0"/>
              <w:snapToGrid w:val="0"/>
              <w:spacing w:line="360" w:lineRule="exact"/>
              <w:jc w:val="center"/>
              <w:rPr>
                <w:rFonts w:hint="eastAsia" w:eastAsia="宋体"/>
                <w:color w:val="auto"/>
                <w:sz w:val="18"/>
                <w:szCs w:val="18"/>
                <w:lang w:val="en-US" w:eastAsia="zh-CN"/>
              </w:rPr>
            </w:pPr>
            <w:r>
              <w:rPr>
                <w:rFonts w:hint="eastAsia"/>
                <w:color w:val="auto"/>
                <w:sz w:val="18"/>
                <w:szCs w:val="18"/>
                <w:lang w:val="en-US" w:eastAsia="zh-CN"/>
              </w:rPr>
              <w:t>1</w:t>
            </w:r>
          </w:p>
        </w:tc>
        <w:tc>
          <w:tcPr>
            <w:tcW w:w="1722" w:type="dxa"/>
            <w:noWrap w:val="0"/>
            <w:vAlign w:val="center"/>
          </w:tcPr>
          <w:p>
            <w:pPr>
              <w:adjustRightInd w:val="0"/>
              <w:snapToGrid w:val="0"/>
              <w:spacing w:line="360" w:lineRule="exact"/>
              <w:jc w:val="center"/>
              <w:rPr>
                <w:color w:val="auto"/>
                <w:sz w:val="18"/>
                <w:szCs w:val="18"/>
              </w:rPr>
            </w:pPr>
            <w:r>
              <w:rPr>
                <w:color w:val="auto"/>
                <w:sz w:val="18"/>
                <w:szCs w:val="18"/>
              </w:rPr>
              <w:t>90~100</w:t>
            </w:r>
          </w:p>
        </w:tc>
        <w:tc>
          <w:tcPr>
            <w:tcW w:w="1691" w:type="dxa"/>
            <w:noWrap w:val="0"/>
            <w:vAlign w:val="center"/>
          </w:tcPr>
          <w:p>
            <w:pPr>
              <w:adjustRightInd w:val="0"/>
              <w:snapToGrid w:val="0"/>
              <w:spacing w:line="360" w:lineRule="exact"/>
              <w:jc w:val="center"/>
              <w:rPr>
                <w:color w:val="auto"/>
                <w:sz w:val="18"/>
                <w:szCs w:val="18"/>
              </w:rPr>
            </w:pPr>
            <w:r>
              <w:rPr>
                <w:color w:val="auto"/>
                <w:sz w:val="18"/>
                <w:szCs w:val="18"/>
              </w:rPr>
              <w:t>连续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1381" w:type="dxa"/>
            <w:noWrap w:val="0"/>
            <w:vAlign w:val="center"/>
          </w:tcPr>
          <w:p>
            <w:pPr>
              <w:adjustRightInd w:val="0"/>
              <w:snapToGrid w:val="0"/>
              <w:spacing w:line="360" w:lineRule="exact"/>
              <w:jc w:val="center"/>
              <w:rPr>
                <w:color w:val="auto"/>
                <w:sz w:val="18"/>
                <w:szCs w:val="18"/>
              </w:rPr>
            </w:pPr>
            <w:r>
              <w:rPr>
                <w:color w:val="auto"/>
                <w:sz w:val="18"/>
                <w:szCs w:val="18"/>
              </w:rPr>
              <w:t>5</w:t>
            </w:r>
          </w:p>
        </w:tc>
        <w:tc>
          <w:tcPr>
            <w:tcW w:w="2016" w:type="dxa"/>
            <w:noWrap w:val="0"/>
            <w:vAlign w:val="center"/>
          </w:tcPr>
          <w:p>
            <w:pPr>
              <w:adjustRightInd w:val="0"/>
              <w:snapToGrid w:val="0"/>
              <w:spacing w:line="360" w:lineRule="exact"/>
              <w:jc w:val="center"/>
              <w:rPr>
                <w:color w:val="auto"/>
                <w:sz w:val="18"/>
                <w:szCs w:val="18"/>
              </w:rPr>
            </w:pPr>
            <w:r>
              <w:rPr>
                <w:color w:val="auto"/>
                <w:sz w:val="18"/>
                <w:szCs w:val="18"/>
              </w:rPr>
              <w:t>破碎机</w:t>
            </w:r>
          </w:p>
        </w:tc>
        <w:tc>
          <w:tcPr>
            <w:tcW w:w="1722" w:type="dxa"/>
            <w:noWrap w:val="0"/>
            <w:vAlign w:val="center"/>
          </w:tcPr>
          <w:p>
            <w:pPr>
              <w:spacing w:line="360" w:lineRule="exact"/>
              <w:jc w:val="center"/>
              <w:rPr>
                <w:rFonts w:hint="eastAsia" w:eastAsia="宋体"/>
                <w:color w:val="auto"/>
                <w:sz w:val="18"/>
                <w:szCs w:val="18"/>
                <w:lang w:val="en-US" w:eastAsia="zh-CN"/>
              </w:rPr>
            </w:pPr>
            <w:r>
              <w:rPr>
                <w:rFonts w:hint="eastAsia"/>
                <w:color w:val="auto"/>
                <w:sz w:val="18"/>
                <w:szCs w:val="18"/>
                <w:lang w:val="en-US" w:eastAsia="zh-CN"/>
              </w:rPr>
              <w:t>2</w:t>
            </w:r>
          </w:p>
        </w:tc>
        <w:tc>
          <w:tcPr>
            <w:tcW w:w="1722" w:type="dxa"/>
            <w:noWrap w:val="0"/>
            <w:vAlign w:val="center"/>
          </w:tcPr>
          <w:p>
            <w:pPr>
              <w:spacing w:line="360" w:lineRule="exact"/>
              <w:jc w:val="center"/>
              <w:rPr>
                <w:color w:val="auto"/>
                <w:sz w:val="18"/>
                <w:szCs w:val="18"/>
              </w:rPr>
            </w:pPr>
            <w:r>
              <w:rPr>
                <w:color w:val="auto"/>
                <w:sz w:val="18"/>
                <w:szCs w:val="18"/>
              </w:rPr>
              <w:t>95~105</w:t>
            </w:r>
          </w:p>
        </w:tc>
        <w:tc>
          <w:tcPr>
            <w:tcW w:w="1691" w:type="dxa"/>
            <w:noWrap w:val="0"/>
            <w:vAlign w:val="center"/>
          </w:tcPr>
          <w:p>
            <w:pPr>
              <w:adjustRightInd w:val="0"/>
              <w:snapToGrid w:val="0"/>
              <w:spacing w:line="360" w:lineRule="exact"/>
              <w:jc w:val="center"/>
              <w:rPr>
                <w:color w:val="auto"/>
                <w:sz w:val="18"/>
                <w:szCs w:val="18"/>
              </w:rPr>
            </w:pPr>
            <w:r>
              <w:rPr>
                <w:color w:val="auto"/>
                <w:sz w:val="18"/>
                <w:szCs w:val="18"/>
              </w:rPr>
              <w:t>连续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1381" w:type="dxa"/>
            <w:noWrap w:val="0"/>
            <w:vAlign w:val="center"/>
          </w:tcPr>
          <w:p>
            <w:pPr>
              <w:adjustRightInd w:val="0"/>
              <w:snapToGrid w:val="0"/>
              <w:spacing w:line="360" w:lineRule="exact"/>
              <w:jc w:val="center"/>
              <w:rPr>
                <w:color w:val="auto"/>
                <w:sz w:val="18"/>
                <w:szCs w:val="18"/>
              </w:rPr>
            </w:pPr>
            <w:r>
              <w:rPr>
                <w:color w:val="auto"/>
                <w:sz w:val="18"/>
                <w:szCs w:val="18"/>
              </w:rPr>
              <w:t>6</w:t>
            </w:r>
          </w:p>
        </w:tc>
        <w:tc>
          <w:tcPr>
            <w:tcW w:w="2016" w:type="dxa"/>
            <w:noWrap w:val="0"/>
            <w:vAlign w:val="center"/>
          </w:tcPr>
          <w:p>
            <w:pPr>
              <w:adjustRightInd w:val="0"/>
              <w:snapToGrid w:val="0"/>
              <w:spacing w:line="360" w:lineRule="exact"/>
              <w:jc w:val="center"/>
              <w:rPr>
                <w:color w:val="auto"/>
                <w:sz w:val="18"/>
                <w:szCs w:val="18"/>
              </w:rPr>
            </w:pPr>
            <w:r>
              <w:rPr>
                <w:color w:val="auto"/>
                <w:sz w:val="18"/>
                <w:szCs w:val="18"/>
              </w:rPr>
              <w:t>振动筛</w:t>
            </w:r>
          </w:p>
        </w:tc>
        <w:tc>
          <w:tcPr>
            <w:tcW w:w="1722" w:type="dxa"/>
            <w:noWrap w:val="0"/>
            <w:vAlign w:val="center"/>
          </w:tcPr>
          <w:p>
            <w:pPr>
              <w:spacing w:line="360" w:lineRule="exact"/>
              <w:jc w:val="center"/>
              <w:rPr>
                <w:rFonts w:hint="eastAsia" w:eastAsia="宋体"/>
                <w:color w:val="auto"/>
                <w:sz w:val="18"/>
                <w:szCs w:val="18"/>
                <w:lang w:val="en-US" w:eastAsia="zh-CN"/>
              </w:rPr>
            </w:pPr>
            <w:r>
              <w:rPr>
                <w:rFonts w:hint="eastAsia"/>
                <w:color w:val="auto"/>
                <w:sz w:val="18"/>
                <w:szCs w:val="18"/>
                <w:lang w:val="en-US" w:eastAsia="zh-CN"/>
              </w:rPr>
              <w:t>1</w:t>
            </w:r>
          </w:p>
        </w:tc>
        <w:tc>
          <w:tcPr>
            <w:tcW w:w="1722" w:type="dxa"/>
            <w:noWrap w:val="0"/>
            <w:vAlign w:val="center"/>
          </w:tcPr>
          <w:p>
            <w:pPr>
              <w:spacing w:line="360" w:lineRule="exact"/>
              <w:jc w:val="center"/>
              <w:rPr>
                <w:color w:val="auto"/>
                <w:sz w:val="18"/>
                <w:szCs w:val="18"/>
              </w:rPr>
            </w:pPr>
            <w:r>
              <w:rPr>
                <w:color w:val="auto"/>
                <w:sz w:val="18"/>
                <w:szCs w:val="18"/>
              </w:rPr>
              <w:t>85~95</w:t>
            </w:r>
          </w:p>
        </w:tc>
        <w:tc>
          <w:tcPr>
            <w:tcW w:w="1691" w:type="dxa"/>
            <w:noWrap w:val="0"/>
            <w:vAlign w:val="center"/>
          </w:tcPr>
          <w:p>
            <w:pPr>
              <w:adjustRightInd w:val="0"/>
              <w:snapToGrid w:val="0"/>
              <w:spacing w:line="360" w:lineRule="exact"/>
              <w:jc w:val="center"/>
              <w:rPr>
                <w:color w:val="auto"/>
                <w:sz w:val="18"/>
                <w:szCs w:val="18"/>
              </w:rPr>
            </w:pPr>
            <w:r>
              <w:rPr>
                <w:color w:val="auto"/>
                <w:sz w:val="18"/>
                <w:szCs w:val="18"/>
              </w:rPr>
              <w:t>连续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381" w:type="dxa"/>
            <w:noWrap w:val="0"/>
            <w:vAlign w:val="center"/>
          </w:tcPr>
          <w:p>
            <w:pPr>
              <w:adjustRightInd w:val="0"/>
              <w:snapToGrid w:val="0"/>
              <w:spacing w:line="360" w:lineRule="exact"/>
              <w:jc w:val="center"/>
              <w:rPr>
                <w:color w:val="auto"/>
                <w:sz w:val="18"/>
                <w:szCs w:val="18"/>
              </w:rPr>
            </w:pPr>
            <w:r>
              <w:rPr>
                <w:color w:val="auto"/>
                <w:sz w:val="18"/>
                <w:szCs w:val="18"/>
              </w:rPr>
              <w:t>7</w:t>
            </w:r>
          </w:p>
        </w:tc>
        <w:tc>
          <w:tcPr>
            <w:tcW w:w="2016" w:type="dxa"/>
            <w:noWrap w:val="0"/>
            <w:vAlign w:val="center"/>
          </w:tcPr>
          <w:p>
            <w:pPr>
              <w:adjustRightInd w:val="0"/>
              <w:snapToGrid w:val="0"/>
              <w:spacing w:line="360" w:lineRule="exact"/>
              <w:jc w:val="center"/>
              <w:rPr>
                <w:color w:val="auto"/>
                <w:sz w:val="18"/>
                <w:szCs w:val="18"/>
              </w:rPr>
            </w:pPr>
            <w:r>
              <w:rPr>
                <w:color w:val="auto"/>
                <w:sz w:val="18"/>
                <w:szCs w:val="18"/>
              </w:rPr>
              <w:t>水泵</w:t>
            </w:r>
          </w:p>
        </w:tc>
        <w:tc>
          <w:tcPr>
            <w:tcW w:w="1722" w:type="dxa"/>
            <w:noWrap w:val="0"/>
            <w:vAlign w:val="center"/>
          </w:tcPr>
          <w:p>
            <w:pPr>
              <w:adjustRightInd w:val="0"/>
              <w:snapToGrid w:val="0"/>
              <w:spacing w:line="360" w:lineRule="exact"/>
              <w:jc w:val="center"/>
              <w:rPr>
                <w:rFonts w:hint="eastAsia"/>
                <w:color w:val="auto"/>
                <w:sz w:val="18"/>
                <w:szCs w:val="18"/>
                <w:lang w:val="en-US" w:eastAsia="zh-CN"/>
              </w:rPr>
            </w:pPr>
            <w:r>
              <w:rPr>
                <w:rFonts w:hint="eastAsia"/>
                <w:color w:val="auto"/>
                <w:sz w:val="18"/>
                <w:szCs w:val="18"/>
                <w:lang w:val="en-US" w:eastAsia="zh-CN"/>
              </w:rPr>
              <w:t>1</w:t>
            </w:r>
          </w:p>
        </w:tc>
        <w:tc>
          <w:tcPr>
            <w:tcW w:w="1722" w:type="dxa"/>
            <w:noWrap w:val="0"/>
            <w:vAlign w:val="center"/>
          </w:tcPr>
          <w:p>
            <w:pPr>
              <w:adjustRightInd w:val="0"/>
              <w:snapToGrid w:val="0"/>
              <w:spacing w:line="360" w:lineRule="exact"/>
              <w:jc w:val="center"/>
              <w:rPr>
                <w:rFonts w:hint="eastAsia"/>
                <w:color w:val="auto"/>
                <w:sz w:val="18"/>
                <w:szCs w:val="18"/>
                <w:lang w:val="en-US" w:eastAsia="zh-CN"/>
              </w:rPr>
            </w:pPr>
            <w:r>
              <w:rPr>
                <w:color w:val="auto"/>
                <w:sz w:val="18"/>
                <w:szCs w:val="18"/>
              </w:rPr>
              <w:t>8</w:t>
            </w:r>
            <w:r>
              <w:rPr>
                <w:rFonts w:hint="eastAsia"/>
                <w:color w:val="auto"/>
                <w:sz w:val="18"/>
                <w:szCs w:val="18"/>
                <w:lang w:val="en-US" w:eastAsia="zh-CN"/>
              </w:rPr>
              <w:t>0</w:t>
            </w:r>
            <w:r>
              <w:rPr>
                <w:color w:val="auto"/>
                <w:sz w:val="18"/>
                <w:szCs w:val="18"/>
              </w:rPr>
              <w:t>～</w:t>
            </w:r>
            <w:r>
              <w:rPr>
                <w:rFonts w:hint="eastAsia"/>
                <w:color w:val="auto"/>
                <w:sz w:val="18"/>
                <w:szCs w:val="18"/>
                <w:lang w:val="en-US" w:eastAsia="zh-CN"/>
              </w:rPr>
              <w:t>85</w:t>
            </w:r>
          </w:p>
        </w:tc>
        <w:tc>
          <w:tcPr>
            <w:tcW w:w="1691" w:type="dxa"/>
            <w:noWrap w:val="0"/>
            <w:vAlign w:val="center"/>
          </w:tcPr>
          <w:p>
            <w:pPr>
              <w:adjustRightInd w:val="0"/>
              <w:snapToGrid w:val="0"/>
              <w:spacing w:line="360" w:lineRule="exact"/>
              <w:jc w:val="center"/>
              <w:rPr>
                <w:color w:val="auto"/>
                <w:sz w:val="18"/>
                <w:szCs w:val="18"/>
              </w:rPr>
            </w:pPr>
            <w:r>
              <w:rPr>
                <w:color w:val="auto"/>
                <w:sz w:val="18"/>
                <w:szCs w:val="18"/>
              </w:rPr>
              <w:t>间断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1381" w:type="dxa"/>
            <w:noWrap w:val="0"/>
            <w:vAlign w:val="center"/>
          </w:tcPr>
          <w:p>
            <w:pPr>
              <w:adjustRightInd w:val="0"/>
              <w:snapToGrid w:val="0"/>
              <w:spacing w:line="360" w:lineRule="exact"/>
              <w:jc w:val="center"/>
              <w:rPr>
                <w:color w:val="auto"/>
                <w:sz w:val="18"/>
                <w:szCs w:val="18"/>
              </w:rPr>
            </w:pPr>
            <w:r>
              <w:rPr>
                <w:color w:val="auto"/>
                <w:sz w:val="18"/>
                <w:szCs w:val="18"/>
              </w:rPr>
              <w:t>8</w:t>
            </w:r>
          </w:p>
        </w:tc>
        <w:tc>
          <w:tcPr>
            <w:tcW w:w="2016" w:type="dxa"/>
            <w:noWrap w:val="0"/>
            <w:vAlign w:val="center"/>
          </w:tcPr>
          <w:p>
            <w:pPr>
              <w:adjustRightInd w:val="0"/>
              <w:snapToGrid w:val="0"/>
              <w:spacing w:line="360" w:lineRule="exact"/>
              <w:jc w:val="center"/>
              <w:rPr>
                <w:color w:val="auto"/>
                <w:sz w:val="18"/>
                <w:szCs w:val="18"/>
              </w:rPr>
            </w:pPr>
            <w:r>
              <w:rPr>
                <w:rFonts w:hint="eastAsia"/>
                <w:snapToGrid w:val="0"/>
                <w:color w:val="auto"/>
                <w:sz w:val="18"/>
                <w:szCs w:val="18"/>
                <w:lang w:eastAsia="zh-CN"/>
              </w:rPr>
              <w:t>深孔</w:t>
            </w:r>
            <w:r>
              <w:rPr>
                <w:color w:val="auto"/>
                <w:sz w:val="18"/>
                <w:szCs w:val="18"/>
              </w:rPr>
              <w:t>爆破</w:t>
            </w:r>
          </w:p>
        </w:tc>
        <w:tc>
          <w:tcPr>
            <w:tcW w:w="1722" w:type="dxa"/>
            <w:noWrap w:val="0"/>
            <w:vAlign w:val="center"/>
          </w:tcPr>
          <w:p>
            <w:pPr>
              <w:spacing w:line="360" w:lineRule="exact"/>
              <w:jc w:val="center"/>
              <w:rPr>
                <w:rFonts w:hint="eastAsia" w:eastAsia="宋体"/>
                <w:color w:val="auto"/>
                <w:sz w:val="18"/>
                <w:szCs w:val="18"/>
                <w:lang w:val="en-US" w:eastAsia="zh-CN"/>
              </w:rPr>
            </w:pPr>
            <w:r>
              <w:rPr>
                <w:rFonts w:hint="eastAsia"/>
                <w:color w:val="auto"/>
                <w:sz w:val="18"/>
                <w:szCs w:val="18"/>
                <w:lang w:val="en-US" w:eastAsia="zh-CN"/>
              </w:rPr>
              <w:t>1</w:t>
            </w:r>
          </w:p>
        </w:tc>
        <w:tc>
          <w:tcPr>
            <w:tcW w:w="1722" w:type="dxa"/>
            <w:noWrap w:val="0"/>
            <w:vAlign w:val="center"/>
          </w:tcPr>
          <w:p>
            <w:pPr>
              <w:spacing w:line="360" w:lineRule="exact"/>
              <w:jc w:val="center"/>
              <w:rPr>
                <w:color w:val="auto"/>
                <w:sz w:val="18"/>
                <w:szCs w:val="18"/>
              </w:rPr>
            </w:pPr>
            <w:r>
              <w:rPr>
                <w:color w:val="auto"/>
                <w:sz w:val="18"/>
                <w:szCs w:val="18"/>
              </w:rPr>
              <w:t>100~115</w:t>
            </w:r>
          </w:p>
        </w:tc>
        <w:tc>
          <w:tcPr>
            <w:tcW w:w="1691" w:type="dxa"/>
            <w:noWrap w:val="0"/>
            <w:vAlign w:val="center"/>
          </w:tcPr>
          <w:p>
            <w:pPr>
              <w:adjustRightInd w:val="0"/>
              <w:snapToGrid w:val="0"/>
              <w:spacing w:line="360" w:lineRule="exact"/>
              <w:jc w:val="center"/>
              <w:rPr>
                <w:color w:val="auto"/>
                <w:sz w:val="18"/>
                <w:szCs w:val="18"/>
              </w:rPr>
            </w:pPr>
            <w:r>
              <w:rPr>
                <w:color w:val="auto"/>
                <w:sz w:val="18"/>
                <w:szCs w:val="18"/>
              </w:rPr>
              <w:t>间断</w:t>
            </w:r>
          </w:p>
        </w:tc>
      </w:tr>
    </w:tbl>
    <w:p>
      <w:pPr>
        <w:pStyle w:val="276"/>
        <w:rPr>
          <w:rFonts w:eastAsiaTheme="minorEastAsia"/>
          <w:color w:val="auto"/>
        </w:rPr>
      </w:pPr>
      <w:r>
        <w:rPr>
          <w:rFonts w:eastAsiaTheme="minorEastAsia"/>
          <w:color w:val="auto"/>
        </w:rPr>
        <w:t>（4）固体废物</w:t>
      </w:r>
    </w:p>
    <w:p>
      <w:pPr>
        <w:autoSpaceDE w:val="0"/>
        <w:autoSpaceDN w:val="0"/>
        <w:adjustRightInd w:val="0"/>
        <w:spacing w:line="500" w:lineRule="exact"/>
        <w:ind w:firstLine="480" w:firstLineChars="200"/>
        <w:jc w:val="left"/>
        <w:rPr>
          <w:rFonts w:eastAsiaTheme="minorEastAsia"/>
          <w:color w:val="auto"/>
          <w:kern w:val="0"/>
          <w:szCs w:val="24"/>
        </w:rPr>
      </w:pPr>
      <w:r>
        <w:rPr>
          <w:rFonts w:eastAsiaTheme="minorEastAsia"/>
          <w:color w:val="auto"/>
          <w:kern w:val="0"/>
          <w:szCs w:val="24"/>
        </w:rPr>
        <w:t xml:space="preserve">本项目固体废物主要产生在剥离时的土岩、炸药包装物、职工生活垃圾、除尘器收集到的粉尘、筛分下来的石粉及设备废机油。 </w:t>
      </w:r>
    </w:p>
    <w:p>
      <w:pPr>
        <w:pStyle w:val="276"/>
        <w:jc w:val="both"/>
        <w:rPr>
          <w:rFonts w:hint="eastAsia" w:eastAsiaTheme="minorEastAsia"/>
          <w:color w:val="auto"/>
          <w:lang w:eastAsia="zh-CN"/>
        </w:rPr>
      </w:pPr>
      <w:r>
        <w:rPr>
          <w:rFonts w:eastAsiaTheme="minorEastAsia"/>
          <w:color w:val="auto"/>
        </w:rPr>
        <w:t>本项目职工产生的生活垃圾量很少，生活垃圾产生量为1.2t/a，经集中收集后由当地环卫部门统一处理</w:t>
      </w:r>
      <w:r>
        <w:rPr>
          <w:rFonts w:hint="eastAsia" w:eastAsiaTheme="minorEastAsia"/>
          <w:color w:val="auto"/>
          <w:lang w:eastAsia="zh-CN"/>
        </w:rPr>
        <w:t>，</w:t>
      </w:r>
      <w:r>
        <w:rPr>
          <w:rFonts w:eastAsiaTheme="minorEastAsia"/>
          <w:color w:val="auto"/>
        </w:rPr>
        <w:t>不会对环境产生不利的影响</w:t>
      </w:r>
      <w:r>
        <w:rPr>
          <w:rFonts w:hint="eastAsia" w:eastAsiaTheme="minorEastAsia"/>
          <w:color w:val="auto"/>
          <w:lang w:eastAsia="zh-CN"/>
        </w:rPr>
        <w:t>。</w:t>
      </w:r>
    </w:p>
    <w:p>
      <w:pPr>
        <w:pStyle w:val="276"/>
        <w:jc w:val="both"/>
        <w:rPr>
          <w:rFonts w:eastAsiaTheme="minorEastAsia"/>
          <w:color w:val="auto"/>
        </w:rPr>
      </w:pPr>
      <w:r>
        <w:rPr>
          <w:rFonts w:eastAsiaTheme="minorEastAsia"/>
          <w:color w:val="auto"/>
        </w:rPr>
        <w:t>本项目剥离的土岩暂存于临时堆土场，定期外售。土岩产生</w:t>
      </w:r>
      <w:r>
        <w:rPr>
          <w:rFonts w:hint="eastAsia" w:eastAsiaTheme="minorEastAsia"/>
          <w:color w:val="auto"/>
          <w:lang w:eastAsia="zh-CN"/>
        </w:rPr>
        <w:t>3.87</w:t>
      </w:r>
      <w:r>
        <w:rPr>
          <w:rFonts w:eastAsiaTheme="minorEastAsia"/>
          <w:color w:val="auto"/>
        </w:rPr>
        <w:t>m</w:t>
      </w:r>
      <w:r>
        <w:rPr>
          <w:rFonts w:eastAsiaTheme="minorEastAsia"/>
          <w:color w:val="auto"/>
          <w:vertAlign w:val="superscript"/>
        </w:rPr>
        <w:t>3</w:t>
      </w:r>
      <w:r>
        <w:rPr>
          <w:rFonts w:eastAsiaTheme="minorEastAsia"/>
          <w:color w:val="auto"/>
        </w:rPr>
        <w:t>/d，</w:t>
      </w:r>
      <w:r>
        <w:rPr>
          <w:rFonts w:hint="eastAsia" w:eastAsiaTheme="minorEastAsia"/>
          <w:color w:val="auto"/>
          <w:lang w:eastAsia="zh-CN"/>
        </w:rPr>
        <w:t>9</w:t>
      </w:r>
      <w:r>
        <w:rPr>
          <w:rFonts w:hint="eastAsia" w:eastAsiaTheme="minorEastAsia"/>
          <w:color w:val="auto"/>
          <w:lang w:val="en-US" w:eastAsia="zh-CN"/>
        </w:rPr>
        <w:t>29</w:t>
      </w:r>
      <w:r>
        <w:rPr>
          <w:rFonts w:eastAsiaTheme="minorEastAsia"/>
          <w:color w:val="auto"/>
        </w:rPr>
        <w:t>m</w:t>
      </w:r>
      <w:r>
        <w:rPr>
          <w:rFonts w:eastAsiaTheme="minorEastAsia"/>
          <w:color w:val="auto"/>
          <w:vertAlign w:val="superscript"/>
        </w:rPr>
        <w:t>3</w:t>
      </w:r>
      <w:r>
        <w:rPr>
          <w:rFonts w:eastAsiaTheme="minorEastAsia"/>
          <w:color w:val="auto"/>
        </w:rPr>
        <w:t>/a，</w:t>
      </w:r>
      <w:r>
        <w:rPr>
          <w:rFonts w:hint="eastAsia" w:eastAsiaTheme="minorEastAsia"/>
          <w:color w:val="auto"/>
          <w:lang w:eastAsia="zh-CN"/>
        </w:rPr>
        <w:t>每</w:t>
      </w:r>
      <w:r>
        <w:rPr>
          <w:rFonts w:hint="eastAsia" w:eastAsiaTheme="minorEastAsia"/>
          <w:color w:val="auto"/>
          <w:lang w:val="en-US" w:eastAsia="zh-CN"/>
        </w:rPr>
        <w:t>10天运输1次，因此，</w:t>
      </w:r>
      <w:r>
        <w:rPr>
          <w:rFonts w:eastAsiaTheme="minorEastAsia"/>
          <w:color w:val="auto"/>
        </w:rPr>
        <w:t>临时堆土场</w:t>
      </w:r>
      <w:r>
        <w:rPr>
          <w:rFonts w:hint="eastAsia" w:eastAsiaTheme="minorEastAsia"/>
          <w:color w:val="auto"/>
          <w:lang w:eastAsia="zh-CN"/>
        </w:rPr>
        <w:t>设计</w:t>
      </w:r>
      <w:r>
        <w:rPr>
          <w:rFonts w:eastAsiaTheme="minorEastAsia"/>
          <w:color w:val="auto"/>
        </w:rPr>
        <w:t>容积</w:t>
      </w:r>
      <w:r>
        <w:rPr>
          <w:rFonts w:hint="eastAsia" w:eastAsiaTheme="minorEastAsia"/>
          <w:color w:val="auto"/>
          <w:lang w:val="en-US" w:eastAsia="zh-CN"/>
        </w:rPr>
        <w:t>38.7</w:t>
      </w:r>
      <w:r>
        <w:rPr>
          <w:rFonts w:eastAsiaTheme="minorEastAsia"/>
          <w:color w:val="auto"/>
        </w:rPr>
        <w:t>m</w:t>
      </w:r>
      <w:r>
        <w:rPr>
          <w:rFonts w:eastAsiaTheme="minorEastAsia"/>
          <w:color w:val="auto"/>
          <w:vertAlign w:val="superscript"/>
        </w:rPr>
        <w:t>3</w:t>
      </w:r>
      <w:r>
        <w:rPr>
          <w:rFonts w:eastAsiaTheme="minorEastAsia"/>
          <w:color w:val="auto"/>
        </w:rPr>
        <w:t>，堆高3m，占地面积</w:t>
      </w:r>
      <w:r>
        <w:rPr>
          <w:rFonts w:hint="eastAsia" w:eastAsiaTheme="minorEastAsia"/>
          <w:color w:val="auto"/>
          <w:lang w:val="en-US" w:eastAsia="zh-CN"/>
        </w:rPr>
        <w:t>40</w:t>
      </w:r>
      <w:r>
        <w:rPr>
          <w:rFonts w:eastAsiaTheme="minorEastAsia"/>
          <w:color w:val="auto"/>
        </w:rPr>
        <w:t>m</w:t>
      </w:r>
      <w:r>
        <w:rPr>
          <w:rFonts w:eastAsiaTheme="minorEastAsia"/>
          <w:color w:val="auto"/>
          <w:vertAlign w:val="superscript"/>
        </w:rPr>
        <w:t>2</w:t>
      </w:r>
      <w:r>
        <w:rPr>
          <w:rFonts w:eastAsiaTheme="minorEastAsia"/>
          <w:color w:val="auto"/>
        </w:rPr>
        <w:t>，</w:t>
      </w:r>
      <w:r>
        <w:rPr>
          <w:rFonts w:hint="eastAsia" w:eastAsiaTheme="minorEastAsia"/>
          <w:color w:val="auto"/>
          <w:lang w:eastAsia="zh-CN"/>
        </w:rPr>
        <w:t>能够</w:t>
      </w:r>
      <w:r>
        <w:rPr>
          <w:rFonts w:eastAsiaTheme="minorEastAsia"/>
          <w:color w:val="auto"/>
        </w:rPr>
        <w:t>满足项目需求。临时堆土场土堆坡度为1：1.5，底部采用砌石挡土墙，并在挡土墙边设排水沟</w:t>
      </w:r>
      <w:r>
        <w:rPr>
          <w:rFonts w:eastAsiaTheme="minorEastAsia"/>
          <w:color w:val="auto"/>
        </w:rPr>
        <w:t>。</w:t>
      </w:r>
    </w:p>
    <w:p>
      <w:pPr>
        <w:pStyle w:val="276"/>
        <w:rPr>
          <w:rFonts w:eastAsiaTheme="minorEastAsia"/>
          <w:color w:val="auto"/>
        </w:rPr>
      </w:pPr>
      <w:r>
        <w:rPr>
          <w:rFonts w:eastAsiaTheme="minorEastAsia"/>
          <w:color w:val="auto"/>
        </w:rPr>
        <w:t>炸药包装物主要是板纸和塑料袋，产生量0.4t/a（1kg/箱炸药×20箱/次×20次），包装物统一收集，由爆破部门统一回收利用。</w:t>
      </w:r>
    </w:p>
    <w:p>
      <w:pPr>
        <w:pStyle w:val="276"/>
        <w:rPr>
          <w:rFonts w:eastAsiaTheme="minorEastAsia"/>
          <w:color w:val="auto"/>
        </w:rPr>
      </w:pPr>
      <w:r>
        <w:rPr>
          <w:rFonts w:eastAsiaTheme="minorEastAsia"/>
          <w:color w:val="auto"/>
        </w:rPr>
        <w:t>布袋除尘器收集的粉尘量约为</w:t>
      </w:r>
      <w:r>
        <w:rPr>
          <w:rFonts w:hint="eastAsia" w:eastAsiaTheme="minorEastAsia"/>
          <w:color w:val="auto"/>
          <w:lang w:eastAsia="zh-CN"/>
        </w:rPr>
        <w:t>7.4t/a</w:t>
      </w:r>
      <w:r>
        <w:rPr>
          <w:rFonts w:eastAsiaTheme="minorEastAsia"/>
          <w:color w:val="auto"/>
        </w:rPr>
        <w:t>，</w:t>
      </w:r>
      <w:r>
        <w:rPr>
          <w:rFonts w:hint="eastAsia" w:eastAsiaTheme="minorEastAsia"/>
          <w:color w:val="auto"/>
          <w:lang w:eastAsia="zh-CN"/>
        </w:rPr>
        <w:t>0.031t/d</w:t>
      </w:r>
      <w:r>
        <w:rPr>
          <w:rFonts w:eastAsiaTheme="minorEastAsia"/>
          <w:color w:val="auto"/>
        </w:rPr>
        <w:t>，筛分下来石粉约</w:t>
      </w:r>
      <w:r>
        <w:rPr>
          <w:rFonts w:hint="eastAsia" w:eastAsiaTheme="minorEastAsia"/>
          <w:color w:val="auto"/>
          <w:lang w:eastAsia="zh-CN"/>
        </w:rPr>
        <w:t>101</w:t>
      </w:r>
      <w:r>
        <w:rPr>
          <w:rFonts w:eastAsiaTheme="minorEastAsia"/>
          <w:color w:val="auto"/>
        </w:rPr>
        <w:t>t/a，集中收集至新建的</w:t>
      </w:r>
      <w:r>
        <w:rPr>
          <w:rFonts w:hint="eastAsia" w:eastAsiaTheme="minorEastAsia"/>
          <w:color w:val="auto"/>
          <w:lang w:val="en-US" w:eastAsia="zh-CN"/>
        </w:rPr>
        <w:t>30</w:t>
      </w:r>
      <w:r>
        <w:rPr>
          <w:rFonts w:eastAsiaTheme="minorEastAsia"/>
          <w:color w:val="auto"/>
        </w:rPr>
        <w:t>t全封闭石粉仓中储存，每</w:t>
      </w:r>
      <w:r>
        <w:rPr>
          <w:rFonts w:hint="eastAsia" w:eastAsiaTheme="minorEastAsia"/>
          <w:color w:val="auto"/>
          <w:lang w:val="en-US" w:eastAsia="zh-CN"/>
        </w:rPr>
        <w:t>60</w:t>
      </w:r>
      <w:r>
        <w:rPr>
          <w:rFonts w:hint="eastAsia" w:eastAsiaTheme="minorEastAsia"/>
          <w:color w:val="auto"/>
          <w:lang w:eastAsia="zh-CN"/>
        </w:rPr>
        <w:t>天</w:t>
      </w:r>
      <w:r>
        <w:rPr>
          <w:rFonts w:eastAsiaTheme="minorEastAsia"/>
          <w:color w:val="auto"/>
        </w:rPr>
        <w:t>周转一次。</w:t>
      </w:r>
    </w:p>
    <w:p>
      <w:pPr>
        <w:pStyle w:val="276"/>
        <w:jc w:val="both"/>
        <w:rPr>
          <w:rFonts w:eastAsiaTheme="minorEastAsia"/>
          <w:color w:val="auto"/>
        </w:rPr>
      </w:pPr>
      <w:r>
        <w:rPr>
          <w:rFonts w:eastAsiaTheme="minorEastAsia"/>
          <w:color w:val="auto"/>
        </w:rPr>
        <w:t>机械设备定期更换废机油0.5t/a，废机油属于危险废物（HW08），应单独收集，用设明显标识的密闭桶盛装，暂存于危废暂存间，其地面采用高密度聚乙烯土工膜（HDPE）进行防渗，其渗透系数不大于1.0×10</w:t>
      </w:r>
      <w:r>
        <w:rPr>
          <w:rFonts w:eastAsiaTheme="minorEastAsia"/>
          <w:color w:val="auto"/>
          <w:vertAlign w:val="superscript"/>
        </w:rPr>
        <w:t>-10</w:t>
      </w:r>
      <w:r>
        <w:rPr>
          <w:rFonts w:eastAsiaTheme="minorEastAsia"/>
          <w:color w:val="auto"/>
        </w:rPr>
        <w:t>cm/s，厚度不小于1.5mm。HDPE材料必须是优质品，禁止使用再生产品。交由有资质单位处置。</w:t>
      </w:r>
    </w:p>
    <w:p>
      <w:pPr>
        <w:pStyle w:val="276"/>
        <w:jc w:val="center"/>
        <w:rPr>
          <w:rFonts w:eastAsiaTheme="minorEastAsia"/>
          <w:color w:val="auto"/>
        </w:rPr>
      </w:pPr>
      <w:r>
        <w:rPr>
          <w:rFonts w:eastAsiaTheme="minorEastAsia"/>
          <w:color w:val="auto"/>
        </w:rPr>
        <w:t>表3-3-7项目固体废物总汇表</w:t>
      </w:r>
    </w:p>
    <w:tbl>
      <w:tblPr>
        <w:tblStyle w:val="54"/>
        <w:tblW w:w="8306" w:type="dxa"/>
        <w:jc w:val="center"/>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474"/>
        <w:gridCol w:w="787"/>
        <w:gridCol w:w="659"/>
        <w:gridCol w:w="570"/>
        <w:gridCol w:w="1065"/>
        <w:gridCol w:w="660"/>
        <w:gridCol w:w="473"/>
        <w:gridCol w:w="515"/>
        <w:gridCol w:w="515"/>
        <w:gridCol w:w="628"/>
        <w:gridCol w:w="772"/>
        <w:gridCol w:w="1188"/>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474"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序号</w:t>
            </w:r>
          </w:p>
        </w:tc>
        <w:tc>
          <w:tcPr>
            <w:tcW w:w="787"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危险废物名称</w:t>
            </w:r>
          </w:p>
        </w:tc>
        <w:tc>
          <w:tcPr>
            <w:tcW w:w="659"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危险废物类别</w:t>
            </w:r>
          </w:p>
        </w:tc>
        <w:tc>
          <w:tcPr>
            <w:tcW w:w="570"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危险废物代码</w:t>
            </w:r>
          </w:p>
        </w:tc>
        <w:tc>
          <w:tcPr>
            <w:tcW w:w="1065"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产生量(t)</w:t>
            </w:r>
          </w:p>
        </w:tc>
        <w:tc>
          <w:tcPr>
            <w:tcW w:w="660"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产生工序及装置</w:t>
            </w:r>
          </w:p>
        </w:tc>
        <w:tc>
          <w:tcPr>
            <w:tcW w:w="473"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形态</w:t>
            </w:r>
          </w:p>
        </w:tc>
        <w:tc>
          <w:tcPr>
            <w:tcW w:w="515"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主要成分</w:t>
            </w:r>
          </w:p>
        </w:tc>
        <w:tc>
          <w:tcPr>
            <w:tcW w:w="515"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有害成分</w:t>
            </w:r>
          </w:p>
        </w:tc>
        <w:tc>
          <w:tcPr>
            <w:tcW w:w="628"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产废周期</w:t>
            </w:r>
          </w:p>
        </w:tc>
        <w:tc>
          <w:tcPr>
            <w:tcW w:w="772"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危险特性</w:t>
            </w:r>
          </w:p>
        </w:tc>
        <w:tc>
          <w:tcPr>
            <w:tcW w:w="1188"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污染防治措施</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474"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1</w:t>
            </w:r>
          </w:p>
        </w:tc>
        <w:tc>
          <w:tcPr>
            <w:tcW w:w="787"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生活垃圾</w:t>
            </w:r>
          </w:p>
        </w:tc>
        <w:tc>
          <w:tcPr>
            <w:tcW w:w="659"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w:t>
            </w:r>
          </w:p>
        </w:tc>
        <w:tc>
          <w:tcPr>
            <w:tcW w:w="570" w:type="dxa"/>
          </w:tcPr>
          <w:p>
            <w:pPr>
              <w:spacing w:line="240" w:lineRule="auto"/>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w:t>
            </w:r>
          </w:p>
        </w:tc>
        <w:tc>
          <w:tcPr>
            <w:tcW w:w="1065" w:type="dxa"/>
          </w:tcPr>
          <w:p>
            <w:pPr>
              <w:spacing w:line="240" w:lineRule="auto"/>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 xml:space="preserve">1.2 </w:t>
            </w:r>
          </w:p>
        </w:tc>
        <w:tc>
          <w:tcPr>
            <w:tcW w:w="660"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办公</w:t>
            </w:r>
          </w:p>
        </w:tc>
        <w:tc>
          <w:tcPr>
            <w:tcW w:w="473" w:type="dxa"/>
          </w:tcPr>
          <w:p>
            <w:pPr>
              <w:spacing w:line="240" w:lineRule="auto"/>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w:t>
            </w:r>
          </w:p>
        </w:tc>
        <w:tc>
          <w:tcPr>
            <w:tcW w:w="515" w:type="dxa"/>
          </w:tcPr>
          <w:p>
            <w:pPr>
              <w:spacing w:line="240" w:lineRule="auto"/>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w:t>
            </w:r>
          </w:p>
        </w:tc>
        <w:tc>
          <w:tcPr>
            <w:tcW w:w="515" w:type="dxa"/>
          </w:tcPr>
          <w:p>
            <w:pPr>
              <w:spacing w:line="240" w:lineRule="auto"/>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w:t>
            </w:r>
          </w:p>
        </w:tc>
        <w:tc>
          <w:tcPr>
            <w:tcW w:w="628"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天</w:t>
            </w:r>
          </w:p>
        </w:tc>
        <w:tc>
          <w:tcPr>
            <w:tcW w:w="772" w:type="dxa"/>
          </w:tcPr>
          <w:p>
            <w:pPr>
              <w:spacing w:line="240" w:lineRule="auto"/>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w:t>
            </w:r>
          </w:p>
        </w:tc>
        <w:tc>
          <w:tcPr>
            <w:tcW w:w="1188"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环卫部门处理</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474"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2</w:t>
            </w:r>
          </w:p>
        </w:tc>
        <w:tc>
          <w:tcPr>
            <w:tcW w:w="787"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炸药包装物</w:t>
            </w:r>
          </w:p>
        </w:tc>
        <w:tc>
          <w:tcPr>
            <w:tcW w:w="659"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w:t>
            </w:r>
          </w:p>
        </w:tc>
        <w:tc>
          <w:tcPr>
            <w:tcW w:w="570" w:type="dxa"/>
          </w:tcPr>
          <w:p>
            <w:pPr>
              <w:spacing w:line="240" w:lineRule="auto"/>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w:t>
            </w:r>
          </w:p>
        </w:tc>
        <w:tc>
          <w:tcPr>
            <w:tcW w:w="1065" w:type="dxa"/>
          </w:tcPr>
          <w:p>
            <w:pPr>
              <w:spacing w:line="240" w:lineRule="auto"/>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 xml:space="preserve">0.4 </w:t>
            </w:r>
          </w:p>
        </w:tc>
        <w:tc>
          <w:tcPr>
            <w:tcW w:w="660"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爆破</w:t>
            </w:r>
          </w:p>
        </w:tc>
        <w:tc>
          <w:tcPr>
            <w:tcW w:w="473" w:type="dxa"/>
          </w:tcPr>
          <w:p>
            <w:pPr>
              <w:spacing w:line="240" w:lineRule="auto"/>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w:t>
            </w:r>
          </w:p>
        </w:tc>
        <w:tc>
          <w:tcPr>
            <w:tcW w:w="515" w:type="dxa"/>
          </w:tcPr>
          <w:p>
            <w:pPr>
              <w:spacing w:line="240" w:lineRule="auto"/>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w:t>
            </w:r>
          </w:p>
        </w:tc>
        <w:tc>
          <w:tcPr>
            <w:tcW w:w="515" w:type="dxa"/>
          </w:tcPr>
          <w:p>
            <w:pPr>
              <w:spacing w:line="240" w:lineRule="auto"/>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w:t>
            </w:r>
          </w:p>
        </w:tc>
        <w:tc>
          <w:tcPr>
            <w:tcW w:w="628"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12天</w:t>
            </w:r>
          </w:p>
        </w:tc>
        <w:tc>
          <w:tcPr>
            <w:tcW w:w="772" w:type="dxa"/>
          </w:tcPr>
          <w:p>
            <w:pPr>
              <w:spacing w:line="240" w:lineRule="auto"/>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w:t>
            </w:r>
          </w:p>
        </w:tc>
        <w:tc>
          <w:tcPr>
            <w:tcW w:w="1188"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爆破部门回收</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474"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3</w:t>
            </w:r>
          </w:p>
        </w:tc>
        <w:tc>
          <w:tcPr>
            <w:tcW w:w="787"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土岩</w:t>
            </w:r>
          </w:p>
        </w:tc>
        <w:tc>
          <w:tcPr>
            <w:tcW w:w="659"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w:t>
            </w:r>
          </w:p>
        </w:tc>
        <w:tc>
          <w:tcPr>
            <w:tcW w:w="570" w:type="dxa"/>
          </w:tcPr>
          <w:p>
            <w:pPr>
              <w:spacing w:line="240" w:lineRule="auto"/>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w:t>
            </w:r>
          </w:p>
        </w:tc>
        <w:tc>
          <w:tcPr>
            <w:tcW w:w="1065" w:type="dxa"/>
          </w:tcPr>
          <w:p>
            <w:pPr>
              <w:spacing w:line="240" w:lineRule="auto"/>
              <w:jc w:val="center"/>
              <w:rPr>
                <w:rFonts w:ascii="Times New Roman" w:hAnsi="Times New Roman" w:eastAsiaTheme="minorEastAsia"/>
                <w:color w:val="auto"/>
                <w:sz w:val="21"/>
                <w:szCs w:val="21"/>
              </w:rPr>
            </w:pPr>
            <w:r>
              <w:rPr>
                <w:rFonts w:hint="eastAsia" w:eastAsiaTheme="minorEastAsia"/>
                <w:color w:val="auto"/>
                <w:sz w:val="21"/>
                <w:szCs w:val="21"/>
                <w:lang w:eastAsia="zh-CN"/>
              </w:rPr>
              <w:t>9</w:t>
            </w:r>
            <w:r>
              <w:rPr>
                <w:rFonts w:hint="eastAsia" w:eastAsiaTheme="minorEastAsia"/>
                <w:color w:val="auto"/>
                <w:sz w:val="21"/>
                <w:szCs w:val="21"/>
                <w:lang w:val="en-US" w:eastAsia="zh-CN"/>
              </w:rPr>
              <w:t>29</w:t>
            </w:r>
            <w:r>
              <w:rPr>
                <w:rFonts w:ascii="Times New Roman" w:hAnsi="Times New Roman" w:eastAsiaTheme="minorEastAsia"/>
                <w:color w:val="auto"/>
                <w:sz w:val="21"/>
                <w:szCs w:val="21"/>
              </w:rPr>
              <w:t>m</w:t>
            </w:r>
            <w:r>
              <w:rPr>
                <w:rFonts w:ascii="Times New Roman" w:hAnsi="Times New Roman" w:eastAsiaTheme="minorEastAsia"/>
                <w:color w:val="auto"/>
                <w:sz w:val="21"/>
                <w:szCs w:val="21"/>
                <w:vertAlign w:val="superscript"/>
              </w:rPr>
              <w:t>3</w:t>
            </w:r>
            <w:r>
              <w:rPr>
                <w:rFonts w:ascii="Times New Roman" w:hAnsi="Times New Roman" w:eastAsiaTheme="minorEastAsia"/>
                <w:color w:val="auto"/>
                <w:sz w:val="21"/>
                <w:szCs w:val="21"/>
              </w:rPr>
              <w:t>/a</w:t>
            </w:r>
          </w:p>
        </w:tc>
        <w:tc>
          <w:tcPr>
            <w:tcW w:w="660"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采剥</w:t>
            </w:r>
          </w:p>
        </w:tc>
        <w:tc>
          <w:tcPr>
            <w:tcW w:w="473" w:type="dxa"/>
          </w:tcPr>
          <w:p>
            <w:pPr>
              <w:spacing w:line="240" w:lineRule="auto"/>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w:t>
            </w:r>
          </w:p>
        </w:tc>
        <w:tc>
          <w:tcPr>
            <w:tcW w:w="515" w:type="dxa"/>
          </w:tcPr>
          <w:p>
            <w:pPr>
              <w:spacing w:line="240" w:lineRule="auto"/>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w:t>
            </w:r>
          </w:p>
        </w:tc>
        <w:tc>
          <w:tcPr>
            <w:tcW w:w="515" w:type="dxa"/>
          </w:tcPr>
          <w:p>
            <w:pPr>
              <w:spacing w:line="240" w:lineRule="auto"/>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w:t>
            </w:r>
          </w:p>
        </w:tc>
        <w:tc>
          <w:tcPr>
            <w:tcW w:w="628"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天</w:t>
            </w:r>
          </w:p>
        </w:tc>
        <w:tc>
          <w:tcPr>
            <w:tcW w:w="772" w:type="dxa"/>
          </w:tcPr>
          <w:p>
            <w:pPr>
              <w:spacing w:line="240" w:lineRule="auto"/>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w:t>
            </w:r>
          </w:p>
        </w:tc>
        <w:tc>
          <w:tcPr>
            <w:tcW w:w="1188" w:type="dxa"/>
            <w:vMerge w:val="restart"/>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定期外卖</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474"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4</w:t>
            </w:r>
          </w:p>
        </w:tc>
        <w:tc>
          <w:tcPr>
            <w:tcW w:w="787"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石粉</w:t>
            </w:r>
          </w:p>
        </w:tc>
        <w:tc>
          <w:tcPr>
            <w:tcW w:w="659" w:type="dxa"/>
          </w:tcPr>
          <w:p>
            <w:pPr>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w:t>
            </w:r>
          </w:p>
        </w:tc>
        <w:tc>
          <w:tcPr>
            <w:tcW w:w="570" w:type="dxa"/>
          </w:tcPr>
          <w:p>
            <w:pPr>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w:t>
            </w:r>
          </w:p>
        </w:tc>
        <w:tc>
          <w:tcPr>
            <w:tcW w:w="1065" w:type="dxa"/>
          </w:tcPr>
          <w:p>
            <w:pPr>
              <w:jc w:val="center"/>
              <w:rPr>
                <w:rFonts w:ascii="Times New Roman" w:hAnsi="Times New Roman" w:eastAsiaTheme="minorEastAsia"/>
                <w:color w:val="auto"/>
                <w:sz w:val="21"/>
                <w:szCs w:val="21"/>
              </w:rPr>
            </w:pPr>
            <w:r>
              <w:rPr>
                <w:rFonts w:hint="eastAsia" w:eastAsiaTheme="minorEastAsia"/>
                <w:color w:val="auto"/>
                <w:sz w:val="21"/>
                <w:szCs w:val="21"/>
                <w:lang w:eastAsia="zh-CN"/>
              </w:rPr>
              <w:t>7.4t/a</w:t>
            </w:r>
          </w:p>
        </w:tc>
        <w:tc>
          <w:tcPr>
            <w:tcW w:w="660"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布袋除尘器</w:t>
            </w:r>
          </w:p>
        </w:tc>
        <w:tc>
          <w:tcPr>
            <w:tcW w:w="473" w:type="dxa"/>
          </w:tcPr>
          <w:p>
            <w:pPr>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w:t>
            </w:r>
          </w:p>
        </w:tc>
        <w:tc>
          <w:tcPr>
            <w:tcW w:w="515" w:type="dxa"/>
          </w:tcPr>
          <w:p>
            <w:pPr>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w:t>
            </w:r>
          </w:p>
        </w:tc>
        <w:tc>
          <w:tcPr>
            <w:tcW w:w="515" w:type="dxa"/>
          </w:tcPr>
          <w:p>
            <w:pPr>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w:t>
            </w:r>
          </w:p>
        </w:tc>
        <w:tc>
          <w:tcPr>
            <w:tcW w:w="628"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天</w:t>
            </w:r>
          </w:p>
        </w:tc>
        <w:tc>
          <w:tcPr>
            <w:tcW w:w="772" w:type="dxa"/>
          </w:tcPr>
          <w:p>
            <w:pPr>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w:t>
            </w:r>
          </w:p>
        </w:tc>
        <w:tc>
          <w:tcPr>
            <w:tcW w:w="1188" w:type="dxa"/>
            <w:vMerge w:val="continue"/>
          </w:tcPr>
          <w:p>
            <w:pPr>
              <w:pStyle w:val="276"/>
              <w:spacing w:line="240" w:lineRule="auto"/>
              <w:ind w:firstLine="0" w:firstLineChars="0"/>
              <w:jc w:val="center"/>
              <w:rPr>
                <w:rFonts w:ascii="Times New Roman" w:hAnsi="Times New Roman" w:eastAsiaTheme="minorEastAsia"/>
                <w:color w:val="auto"/>
                <w:sz w:val="21"/>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474"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5</w:t>
            </w:r>
          </w:p>
        </w:tc>
        <w:tc>
          <w:tcPr>
            <w:tcW w:w="787"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石粉</w:t>
            </w:r>
          </w:p>
        </w:tc>
        <w:tc>
          <w:tcPr>
            <w:tcW w:w="659" w:type="dxa"/>
          </w:tcPr>
          <w:p>
            <w:pPr>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w:t>
            </w:r>
          </w:p>
        </w:tc>
        <w:tc>
          <w:tcPr>
            <w:tcW w:w="570" w:type="dxa"/>
          </w:tcPr>
          <w:p>
            <w:pPr>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w:t>
            </w:r>
          </w:p>
        </w:tc>
        <w:tc>
          <w:tcPr>
            <w:tcW w:w="1065" w:type="dxa"/>
          </w:tcPr>
          <w:p>
            <w:pPr>
              <w:jc w:val="center"/>
              <w:rPr>
                <w:rFonts w:ascii="Times New Roman" w:hAnsi="Times New Roman" w:eastAsiaTheme="minorEastAsia"/>
                <w:color w:val="auto"/>
                <w:sz w:val="21"/>
                <w:szCs w:val="21"/>
              </w:rPr>
            </w:pPr>
            <w:r>
              <w:rPr>
                <w:rFonts w:hint="eastAsia" w:eastAsiaTheme="minorEastAsia"/>
                <w:color w:val="auto"/>
                <w:sz w:val="21"/>
                <w:szCs w:val="21"/>
                <w:lang w:eastAsia="zh-CN"/>
              </w:rPr>
              <w:t>101</w:t>
            </w:r>
            <w:r>
              <w:rPr>
                <w:rFonts w:ascii="Times New Roman" w:hAnsi="Times New Roman" w:eastAsiaTheme="minorEastAsia"/>
                <w:color w:val="auto"/>
                <w:sz w:val="21"/>
                <w:szCs w:val="21"/>
              </w:rPr>
              <w:t xml:space="preserve"> t/a</w:t>
            </w:r>
          </w:p>
        </w:tc>
        <w:tc>
          <w:tcPr>
            <w:tcW w:w="660"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筛分</w:t>
            </w:r>
          </w:p>
        </w:tc>
        <w:tc>
          <w:tcPr>
            <w:tcW w:w="473" w:type="dxa"/>
          </w:tcPr>
          <w:p>
            <w:pPr>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w:t>
            </w:r>
          </w:p>
        </w:tc>
        <w:tc>
          <w:tcPr>
            <w:tcW w:w="515" w:type="dxa"/>
          </w:tcPr>
          <w:p>
            <w:pPr>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w:t>
            </w:r>
          </w:p>
        </w:tc>
        <w:tc>
          <w:tcPr>
            <w:tcW w:w="515" w:type="dxa"/>
          </w:tcPr>
          <w:p>
            <w:pPr>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w:t>
            </w:r>
          </w:p>
        </w:tc>
        <w:tc>
          <w:tcPr>
            <w:tcW w:w="628"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w:t>
            </w:r>
          </w:p>
        </w:tc>
        <w:tc>
          <w:tcPr>
            <w:tcW w:w="772" w:type="dxa"/>
          </w:tcPr>
          <w:p>
            <w:pPr>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w:t>
            </w:r>
          </w:p>
        </w:tc>
        <w:tc>
          <w:tcPr>
            <w:tcW w:w="1188"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定期外卖</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474"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6</w:t>
            </w:r>
          </w:p>
        </w:tc>
        <w:tc>
          <w:tcPr>
            <w:tcW w:w="787"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废机油</w:t>
            </w:r>
          </w:p>
        </w:tc>
        <w:tc>
          <w:tcPr>
            <w:tcW w:w="659"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HW08废矿物油与含废矿物油废物</w:t>
            </w:r>
          </w:p>
        </w:tc>
        <w:tc>
          <w:tcPr>
            <w:tcW w:w="570" w:type="dxa"/>
          </w:tcPr>
          <w:p>
            <w:pPr>
              <w:pStyle w:val="55"/>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900-214-08</w:t>
            </w:r>
          </w:p>
          <w:p>
            <w:pPr>
              <w:pStyle w:val="276"/>
              <w:spacing w:line="240" w:lineRule="auto"/>
              <w:ind w:firstLine="0" w:firstLineChars="0"/>
              <w:jc w:val="center"/>
              <w:rPr>
                <w:rFonts w:ascii="Times New Roman" w:hAnsi="Times New Roman" w:eastAsiaTheme="minorEastAsia"/>
                <w:color w:val="auto"/>
                <w:sz w:val="21"/>
                <w:szCs w:val="21"/>
              </w:rPr>
            </w:pPr>
          </w:p>
        </w:tc>
        <w:tc>
          <w:tcPr>
            <w:tcW w:w="1065"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 xml:space="preserve">0.5 </w:t>
            </w:r>
          </w:p>
        </w:tc>
        <w:tc>
          <w:tcPr>
            <w:tcW w:w="660"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设备保养</w:t>
            </w:r>
          </w:p>
        </w:tc>
        <w:tc>
          <w:tcPr>
            <w:tcW w:w="473"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液态</w:t>
            </w:r>
          </w:p>
        </w:tc>
        <w:tc>
          <w:tcPr>
            <w:tcW w:w="515"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矿物油</w:t>
            </w:r>
          </w:p>
        </w:tc>
        <w:tc>
          <w:tcPr>
            <w:tcW w:w="515"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石油类</w:t>
            </w:r>
          </w:p>
        </w:tc>
        <w:tc>
          <w:tcPr>
            <w:tcW w:w="628" w:type="dxa"/>
          </w:tcPr>
          <w:p>
            <w:pPr>
              <w:pStyle w:val="276"/>
              <w:spacing w:line="240" w:lineRule="auto"/>
              <w:ind w:firstLine="0" w:firstLineChars="0"/>
              <w:jc w:val="center"/>
              <w:rPr>
                <w:rFonts w:hint="eastAsia" w:ascii="Times New Roman" w:hAnsi="Times New Roman" w:eastAsiaTheme="minorEastAsia"/>
                <w:color w:val="auto"/>
                <w:sz w:val="21"/>
                <w:szCs w:val="21"/>
                <w:lang w:eastAsia="zh-CN"/>
              </w:rPr>
            </w:pPr>
            <w:r>
              <w:rPr>
                <w:rFonts w:hint="eastAsia" w:eastAsiaTheme="minorEastAsia"/>
                <w:color w:val="auto"/>
                <w:sz w:val="21"/>
                <w:szCs w:val="21"/>
                <w:lang w:eastAsia="zh-CN"/>
              </w:rPr>
              <w:t>240天</w:t>
            </w:r>
          </w:p>
        </w:tc>
        <w:tc>
          <w:tcPr>
            <w:tcW w:w="772"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毒性、易燃性</w:t>
            </w:r>
          </w:p>
        </w:tc>
        <w:tc>
          <w:tcPr>
            <w:tcW w:w="1188" w:type="dxa"/>
          </w:tcPr>
          <w:p>
            <w:pPr>
              <w:pStyle w:val="276"/>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存于专用容器中，暂存于危废暂存间，交由有资质单位处置</w:t>
            </w:r>
          </w:p>
        </w:tc>
      </w:tr>
    </w:tbl>
    <w:p>
      <w:pPr>
        <w:pStyle w:val="276"/>
        <w:rPr>
          <w:rFonts w:eastAsiaTheme="minorEastAsia"/>
          <w:color w:val="auto"/>
        </w:rPr>
      </w:pPr>
      <w:r>
        <w:rPr>
          <w:rFonts w:eastAsiaTheme="minorEastAsia"/>
          <w:color w:val="auto"/>
        </w:rPr>
        <w:t>项目生活垃圾暂存于厂区垃圾箱内，经集中收集后运往垃圾中转站由当地环卫部门统一处理、土岩暂存于临时堆土场内定期外卖、筛分的石粉及布袋除尘器收集的石粉暂存于全封闭石粉仓内，定期外卖。危险固废设立单独的危险废物暂存间，贮存时间不得超过1年；定期交由有资质部门处理。</w:t>
      </w:r>
    </w:p>
    <w:p>
      <w:pPr>
        <w:pStyle w:val="276"/>
        <w:jc w:val="both"/>
        <w:rPr>
          <w:rFonts w:eastAsiaTheme="minorEastAsia"/>
          <w:color w:val="auto"/>
        </w:rPr>
      </w:pPr>
      <w:r>
        <w:rPr>
          <w:rFonts w:eastAsiaTheme="minorEastAsia"/>
          <w:color w:val="auto"/>
        </w:rPr>
        <w:t>项目的危险废物暂存间按照《危险废物贮存污染物控制标准》（GB18597-2001）及2013修改单对危险废物分别储存；危险废物暂存间地面及墙面裙角要做防渗处理；不同的危险废物要用不同的标准容器盛装，并粘贴符合标准的标签，标明物质种类、贮存时间等；必须保证装载危险废物的容器完好无损，装在危险废物的容器及材质要满足相应的强度要求；危险废物与盛装容器要具备不相容性，禁止将液态废物倾倒出来；装载液体、半固体危险废物的容器内必须留足够的空间，容器顶部与液体表面之间保留100mm以上的空间。</w:t>
      </w:r>
    </w:p>
    <w:bookmarkEnd w:id="124"/>
    <w:bookmarkEnd w:id="125"/>
    <w:bookmarkEnd w:id="126"/>
    <w:p>
      <w:pPr>
        <w:pStyle w:val="242"/>
        <w:rPr>
          <w:rFonts w:ascii="Times New Roman" w:hAnsi="Times New Roman" w:cs="Times New Roman" w:eastAsiaTheme="minorEastAsia"/>
          <w:color w:val="auto"/>
        </w:rPr>
      </w:pPr>
      <w:r>
        <w:rPr>
          <w:rFonts w:ascii="Times New Roman" w:hAnsi="Times New Roman" w:cs="Times New Roman" w:eastAsiaTheme="minorEastAsia"/>
          <w:color w:val="auto"/>
        </w:rPr>
        <w:t>3.3.2.4污染物产生情况汇总</w:t>
      </w:r>
    </w:p>
    <w:p>
      <w:pPr>
        <w:pStyle w:val="276"/>
        <w:rPr>
          <w:rFonts w:eastAsiaTheme="minorEastAsia"/>
          <w:color w:val="auto"/>
        </w:rPr>
      </w:pPr>
      <w:r>
        <w:rPr>
          <w:rFonts w:eastAsiaTheme="minorEastAsia"/>
          <w:color w:val="auto"/>
        </w:rPr>
        <w:t>本项目污染物产生情况见表3-3-8。</w:t>
      </w:r>
    </w:p>
    <w:p>
      <w:pPr>
        <w:pStyle w:val="244"/>
        <w:rPr>
          <w:rFonts w:eastAsiaTheme="minorEastAsia"/>
          <w:color w:val="auto"/>
        </w:rPr>
      </w:pPr>
      <w:r>
        <w:rPr>
          <w:rFonts w:eastAsiaTheme="minorEastAsia"/>
          <w:color w:val="auto"/>
        </w:rPr>
        <w:t>表3-3-8  本项目污染物排放情况汇总</w:t>
      </w:r>
    </w:p>
    <w:tbl>
      <w:tblPr>
        <w:tblStyle w:val="53"/>
        <w:tblW w:w="8306" w:type="dxa"/>
        <w:tblInd w:w="0" w:type="dxa"/>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756"/>
        <w:gridCol w:w="1799"/>
        <w:gridCol w:w="1834"/>
        <w:gridCol w:w="1658"/>
        <w:gridCol w:w="2259"/>
      </w:tblGrid>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756" w:type="dxa"/>
            <w:vAlign w:val="center"/>
          </w:tcPr>
          <w:p>
            <w:pPr>
              <w:pStyle w:val="246"/>
              <w:rPr>
                <w:rFonts w:eastAsiaTheme="minorEastAsia"/>
                <w:color w:val="auto"/>
              </w:rPr>
            </w:pPr>
            <w:r>
              <w:rPr>
                <w:rFonts w:eastAsiaTheme="minorEastAsia"/>
                <w:color w:val="auto"/>
              </w:rPr>
              <w:t>类别</w:t>
            </w:r>
          </w:p>
        </w:tc>
        <w:tc>
          <w:tcPr>
            <w:tcW w:w="1799" w:type="dxa"/>
            <w:vAlign w:val="center"/>
          </w:tcPr>
          <w:p>
            <w:pPr>
              <w:pStyle w:val="246"/>
              <w:rPr>
                <w:rFonts w:eastAsiaTheme="minorEastAsia"/>
                <w:color w:val="auto"/>
              </w:rPr>
            </w:pPr>
            <w:r>
              <w:rPr>
                <w:rFonts w:eastAsiaTheme="minorEastAsia"/>
                <w:color w:val="auto"/>
              </w:rPr>
              <w:t>污染源名称</w:t>
            </w:r>
          </w:p>
        </w:tc>
        <w:tc>
          <w:tcPr>
            <w:tcW w:w="1834" w:type="dxa"/>
            <w:vAlign w:val="center"/>
          </w:tcPr>
          <w:p>
            <w:pPr>
              <w:pStyle w:val="246"/>
              <w:rPr>
                <w:rFonts w:eastAsiaTheme="minorEastAsia"/>
                <w:color w:val="auto"/>
              </w:rPr>
            </w:pPr>
            <w:r>
              <w:rPr>
                <w:rFonts w:eastAsiaTheme="minorEastAsia"/>
                <w:color w:val="auto"/>
              </w:rPr>
              <w:t>污染物名称</w:t>
            </w:r>
          </w:p>
        </w:tc>
        <w:tc>
          <w:tcPr>
            <w:tcW w:w="1658" w:type="dxa"/>
            <w:vAlign w:val="center"/>
          </w:tcPr>
          <w:p>
            <w:pPr>
              <w:pStyle w:val="246"/>
              <w:rPr>
                <w:rFonts w:eastAsiaTheme="minorEastAsia"/>
                <w:color w:val="auto"/>
              </w:rPr>
            </w:pPr>
            <w:r>
              <w:rPr>
                <w:rFonts w:eastAsiaTheme="minorEastAsia"/>
                <w:color w:val="auto"/>
              </w:rPr>
              <w:t>排放量</w:t>
            </w:r>
          </w:p>
        </w:tc>
        <w:tc>
          <w:tcPr>
            <w:tcW w:w="2259" w:type="dxa"/>
            <w:vAlign w:val="center"/>
          </w:tcPr>
          <w:p>
            <w:pPr>
              <w:pStyle w:val="246"/>
              <w:rPr>
                <w:rFonts w:eastAsiaTheme="minorEastAsia"/>
                <w:color w:val="auto"/>
              </w:rPr>
            </w:pPr>
            <w:r>
              <w:rPr>
                <w:rFonts w:eastAsiaTheme="minorEastAsia"/>
                <w:color w:val="auto"/>
              </w:rPr>
              <w:t>排放去向</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756" w:type="dxa"/>
            <w:vMerge w:val="restart"/>
            <w:vAlign w:val="center"/>
          </w:tcPr>
          <w:p>
            <w:pPr>
              <w:pStyle w:val="246"/>
              <w:rPr>
                <w:rFonts w:eastAsiaTheme="minorEastAsia"/>
                <w:color w:val="auto"/>
              </w:rPr>
            </w:pPr>
            <w:r>
              <w:rPr>
                <w:rFonts w:eastAsiaTheme="minorEastAsia"/>
                <w:color w:val="auto"/>
              </w:rPr>
              <w:t>废气</w:t>
            </w:r>
          </w:p>
        </w:tc>
        <w:tc>
          <w:tcPr>
            <w:tcW w:w="1799" w:type="dxa"/>
            <w:vAlign w:val="center"/>
          </w:tcPr>
          <w:p>
            <w:pPr>
              <w:pStyle w:val="246"/>
              <w:rPr>
                <w:rFonts w:eastAsiaTheme="minorEastAsia"/>
                <w:color w:val="auto"/>
              </w:rPr>
            </w:pPr>
            <w:r>
              <w:rPr>
                <w:rFonts w:eastAsiaTheme="minorEastAsia"/>
                <w:color w:val="auto"/>
              </w:rPr>
              <w:t>钻孔</w:t>
            </w:r>
          </w:p>
        </w:tc>
        <w:tc>
          <w:tcPr>
            <w:tcW w:w="1834" w:type="dxa"/>
            <w:vAlign w:val="center"/>
          </w:tcPr>
          <w:p>
            <w:pPr>
              <w:pStyle w:val="246"/>
              <w:rPr>
                <w:rFonts w:eastAsiaTheme="minorEastAsia"/>
                <w:color w:val="auto"/>
              </w:rPr>
            </w:pPr>
            <w:r>
              <w:rPr>
                <w:rFonts w:eastAsiaTheme="minorEastAsia"/>
                <w:color w:val="auto"/>
              </w:rPr>
              <w:t>粉尘</w:t>
            </w:r>
          </w:p>
        </w:tc>
        <w:tc>
          <w:tcPr>
            <w:tcW w:w="1658" w:type="dxa"/>
            <w:vAlign w:val="center"/>
          </w:tcPr>
          <w:p>
            <w:pPr>
              <w:pStyle w:val="246"/>
              <w:rPr>
                <w:rFonts w:eastAsiaTheme="minorEastAsia"/>
                <w:color w:val="auto"/>
              </w:rPr>
            </w:pPr>
            <w:r>
              <w:rPr>
                <w:rFonts w:eastAsiaTheme="minorEastAsia"/>
                <w:color w:val="auto"/>
              </w:rPr>
              <w:t>0.</w:t>
            </w:r>
            <w:r>
              <w:rPr>
                <w:rFonts w:hint="eastAsia" w:eastAsiaTheme="minorEastAsia"/>
                <w:color w:val="auto"/>
                <w:lang w:val="en-US" w:eastAsia="zh-CN"/>
              </w:rPr>
              <w:t>04</w:t>
            </w:r>
            <w:r>
              <w:rPr>
                <w:rFonts w:eastAsiaTheme="minorEastAsia"/>
                <w:color w:val="auto"/>
              </w:rPr>
              <w:t>t/a</w:t>
            </w:r>
          </w:p>
        </w:tc>
        <w:tc>
          <w:tcPr>
            <w:tcW w:w="2259" w:type="dxa"/>
            <w:vAlign w:val="center"/>
          </w:tcPr>
          <w:p>
            <w:pPr>
              <w:pStyle w:val="246"/>
              <w:rPr>
                <w:rFonts w:eastAsiaTheme="minorEastAsia"/>
                <w:color w:val="auto"/>
              </w:rPr>
            </w:pPr>
            <w:r>
              <w:rPr>
                <w:rFonts w:eastAsiaTheme="minorEastAsia"/>
                <w:color w:val="auto"/>
              </w:rPr>
              <w:t>无组织排放</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756" w:type="dxa"/>
            <w:vMerge w:val="continue"/>
            <w:vAlign w:val="center"/>
          </w:tcPr>
          <w:p>
            <w:pPr>
              <w:pStyle w:val="246"/>
              <w:rPr>
                <w:rFonts w:eastAsiaTheme="minorEastAsia"/>
                <w:color w:val="auto"/>
              </w:rPr>
            </w:pPr>
          </w:p>
        </w:tc>
        <w:tc>
          <w:tcPr>
            <w:tcW w:w="1799" w:type="dxa"/>
            <w:vAlign w:val="center"/>
          </w:tcPr>
          <w:p>
            <w:pPr>
              <w:pStyle w:val="246"/>
              <w:rPr>
                <w:rFonts w:eastAsiaTheme="minorEastAsia"/>
                <w:color w:val="auto"/>
              </w:rPr>
            </w:pPr>
            <w:r>
              <w:rPr>
                <w:rFonts w:eastAsiaTheme="minorEastAsia"/>
                <w:color w:val="auto"/>
              </w:rPr>
              <w:t>爆破</w:t>
            </w:r>
          </w:p>
        </w:tc>
        <w:tc>
          <w:tcPr>
            <w:tcW w:w="1834" w:type="dxa"/>
            <w:vAlign w:val="center"/>
          </w:tcPr>
          <w:p>
            <w:pPr>
              <w:pStyle w:val="246"/>
              <w:rPr>
                <w:rFonts w:eastAsiaTheme="minorEastAsia"/>
                <w:color w:val="auto"/>
              </w:rPr>
            </w:pPr>
            <w:r>
              <w:rPr>
                <w:rFonts w:eastAsiaTheme="minorEastAsia"/>
                <w:color w:val="auto"/>
              </w:rPr>
              <w:t>粉尘</w:t>
            </w:r>
          </w:p>
        </w:tc>
        <w:tc>
          <w:tcPr>
            <w:tcW w:w="1658" w:type="dxa"/>
            <w:vAlign w:val="center"/>
          </w:tcPr>
          <w:p>
            <w:pPr>
              <w:pStyle w:val="246"/>
              <w:rPr>
                <w:rFonts w:eastAsiaTheme="minorEastAsia"/>
                <w:color w:val="auto"/>
              </w:rPr>
            </w:pPr>
            <w:r>
              <w:rPr>
                <w:rFonts w:eastAsiaTheme="minorEastAsia"/>
                <w:color w:val="auto"/>
              </w:rPr>
              <w:t>0.</w:t>
            </w:r>
            <w:r>
              <w:rPr>
                <w:rFonts w:hint="eastAsia" w:eastAsiaTheme="minorEastAsia"/>
                <w:color w:val="auto"/>
                <w:lang w:val="en-US" w:eastAsia="zh-CN"/>
              </w:rPr>
              <w:t>1</w:t>
            </w:r>
            <w:r>
              <w:rPr>
                <w:rFonts w:eastAsiaTheme="minorEastAsia"/>
                <w:color w:val="auto"/>
              </w:rPr>
              <w:t>5t/a</w:t>
            </w:r>
          </w:p>
        </w:tc>
        <w:tc>
          <w:tcPr>
            <w:tcW w:w="2259" w:type="dxa"/>
            <w:vAlign w:val="center"/>
          </w:tcPr>
          <w:p>
            <w:pPr>
              <w:pStyle w:val="246"/>
              <w:rPr>
                <w:rFonts w:eastAsiaTheme="minorEastAsia"/>
                <w:color w:val="auto"/>
              </w:rPr>
            </w:pPr>
            <w:r>
              <w:rPr>
                <w:rFonts w:eastAsiaTheme="minorEastAsia"/>
                <w:color w:val="auto"/>
              </w:rPr>
              <w:t>无组织排放</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756" w:type="dxa"/>
            <w:vMerge w:val="continue"/>
            <w:vAlign w:val="center"/>
          </w:tcPr>
          <w:p>
            <w:pPr>
              <w:pStyle w:val="246"/>
              <w:rPr>
                <w:rFonts w:eastAsiaTheme="minorEastAsia"/>
                <w:color w:val="auto"/>
              </w:rPr>
            </w:pPr>
          </w:p>
        </w:tc>
        <w:tc>
          <w:tcPr>
            <w:tcW w:w="1799" w:type="dxa"/>
            <w:vAlign w:val="center"/>
          </w:tcPr>
          <w:p>
            <w:pPr>
              <w:pStyle w:val="246"/>
              <w:rPr>
                <w:rFonts w:eastAsiaTheme="minorEastAsia"/>
                <w:color w:val="auto"/>
              </w:rPr>
            </w:pPr>
            <w:r>
              <w:rPr>
                <w:rFonts w:eastAsiaTheme="minorEastAsia"/>
                <w:color w:val="auto"/>
              </w:rPr>
              <w:t>集堆、铲装</w:t>
            </w:r>
          </w:p>
        </w:tc>
        <w:tc>
          <w:tcPr>
            <w:tcW w:w="1834" w:type="dxa"/>
            <w:vAlign w:val="center"/>
          </w:tcPr>
          <w:p>
            <w:pPr>
              <w:pStyle w:val="246"/>
              <w:rPr>
                <w:rFonts w:eastAsiaTheme="minorEastAsia"/>
                <w:color w:val="auto"/>
              </w:rPr>
            </w:pPr>
            <w:r>
              <w:rPr>
                <w:rFonts w:eastAsiaTheme="minorEastAsia"/>
                <w:color w:val="auto"/>
              </w:rPr>
              <w:t>粉尘</w:t>
            </w:r>
          </w:p>
        </w:tc>
        <w:tc>
          <w:tcPr>
            <w:tcW w:w="1658" w:type="dxa"/>
            <w:vAlign w:val="center"/>
          </w:tcPr>
          <w:p>
            <w:pPr>
              <w:pStyle w:val="246"/>
              <w:rPr>
                <w:rFonts w:eastAsiaTheme="minorEastAsia"/>
                <w:color w:val="auto"/>
              </w:rPr>
            </w:pPr>
            <w:r>
              <w:rPr>
                <w:rFonts w:eastAsiaTheme="minorEastAsia"/>
                <w:color w:val="auto"/>
              </w:rPr>
              <w:t>0.0</w:t>
            </w:r>
            <w:r>
              <w:rPr>
                <w:rFonts w:hint="eastAsia" w:eastAsiaTheme="minorEastAsia"/>
                <w:color w:val="auto"/>
                <w:lang w:val="en-US" w:eastAsia="zh-CN"/>
              </w:rPr>
              <w:t>5</w:t>
            </w:r>
            <w:r>
              <w:rPr>
                <w:rFonts w:eastAsiaTheme="minorEastAsia"/>
                <w:color w:val="auto"/>
              </w:rPr>
              <w:t>t/a</w:t>
            </w:r>
          </w:p>
        </w:tc>
        <w:tc>
          <w:tcPr>
            <w:tcW w:w="2259" w:type="dxa"/>
            <w:vAlign w:val="center"/>
          </w:tcPr>
          <w:p>
            <w:pPr>
              <w:pStyle w:val="246"/>
              <w:rPr>
                <w:rFonts w:eastAsiaTheme="minorEastAsia"/>
                <w:color w:val="auto"/>
              </w:rPr>
            </w:pPr>
            <w:r>
              <w:rPr>
                <w:rFonts w:eastAsiaTheme="minorEastAsia"/>
                <w:color w:val="auto"/>
              </w:rPr>
              <w:t>无组织排放</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756" w:type="dxa"/>
            <w:vMerge w:val="continue"/>
            <w:vAlign w:val="center"/>
          </w:tcPr>
          <w:p>
            <w:pPr>
              <w:pStyle w:val="246"/>
              <w:rPr>
                <w:rFonts w:eastAsiaTheme="minorEastAsia"/>
                <w:color w:val="auto"/>
              </w:rPr>
            </w:pPr>
          </w:p>
        </w:tc>
        <w:tc>
          <w:tcPr>
            <w:tcW w:w="1799" w:type="dxa"/>
            <w:vAlign w:val="center"/>
          </w:tcPr>
          <w:p>
            <w:pPr>
              <w:pStyle w:val="246"/>
              <w:rPr>
                <w:rFonts w:eastAsiaTheme="minorEastAsia"/>
                <w:color w:val="auto"/>
              </w:rPr>
            </w:pPr>
            <w:r>
              <w:rPr>
                <w:rFonts w:eastAsiaTheme="minorEastAsia"/>
                <w:color w:val="auto"/>
              </w:rPr>
              <w:t>道路运输</w:t>
            </w:r>
          </w:p>
        </w:tc>
        <w:tc>
          <w:tcPr>
            <w:tcW w:w="1834" w:type="dxa"/>
            <w:vAlign w:val="center"/>
          </w:tcPr>
          <w:p>
            <w:pPr>
              <w:pStyle w:val="246"/>
              <w:rPr>
                <w:rFonts w:eastAsiaTheme="minorEastAsia"/>
                <w:color w:val="auto"/>
              </w:rPr>
            </w:pPr>
            <w:r>
              <w:rPr>
                <w:rFonts w:eastAsiaTheme="minorEastAsia"/>
                <w:color w:val="auto"/>
              </w:rPr>
              <w:t>粉尘</w:t>
            </w:r>
          </w:p>
        </w:tc>
        <w:tc>
          <w:tcPr>
            <w:tcW w:w="1658" w:type="dxa"/>
            <w:vAlign w:val="center"/>
          </w:tcPr>
          <w:p>
            <w:pPr>
              <w:pStyle w:val="246"/>
              <w:rPr>
                <w:rFonts w:eastAsiaTheme="minorEastAsia"/>
                <w:color w:val="auto"/>
              </w:rPr>
            </w:pPr>
            <w:r>
              <w:rPr>
                <w:rFonts w:hint="eastAsia" w:eastAsiaTheme="minorEastAsia"/>
                <w:color w:val="auto"/>
                <w:lang w:val="en-US" w:eastAsia="zh-CN"/>
              </w:rPr>
              <w:t>0.32</w:t>
            </w:r>
            <w:r>
              <w:rPr>
                <w:rFonts w:eastAsiaTheme="minorEastAsia"/>
                <w:color w:val="auto"/>
              </w:rPr>
              <w:t>t/a</w:t>
            </w:r>
          </w:p>
        </w:tc>
        <w:tc>
          <w:tcPr>
            <w:tcW w:w="2259" w:type="dxa"/>
            <w:vAlign w:val="center"/>
          </w:tcPr>
          <w:p>
            <w:pPr>
              <w:pStyle w:val="246"/>
              <w:rPr>
                <w:rFonts w:eastAsiaTheme="minorEastAsia"/>
                <w:color w:val="auto"/>
              </w:rPr>
            </w:pPr>
            <w:r>
              <w:rPr>
                <w:rFonts w:eastAsiaTheme="minorEastAsia"/>
                <w:color w:val="auto"/>
              </w:rPr>
              <w:t>无组织排放</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756" w:type="dxa"/>
            <w:vMerge w:val="continue"/>
            <w:vAlign w:val="center"/>
          </w:tcPr>
          <w:p>
            <w:pPr>
              <w:pStyle w:val="246"/>
              <w:rPr>
                <w:rFonts w:eastAsiaTheme="minorEastAsia"/>
                <w:color w:val="auto"/>
              </w:rPr>
            </w:pPr>
          </w:p>
        </w:tc>
        <w:tc>
          <w:tcPr>
            <w:tcW w:w="1799" w:type="dxa"/>
            <w:vAlign w:val="center"/>
          </w:tcPr>
          <w:p>
            <w:pPr>
              <w:pStyle w:val="246"/>
              <w:rPr>
                <w:rFonts w:eastAsiaTheme="minorEastAsia"/>
                <w:color w:val="auto"/>
              </w:rPr>
            </w:pPr>
            <w:r>
              <w:rPr>
                <w:rFonts w:eastAsiaTheme="minorEastAsia"/>
                <w:color w:val="auto"/>
              </w:rPr>
              <w:t>成品料场</w:t>
            </w:r>
          </w:p>
        </w:tc>
        <w:tc>
          <w:tcPr>
            <w:tcW w:w="1834" w:type="dxa"/>
            <w:vAlign w:val="center"/>
          </w:tcPr>
          <w:p>
            <w:pPr>
              <w:pStyle w:val="246"/>
              <w:rPr>
                <w:rFonts w:eastAsiaTheme="minorEastAsia"/>
                <w:color w:val="auto"/>
              </w:rPr>
            </w:pPr>
            <w:r>
              <w:rPr>
                <w:rFonts w:eastAsiaTheme="minorEastAsia"/>
                <w:color w:val="auto"/>
              </w:rPr>
              <w:t>粉尘</w:t>
            </w:r>
          </w:p>
        </w:tc>
        <w:tc>
          <w:tcPr>
            <w:tcW w:w="1658" w:type="dxa"/>
            <w:vAlign w:val="center"/>
          </w:tcPr>
          <w:p>
            <w:pPr>
              <w:pStyle w:val="246"/>
              <w:rPr>
                <w:rFonts w:eastAsiaTheme="minorEastAsia"/>
                <w:color w:val="auto"/>
              </w:rPr>
            </w:pPr>
            <w:r>
              <w:rPr>
                <w:rFonts w:eastAsiaTheme="minorEastAsia"/>
                <w:color w:val="auto"/>
              </w:rPr>
              <w:t>0.</w:t>
            </w:r>
            <w:r>
              <w:rPr>
                <w:rFonts w:hint="eastAsia" w:eastAsiaTheme="minorEastAsia"/>
                <w:color w:val="auto"/>
                <w:lang w:val="en-US" w:eastAsia="zh-CN"/>
              </w:rPr>
              <w:t>02</w:t>
            </w:r>
            <w:r>
              <w:rPr>
                <w:rFonts w:eastAsiaTheme="minorEastAsia"/>
                <w:color w:val="auto"/>
              </w:rPr>
              <w:t>t/a</w:t>
            </w:r>
          </w:p>
        </w:tc>
        <w:tc>
          <w:tcPr>
            <w:tcW w:w="2259" w:type="dxa"/>
            <w:vAlign w:val="center"/>
          </w:tcPr>
          <w:p>
            <w:pPr>
              <w:pStyle w:val="246"/>
              <w:rPr>
                <w:rFonts w:eastAsiaTheme="minorEastAsia"/>
                <w:color w:val="auto"/>
              </w:rPr>
            </w:pPr>
            <w:r>
              <w:rPr>
                <w:rFonts w:eastAsiaTheme="minorEastAsia"/>
                <w:color w:val="auto"/>
              </w:rPr>
              <w:t>无组织排放</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756" w:type="dxa"/>
            <w:vMerge w:val="continue"/>
            <w:vAlign w:val="center"/>
          </w:tcPr>
          <w:p>
            <w:pPr>
              <w:pStyle w:val="246"/>
              <w:rPr>
                <w:rFonts w:eastAsiaTheme="minorEastAsia"/>
                <w:color w:val="auto"/>
              </w:rPr>
            </w:pPr>
          </w:p>
        </w:tc>
        <w:tc>
          <w:tcPr>
            <w:tcW w:w="1799" w:type="dxa"/>
            <w:vAlign w:val="center"/>
          </w:tcPr>
          <w:p>
            <w:pPr>
              <w:pStyle w:val="246"/>
              <w:rPr>
                <w:rFonts w:eastAsiaTheme="minorEastAsia"/>
                <w:color w:val="auto"/>
              </w:rPr>
            </w:pPr>
            <w:r>
              <w:rPr>
                <w:rFonts w:eastAsiaTheme="minorEastAsia"/>
                <w:color w:val="auto"/>
              </w:rPr>
              <w:t>临时堆土场</w:t>
            </w:r>
          </w:p>
        </w:tc>
        <w:tc>
          <w:tcPr>
            <w:tcW w:w="1834" w:type="dxa"/>
            <w:vAlign w:val="center"/>
          </w:tcPr>
          <w:p>
            <w:pPr>
              <w:pStyle w:val="246"/>
              <w:rPr>
                <w:rFonts w:eastAsiaTheme="minorEastAsia"/>
                <w:color w:val="auto"/>
              </w:rPr>
            </w:pPr>
            <w:r>
              <w:rPr>
                <w:rFonts w:eastAsiaTheme="minorEastAsia"/>
                <w:color w:val="auto"/>
              </w:rPr>
              <w:t>粉尘</w:t>
            </w:r>
          </w:p>
        </w:tc>
        <w:tc>
          <w:tcPr>
            <w:tcW w:w="1658" w:type="dxa"/>
            <w:vAlign w:val="center"/>
          </w:tcPr>
          <w:p>
            <w:pPr>
              <w:pStyle w:val="246"/>
              <w:rPr>
                <w:rFonts w:eastAsiaTheme="minorEastAsia"/>
                <w:color w:val="auto"/>
              </w:rPr>
            </w:pPr>
            <w:r>
              <w:rPr>
                <w:rFonts w:eastAsiaTheme="minorEastAsia"/>
                <w:color w:val="auto"/>
              </w:rPr>
              <w:t>0.</w:t>
            </w:r>
            <w:r>
              <w:rPr>
                <w:rFonts w:hint="eastAsia" w:eastAsiaTheme="minorEastAsia"/>
                <w:color w:val="auto"/>
                <w:lang w:val="en-US" w:eastAsia="zh-CN"/>
              </w:rPr>
              <w:t>001</w:t>
            </w:r>
            <w:r>
              <w:rPr>
                <w:rFonts w:eastAsiaTheme="minorEastAsia"/>
                <w:color w:val="auto"/>
              </w:rPr>
              <w:t>t/a</w:t>
            </w:r>
          </w:p>
        </w:tc>
        <w:tc>
          <w:tcPr>
            <w:tcW w:w="2259" w:type="dxa"/>
            <w:vAlign w:val="center"/>
          </w:tcPr>
          <w:p>
            <w:pPr>
              <w:pStyle w:val="246"/>
              <w:rPr>
                <w:rFonts w:eastAsiaTheme="minorEastAsia"/>
                <w:color w:val="auto"/>
              </w:rPr>
            </w:pPr>
            <w:r>
              <w:rPr>
                <w:rFonts w:eastAsiaTheme="minorEastAsia"/>
                <w:color w:val="auto"/>
              </w:rPr>
              <w:t>无组织排放</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756" w:type="dxa"/>
            <w:vMerge w:val="continue"/>
            <w:vAlign w:val="center"/>
          </w:tcPr>
          <w:p>
            <w:pPr>
              <w:pStyle w:val="246"/>
              <w:rPr>
                <w:rFonts w:eastAsiaTheme="minorEastAsia"/>
                <w:color w:val="auto"/>
              </w:rPr>
            </w:pPr>
          </w:p>
        </w:tc>
        <w:tc>
          <w:tcPr>
            <w:tcW w:w="1799" w:type="dxa"/>
            <w:vAlign w:val="center"/>
          </w:tcPr>
          <w:p>
            <w:pPr>
              <w:pStyle w:val="246"/>
              <w:rPr>
                <w:rFonts w:eastAsiaTheme="minorEastAsia"/>
                <w:color w:val="auto"/>
              </w:rPr>
            </w:pPr>
            <w:r>
              <w:rPr>
                <w:rFonts w:eastAsiaTheme="minorEastAsia"/>
                <w:color w:val="auto"/>
              </w:rPr>
              <w:t>石粉仓</w:t>
            </w:r>
          </w:p>
        </w:tc>
        <w:tc>
          <w:tcPr>
            <w:tcW w:w="1834" w:type="dxa"/>
            <w:vAlign w:val="center"/>
          </w:tcPr>
          <w:p>
            <w:pPr>
              <w:pStyle w:val="246"/>
              <w:rPr>
                <w:rFonts w:eastAsiaTheme="minorEastAsia"/>
                <w:color w:val="auto"/>
              </w:rPr>
            </w:pPr>
            <w:r>
              <w:rPr>
                <w:rFonts w:eastAsiaTheme="minorEastAsia"/>
                <w:color w:val="auto"/>
              </w:rPr>
              <w:t>粉尘</w:t>
            </w:r>
          </w:p>
        </w:tc>
        <w:tc>
          <w:tcPr>
            <w:tcW w:w="1658" w:type="dxa"/>
            <w:vAlign w:val="center"/>
          </w:tcPr>
          <w:p>
            <w:pPr>
              <w:pStyle w:val="246"/>
              <w:rPr>
                <w:rFonts w:eastAsiaTheme="minorEastAsia"/>
                <w:color w:val="auto"/>
              </w:rPr>
            </w:pPr>
            <w:r>
              <w:rPr>
                <w:rFonts w:eastAsiaTheme="minorEastAsia"/>
                <w:color w:val="auto"/>
              </w:rPr>
              <w:t>0.0</w:t>
            </w:r>
            <w:r>
              <w:rPr>
                <w:rFonts w:hint="eastAsia" w:eastAsiaTheme="minorEastAsia"/>
                <w:color w:val="auto"/>
                <w:lang w:val="en-US" w:eastAsia="zh-CN"/>
              </w:rPr>
              <w:t>04</w:t>
            </w:r>
            <w:r>
              <w:rPr>
                <w:rFonts w:eastAsiaTheme="minorEastAsia"/>
                <w:color w:val="auto"/>
              </w:rPr>
              <w:t>t/a</w:t>
            </w:r>
          </w:p>
        </w:tc>
        <w:tc>
          <w:tcPr>
            <w:tcW w:w="2259" w:type="dxa"/>
            <w:vAlign w:val="center"/>
          </w:tcPr>
          <w:p>
            <w:pPr>
              <w:pStyle w:val="246"/>
              <w:rPr>
                <w:rFonts w:eastAsiaTheme="minorEastAsia"/>
                <w:color w:val="auto"/>
              </w:rPr>
            </w:pPr>
            <w:r>
              <w:rPr>
                <w:rFonts w:eastAsiaTheme="minorEastAsia"/>
                <w:color w:val="auto"/>
              </w:rPr>
              <w:t>无组织排放</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756" w:type="dxa"/>
            <w:vMerge w:val="continue"/>
            <w:vAlign w:val="center"/>
          </w:tcPr>
          <w:p>
            <w:pPr>
              <w:pStyle w:val="246"/>
              <w:rPr>
                <w:rFonts w:eastAsiaTheme="minorEastAsia"/>
                <w:color w:val="auto"/>
              </w:rPr>
            </w:pPr>
          </w:p>
        </w:tc>
        <w:tc>
          <w:tcPr>
            <w:tcW w:w="1799" w:type="dxa"/>
            <w:vAlign w:val="center"/>
          </w:tcPr>
          <w:p>
            <w:pPr>
              <w:pStyle w:val="246"/>
              <w:rPr>
                <w:rFonts w:eastAsiaTheme="minorEastAsia"/>
                <w:color w:val="auto"/>
              </w:rPr>
            </w:pPr>
            <w:r>
              <w:rPr>
                <w:rFonts w:eastAsiaTheme="minorEastAsia"/>
                <w:color w:val="auto"/>
              </w:rPr>
              <w:t>原矿堆场</w:t>
            </w:r>
          </w:p>
        </w:tc>
        <w:tc>
          <w:tcPr>
            <w:tcW w:w="1834" w:type="dxa"/>
            <w:vAlign w:val="center"/>
          </w:tcPr>
          <w:p>
            <w:pPr>
              <w:pStyle w:val="246"/>
              <w:rPr>
                <w:rFonts w:eastAsiaTheme="minorEastAsia"/>
                <w:color w:val="auto"/>
              </w:rPr>
            </w:pPr>
            <w:r>
              <w:rPr>
                <w:rFonts w:eastAsiaTheme="minorEastAsia"/>
                <w:color w:val="auto"/>
              </w:rPr>
              <w:t>粉尘</w:t>
            </w:r>
          </w:p>
        </w:tc>
        <w:tc>
          <w:tcPr>
            <w:tcW w:w="1658" w:type="dxa"/>
            <w:vAlign w:val="center"/>
          </w:tcPr>
          <w:p>
            <w:pPr>
              <w:pStyle w:val="246"/>
              <w:rPr>
                <w:rFonts w:eastAsiaTheme="minorEastAsia"/>
                <w:color w:val="auto"/>
              </w:rPr>
            </w:pPr>
            <w:r>
              <w:rPr>
                <w:rFonts w:eastAsiaTheme="minorEastAsia"/>
                <w:color w:val="auto"/>
              </w:rPr>
              <w:t>0.0</w:t>
            </w:r>
            <w:r>
              <w:rPr>
                <w:rFonts w:hint="eastAsia" w:eastAsiaTheme="minorEastAsia"/>
                <w:color w:val="auto"/>
                <w:lang w:val="en-US" w:eastAsia="zh-CN"/>
              </w:rPr>
              <w:t>1</w:t>
            </w:r>
            <w:r>
              <w:rPr>
                <w:rFonts w:eastAsiaTheme="minorEastAsia"/>
                <w:color w:val="auto"/>
              </w:rPr>
              <w:t>t/a</w:t>
            </w:r>
          </w:p>
        </w:tc>
        <w:tc>
          <w:tcPr>
            <w:tcW w:w="2259" w:type="dxa"/>
            <w:vAlign w:val="center"/>
          </w:tcPr>
          <w:p>
            <w:pPr>
              <w:pStyle w:val="246"/>
              <w:rPr>
                <w:rFonts w:eastAsiaTheme="minorEastAsia"/>
                <w:color w:val="auto"/>
              </w:rPr>
            </w:pPr>
            <w:r>
              <w:rPr>
                <w:rFonts w:eastAsiaTheme="minorEastAsia"/>
                <w:color w:val="auto"/>
              </w:rPr>
              <w:t>无组织排放</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756" w:type="dxa"/>
            <w:vMerge w:val="continue"/>
            <w:vAlign w:val="center"/>
          </w:tcPr>
          <w:p>
            <w:pPr>
              <w:pStyle w:val="246"/>
              <w:rPr>
                <w:rFonts w:eastAsiaTheme="minorEastAsia"/>
                <w:color w:val="auto"/>
              </w:rPr>
            </w:pPr>
          </w:p>
        </w:tc>
        <w:tc>
          <w:tcPr>
            <w:tcW w:w="1799" w:type="dxa"/>
            <w:vAlign w:val="center"/>
          </w:tcPr>
          <w:p>
            <w:pPr>
              <w:pStyle w:val="246"/>
              <w:rPr>
                <w:rFonts w:hint="eastAsia" w:eastAsiaTheme="minorEastAsia"/>
                <w:color w:val="auto"/>
                <w:lang w:eastAsia="zh-CN"/>
              </w:rPr>
            </w:pPr>
            <w:r>
              <w:rPr>
                <w:rFonts w:hint="eastAsia" w:eastAsiaTheme="minorEastAsia"/>
                <w:color w:val="auto"/>
                <w:lang w:eastAsia="zh-CN"/>
              </w:rPr>
              <w:t>粗碎</w:t>
            </w:r>
          </w:p>
        </w:tc>
        <w:tc>
          <w:tcPr>
            <w:tcW w:w="1834" w:type="dxa"/>
            <w:vAlign w:val="center"/>
          </w:tcPr>
          <w:p>
            <w:pPr>
              <w:pStyle w:val="246"/>
              <w:rPr>
                <w:rFonts w:eastAsiaTheme="minorEastAsia"/>
                <w:color w:val="auto"/>
              </w:rPr>
            </w:pPr>
            <w:r>
              <w:rPr>
                <w:rFonts w:eastAsiaTheme="minorEastAsia"/>
                <w:color w:val="auto"/>
              </w:rPr>
              <w:t>粉尘</w:t>
            </w:r>
          </w:p>
        </w:tc>
        <w:tc>
          <w:tcPr>
            <w:tcW w:w="1658" w:type="dxa"/>
            <w:vAlign w:val="center"/>
          </w:tcPr>
          <w:p>
            <w:pPr>
              <w:pStyle w:val="246"/>
              <w:rPr>
                <w:rFonts w:eastAsiaTheme="minorEastAsia"/>
                <w:color w:val="auto"/>
              </w:rPr>
            </w:pPr>
            <w:r>
              <w:rPr>
                <w:rFonts w:hint="eastAsia" w:eastAsiaTheme="minorEastAsia"/>
                <w:color w:val="auto"/>
                <w:lang w:val="en-US" w:eastAsia="zh-CN"/>
              </w:rPr>
              <w:t>0.0465</w:t>
            </w:r>
            <w:r>
              <w:rPr>
                <w:rFonts w:eastAsiaTheme="minorEastAsia"/>
                <w:color w:val="auto"/>
              </w:rPr>
              <w:t>t/a</w:t>
            </w:r>
          </w:p>
        </w:tc>
        <w:tc>
          <w:tcPr>
            <w:tcW w:w="2259" w:type="dxa"/>
            <w:vAlign w:val="center"/>
          </w:tcPr>
          <w:p>
            <w:pPr>
              <w:pStyle w:val="246"/>
              <w:rPr>
                <w:rFonts w:eastAsiaTheme="minorEastAsia"/>
                <w:color w:val="auto"/>
                <w:lang w:val="en-US" w:eastAsia="zh-CN"/>
              </w:rPr>
            </w:pPr>
            <w:r>
              <w:rPr>
                <w:rFonts w:eastAsiaTheme="minorEastAsia"/>
                <w:color w:val="auto"/>
                <w:lang w:val="en-US" w:eastAsia="zh-CN"/>
              </w:rPr>
              <w:t>有组织排放</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756" w:type="dxa"/>
            <w:vMerge w:val="continue"/>
            <w:vAlign w:val="center"/>
          </w:tcPr>
          <w:p>
            <w:pPr>
              <w:pStyle w:val="246"/>
              <w:rPr>
                <w:rFonts w:eastAsiaTheme="minorEastAsia"/>
                <w:color w:val="auto"/>
              </w:rPr>
            </w:pPr>
          </w:p>
        </w:tc>
        <w:tc>
          <w:tcPr>
            <w:tcW w:w="1799" w:type="dxa"/>
            <w:vAlign w:val="center"/>
          </w:tcPr>
          <w:p>
            <w:pPr>
              <w:pStyle w:val="246"/>
              <w:rPr>
                <w:rFonts w:hint="eastAsia" w:eastAsiaTheme="minorEastAsia"/>
                <w:color w:val="auto"/>
                <w:lang w:eastAsia="zh-CN"/>
              </w:rPr>
            </w:pPr>
            <w:r>
              <w:rPr>
                <w:rFonts w:hint="eastAsia" w:eastAsiaTheme="minorEastAsia"/>
                <w:color w:val="auto"/>
                <w:lang w:eastAsia="zh-CN"/>
              </w:rPr>
              <w:t>细碎</w:t>
            </w:r>
          </w:p>
        </w:tc>
        <w:tc>
          <w:tcPr>
            <w:tcW w:w="1834" w:type="dxa"/>
            <w:vAlign w:val="center"/>
          </w:tcPr>
          <w:p>
            <w:pPr>
              <w:pStyle w:val="246"/>
              <w:rPr>
                <w:rFonts w:eastAsiaTheme="minorEastAsia"/>
                <w:color w:val="auto"/>
              </w:rPr>
            </w:pPr>
            <w:r>
              <w:rPr>
                <w:rFonts w:eastAsiaTheme="minorEastAsia"/>
                <w:color w:val="auto"/>
              </w:rPr>
              <w:t>粉尘</w:t>
            </w:r>
          </w:p>
        </w:tc>
        <w:tc>
          <w:tcPr>
            <w:tcW w:w="1658" w:type="dxa"/>
            <w:vAlign w:val="center"/>
          </w:tcPr>
          <w:p>
            <w:pPr>
              <w:pStyle w:val="246"/>
              <w:rPr>
                <w:rFonts w:eastAsiaTheme="minorEastAsia"/>
                <w:color w:val="auto"/>
              </w:rPr>
            </w:pPr>
            <w:r>
              <w:rPr>
                <w:rFonts w:hint="eastAsia" w:eastAsiaTheme="minorEastAsia"/>
                <w:color w:val="auto"/>
                <w:lang w:val="en-US" w:eastAsia="zh-CN"/>
              </w:rPr>
              <w:t>0.0478</w:t>
            </w:r>
            <w:r>
              <w:rPr>
                <w:rFonts w:eastAsiaTheme="minorEastAsia"/>
                <w:color w:val="auto"/>
              </w:rPr>
              <w:t>t/a</w:t>
            </w:r>
          </w:p>
        </w:tc>
        <w:tc>
          <w:tcPr>
            <w:tcW w:w="2259" w:type="dxa"/>
            <w:vAlign w:val="center"/>
          </w:tcPr>
          <w:p>
            <w:pPr>
              <w:pStyle w:val="246"/>
              <w:rPr>
                <w:rFonts w:eastAsiaTheme="minorEastAsia"/>
                <w:color w:val="auto"/>
                <w:lang w:val="en-US" w:eastAsia="zh-CN"/>
              </w:rPr>
            </w:pPr>
            <w:r>
              <w:rPr>
                <w:rFonts w:eastAsiaTheme="minorEastAsia"/>
                <w:color w:val="auto"/>
                <w:lang w:val="en-US" w:eastAsia="zh-CN"/>
              </w:rPr>
              <w:t>有组织排放</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756" w:type="dxa"/>
            <w:vMerge w:val="continue"/>
            <w:vAlign w:val="center"/>
          </w:tcPr>
          <w:p>
            <w:pPr>
              <w:pStyle w:val="246"/>
              <w:rPr>
                <w:rFonts w:eastAsiaTheme="minorEastAsia"/>
                <w:color w:val="auto"/>
              </w:rPr>
            </w:pPr>
          </w:p>
        </w:tc>
        <w:tc>
          <w:tcPr>
            <w:tcW w:w="1799" w:type="dxa"/>
            <w:vAlign w:val="center"/>
          </w:tcPr>
          <w:p>
            <w:pPr>
              <w:pStyle w:val="246"/>
              <w:rPr>
                <w:rFonts w:hint="eastAsia" w:eastAsiaTheme="minorEastAsia"/>
                <w:color w:val="auto"/>
                <w:lang w:eastAsia="zh-CN"/>
              </w:rPr>
            </w:pPr>
            <w:r>
              <w:rPr>
                <w:rFonts w:hint="eastAsia" w:eastAsiaTheme="minorEastAsia"/>
                <w:color w:val="auto"/>
                <w:lang w:eastAsia="zh-CN"/>
              </w:rPr>
              <w:t>筛分</w:t>
            </w:r>
          </w:p>
        </w:tc>
        <w:tc>
          <w:tcPr>
            <w:tcW w:w="1834" w:type="dxa"/>
            <w:vAlign w:val="center"/>
          </w:tcPr>
          <w:p>
            <w:pPr>
              <w:pStyle w:val="246"/>
              <w:rPr>
                <w:rFonts w:eastAsiaTheme="minorEastAsia"/>
                <w:color w:val="auto"/>
              </w:rPr>
            </w:pPr>
            <w:r>
              <w:rPr>
                <w:rFonts w:eastAsiaTheme="minorEastAsia"/>
                <w:color w:val="auto"/>
              </w:rPr>
              <w:t>粉尘</w:t>
            </w:r>
          </w:p>
        </w:tc>
        <w:tc>
          <w:tcPr>
            <w:tcW w:w="1658" w:type="dxa"/>
            <w:vAlign w:val="center"/>
          </w:tcPr>
          <w:p>
            <w:pPr>
              <w:pStyle w:val="246"/>
              <w:rPr>
                <w:rFonts w:hint="eastAsia" w:eastAsiaTheme="minorEastAsia"/>
                <w:color w:val="auto"/>
                <w:lang w:val="en-US" w:eastAsia="zh-CN"/>
              </w:rPr>
            </w:pPr>
            <w:r>
              <w:rPr>
                <w:rFonts w:hint="eastAsia" w:eastAsiaTheme="minorEastAsia"/>
                <w:color w:val="auto"/>
                <w:lang w:val="en-US" w:eastAsia="zh-CN"/>
              </w:rPr>
              <w:t>0.0488</w:t>
            </w:r>
            <w:r>
              <w:rPr>
                <w:rFonts w:eastAsiaTheme="minorEastAsia"/>
                <w:color w:val="auto"/>
              </w:rPr>
              <w:t>t/a</w:t>
            </w:r>
          </w:p>
        </w:tc>
        <w:tc>
          <w:tcPr>
            <w:tcW w:w="2259" w:type="dxa"/>
            <w:vAlign w:val="center"/>
          </w:tcPr>
          <w:p>
            <w:pPr>
              <w:pStyle w:val="246"/>
              <w:rPr>
                <w:rFonts w:eastAsiaTheme="minorEastAsia"/>
                <w:color w:val="auto"/>
                <w:lang w:val="en-US" w:eastAsia="zh-CN"/>
              </w:rPr>
            </w:pPr>
            <w:r>
              <w:rPr>
                <w:rFonts w:eastAsiaTheme="minorEastAsia"/>
                <w:color w:val="auto"/>
                <w:lang w:val="en-US" w:eastAsia="zh-CN"/>
              </w:rPr>
              <w:t>有组织排放</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756" w:type="dxa"/>
            <w:vAlign w:val="center"/>
          </w:tcPr>
          <w:p>
            <w:pPr>
              <w:pStyle w:val="246"/>
              <w:rPr>
                <w:rFonts w:eastAsiaTheme="minorEastAsia"/>
                <w:color w:val="auto"/>
              </w:rPr>
            </w:pPr>
            <w:r>
              <w:rPr>
                <w:rFonts w:eastAsiaTheme="minorEastAsia"/>
                <w:color w:val="auto"/>
              </w:rPr>
              <w:t>噪声</w:t>
            </w:r>
          </w:p>
        </w:tc>
        <w:tc>
          <w:tcPr>
            <w:tcW w:w="1799" w:type="dxa"/>
            <w:vAlign w:val="center"/>
          </w:tcPr>
          <w:p>
            <w:pPr>
              <w:pStyle w:val="246"/>
              <w:rPr>
                <w:rFonts w:eastAsiaTheme="minorEastAsia"/>
                <w:color w:val="auto"/>
              </w:rPr>
            </w:pPr>
            <w:r>
              <w:rPr>
                <w:rFonts w:eastAsiaTheme="minorEastAsia"/>
                <w:color w:val="auto"/>
              </w:rPr>
              <w:t>设备、车辆、爆破</w:t>
            </w:r>
          </w:p>
        </w:tc>
        <w:tc>
          <w:tcPr>
            <w:tcW w:w="1834" w:type="dxa"/>
            <w:vAlign w:val="center"/>
          </w:tcPr>
          <w:p>
            <w:pPr>
              <w:pStyle w:val="246"/>
              <w:rPr>
                <w:rFonts w:eastAsiaTheme="minorEastAsia"/>
                <w:color w:val="auto"/>
              </w:rPr>
            </w:pPr>
            <w:r>
              <w:rPr>
                <w:rFonts w:eastAsiaTheme="minorEastAsia"/>
                <w:color w:val="auto"/>
              </w:rPr>
              <w:t>噪声</w:t>
            </w:r>
          </w:p>
        </w:tc>
        <w:tc>
          <w:tcPr>
            <w:tcW w:w="1658" w:type="dxa"/>
            <w:vAlign w:val="center"/>
          </w:tcPr>
          <w:p>
            <w:pPr>
              <w:pStyle w:val="246"/>
              <w:rPr>
                <w:rFonts w:eastAsiaTheme="minorEastAsia"/>
                <w:color w:val="auto"/>
              </w:rPr>
            </w:pPr>
            <w:r>
              <w:rPr>
                <w:rFonts w:hint="eastAsia" w:eastAsiaTheme="minorEastAsia"/>
                <w:color w:val="auto"/>
                <w:lang w:val="en-US" w:eastAsia="zh-CN"/>
              </w:rPr>
              <w:t>75~115</w:t>
            </w:r>
            <w:r>
              <w:rPr>
                <w:rFonts w:eastAsiaTheme="minorEastAsia"/>
                <w:color w:val="auto"/>
              </w:rPr>
              <w:t>dB（A）</w:t>
            </w:r>
          </w:p>
        </w:tc>
        <w:tc>
          <w:tcPr>
            <w:tcW w:w="2259" w:type="dxa"/>
            <w:vAlign w:val="center"/>
          </w:tcPr>
          <w:p>
            <w:pPr>
              <w:pStyle w:val="246"/>
              <w:rPr>
                <w:rFonts w:eastAsiaTheme="minorEastAsia"/>
                <w:color w:val="auto"/>
              </w:rPr>
            </w:pPr>
            <w:r>
              <w:rPr>
                <w:rFonts w:eastAsiaTheme="minorEastAsia"/>
                <w:color w:val="auto"/>
              </w:rPr>
              <w:t>——</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756" w:type="dxa"/>
            <w:vMerge w:val="restart"/>
            <w:vAlign w:val="center"/>
          </w:tcPr>
          <w:p>
            <w:pPr>
              <w:pStyle w:val="246"/>
              <w:rPr>
                <w:rFonts w:eastAsiaTheme="minorEastAsia"/>
                <w:color w:val="auto"/>
              </w:rPr>
            </w:pPr>
            <w:r>
              <w:rPr>
                <w:rFonts w:eastAsiaTheme="minorEastAsia"/>
                <w:color w:val="auto"/>
              </w:rPr>
              <w:t>废水</w:t>
            </w:r>
          </w:p>
        </w:tc>
        <w:tc>
          <w:tcPr>
            <w:tcW w:w="1799" w:type="dxa"/>
            <w:vAlign w:val="center"/>
          </w:tcPr>
          <w:p>
            <w:pPr>
              <w:pStyle w:val="246"/>
              <w:rPr>
                <w:rFonts w:eastAsiaTheme="minorEastAsia"/>
                <w:color w:val="auto"/>
              </w:rPr>
            </w:pPr>
            <w:r>
              <w:rPr>
                <w:rFonts w:eastAsiaTheme="minorEastAsia"/>
                <w:color w:val="auto"/>
              </w:rPr>
              <w:t>职工生活</w:t>
            </w:r>
          </w:p>
        </w:tc>
        <w:tc>
          <w:tcPr>
            <w:tcW w:w="1834" w:type="dxa"/>
            <w:vAlign w:val="center"/>
          </w:tcPr>
          <w:p>
            <w:pPr>
              <w:pStyle w:val="246"/>
              <w:rPr>
                <w:rFonts w:eastAsiaTheme="minorEastAsia"/>
                <w:color w:val="auto"/>
              </w:rPr>
            </w:pPr>
            <w:r>
              <w:rPr>
                <w:rFonts w:eastAsiaTheme="minorEastAsia"/>
                <w:color w:val="auto"/>
              </w:rPr>
              <w:t>生活污水</w:t>
            </w:r>
          </w:p>
        </w:tc>
        <w:tc>
          <w:tcPr>
            <w:tcW w:w="1658" w:type="dxa"/>
            <w:vAlign w:val="center"/>
          </w:tcPr>
          <w:p>
            <w:pPr>
              <w:pStyle w:val="246"/>
              <w:rPr>
                <w:rFonts w:eastAsiaTheme="minorEastAsia"/>
                <w:color w:val="auto"/>
              </w:rPr>
            </w:pPr>
            <w:r>
              <w:rPr>
                <w:rFonts w:eastAsiaTheme="minorEastAsia"/>
                <w:color w:val="auto"/>
                <w:szCs w:val="24"/>
              </w:rPr>
              <w:t>48t/a</w:t>
            </w:r>
          </w:p>
        </w:tc>
        <w:tc>
          <w:tcPr>
            <w:tcW w:w="2259" w:type="dxa"/>
            <w:vAlign w:val="center"/>
          </w:tcPr>
          <w:p>
            <w:pPr>
              <w:pStyle w:val="246"/>
              <w:rPr>
                <w:rFonts w:eastAsiaTheme="minorEastAsia"/>
                <w:color w:val="auto"/>
                <w:szCs w:val="24"/>
              </w:rPr>
            </w:pPr>
            <w:r>
              <w:rPr>
                <w:rFonts w:eastAsiaTheme="minorEastAsia"/>
                <w:color w:val="auto"/>
                <w:szCs w:val="24"/>
              </w:rPr>
              <w:t>防渗旱厕统一收集，定期清掏外运堆肥</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756" w:type="dxa"/>
            <w:vMerge w:val="continue"/>
            <w:vAlign w:val="center"/>
          </w:tcPr>
          <w:p>
            <w:pPr>
              <w:pStyle w:val="246"/>
              <w:rPr>
                <w:rFonts w:eastAsiaTheme="minorEastAsia"/>
                <w:color w:val="auto"/>
              </w:rPr>
            </w:pPr>
          </w:p>
        </w:tc>
        <w:tc>
          <w:tcPr>
            <w:tcW w:w="1799" w:type="dxa"/>
            <w:vAlign w:val="center"/>
          </w:tcPr>
          <w:p>
            <w:pPr>
              <w:pStyle w:val="246"/>
              <w:rPr>
                <w:rFonts w:eastAsiaTheme="minorEastAsia"/>
                <w:color w:val="auto"/>
              </w:rPr>
            </w:pPr>
            <w:r>
              <w:rPr>
                <w:rFonts w:eastAsiaTheme="minorEastAsia"/>
                <w:color w:val="auto"/>
              </w:rPr>
              <w:t>生产抑尘</w:t>
            </w:r>
          </w:p>
        </w:tc>
        <w:tc>
          <w:tcPr>
            <w:tcW w:w="1834" w:type="dxa"/>
            <w:vAlign w:val="center"/>
          </w:tcPr>
          <w:p>
            <w:pPr>
              <w:pStyle w:val="246"/>
              <w:rPr>
                <w:rFonts w:eastAsiaTheme="minorEastAsia"/>
                <w:color w:val="auto"/>
              </w:rPr>
            </w:pPr>
            <w:r>
              <w:rPr>
                <w:rFonts w:eastAsiaTheme="minorEastAsia"/>
                <w:color w:val="auto"/>
              </w:rPr>
              <w:t>生产废水</w:t>
            </w:r>
          </w:p>
        </w:tc>
        <w:tc>
          <w:tcPr>
            <w:tcW w:w="1658" w:type="dxa"/>
            <w:vAlign w:val="center"/>
          </w:tcPr>
          <w:p>
            <w:pPr>
              <w:pStyle w:val="246"/>
              <w:rPr>
                <w:rFonts w:eastAsiaTheme="minorEastAsia"/>
                <w:color w:val="auto"/>
              </w:rPr>
            </w:pPr>
            <w:r>
              <w:rPr>
                <w:rFonts w:eastAsiaTheme="minorEastAsia"/>
                <w:color w:val="auto"/>
                <w:szCs w:val="24"/>
              </w:rPr>
              <w:t>0t/a</w:t>
            </w:r>
          </w:p>
        </w:tc>
        <w:tc>
          <w:tcPr>
            <w:tcW w:w="2259" w:type="dxa"/>
            <w:vAlign w:val="center"/>
          </w:tcPr>
          <w:p>
            <w:pPr>
              <w:pStyle w:val="246"/>
              <w:rPr>
                <w:rFonts w:eastAsiaTheme="minorEastAsia"/>
                <w:color w:val="auto"/>
                <w:szCs w:val="24"/>
              </w:rPr>
            </w:pPr>
            <w:r>
              <w:rPr>
                <w:rFonts w:eastAsiaTheme="minorEastAsia"/>
                <w:color w:val="auto"/>
                <w:szCs w:val="24"/>
              </w:rPr>
              <w:t>蒸发</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756" w:type="dxa"/>
            <w:vMerge w:val="restart"/>
            <w:vAlign w:val="center"/>
          </w:tcPr>
          <w:p>
            <w:pPr>
              <w:pStyle w:val="246"/>
              <w:rPr>
                <w:rFonts w:eastAsiaTheme="minorEastAsia"/>
                <w:color w:val="auto"/>
              </w:rPr>
            </w:pPr>
            <w:r>
              <w:rPr>
                <w:rFonts w:eastAsiaTheme="minorEastAsia"/>
                <w:color w:val="auto"/>
              </w:rPr>
              <w:t>固废</w:t>
            </w:r>
          </w:p>
        </w:tc>
        <w:tc>
          <w:tcPr>
            <w:tcW w:w="1799" w:type="dxa"/>
            <w:vAlign w:val="center"/>
          </w:tcPr>
          <w:p>
            <w:pPr>
              <w:pStyle w:val="246"/>
              <w:rPr>
                <w:rFonts w:eastAsiaTheme="minorEastAsia"/>
                <w:color w:val="auto"/>
              </w:rPr>
            </w:pPr>
            <w:r>
              <w:rPr>
                <w:rFonts w:eastAsiaTheme="minorEastAsia"/>
                <w:color w:val="auto"/>
              </w:rPr>
              <w:t>职工生活</w:t>
            </w:r>
          </w:p>
        </w:tc>
        <w:tc>
          <w:tcPr>
            <w:tcW w:w="1834" w:type="dxa"/>
            <w:vAlign w:val="center"/>
          </w:tcPr>
          <w:p>
            <w:pPr>
              <w:pStyle w:val="246"/>
              <w:rPr>
                <w:rFonts w:eastAsiaTheme="minorEastAsia"/>
                <w:color w:val="auto"/>
              </w:rPr>
            </w:pPr>
            <w:r>
              <w:rPr>
                <w:rFonts w:eastAsiaTheme="minorEastAsia"/>
                <w:color w:val="auto"/>
              </w:rPr>
              <w:t>生活垃圾</w:t>
            </w:r>
          </w:p>
        </w:tc>
        <w:tc>
          <w:tcPr>
            <w:tcW w:w="1658" w:type="dxa"/>
            <w:vAlign w:val="center"/>
          </w:tcPr>
          <w:p>
            <w:pPr>
              <w:pStyle w:val="246"/>
              <w:rPr>
                <w:rFonts w:eastAsiaTheme="minorEastAsia"/>
                <w:color w:val="auto"/>
              </w:rPr>
            </w:pPr>
            <w:r>
              <w:rPr>
                <w:rFonts w:eastAsiaTheme="minorEastAsia"/>
                <w:color w:val="auto"/>
                <w:szCs w:val="24"/>
              </w:rPr>
              <w:t>1.2t/a</w:t>
            </w:r>
          </w:p>
        </w:tc>
        <w:tc>
          <w:tcPr>
            <w:tcW w:w="2259" w:type="dxa"/>
            <w:vAlign w:val="center"/>
          </w:tcPr>
          <w:p>
            <w:pPr>
              <w:pStyle w:val="246"/>
              <w:rPr>
                <w:rFonts w:eastAsiaTheme="minorEastAsia"/>
                <w:color w:val="auto"/>
              </w:rPr>
            </w:pPr>
            <w:r>
              <w:rPr>
                <w:rFonts w:eastAsiaTheme="minorEastAsia"/>
                <w:color w:val="auto"/>
              </w:rPr>
              <w:t>市政统一处置</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756" w:type="dxa"/>
            <w:vMerge w:val="continue"/>
            <w:vAlign w:val="center"/>
          </w:tcPr>
          <w:p>
            <w:pPr>
              <w:pStyle w:val="246"/>
              <w:rPr>
                <w:rFonts w:eastAsiaTheme="minorEastAsia"/>
                <w:color w:val="auto"/>
              </w:rPr>
            </w:pPr>
          </w:p>
        </w:tc>
        <w:tc>
          <w:tcPr>
            <w:tcW w:w="1799" w:type="dxa"/>
            <w:vAlign w:val="center"/>
          </w:tcPr>
          <w:p>
            <w:pPr>
              <w:pStyle w:val="246"/>
              <w:rPr>
                <w:rFonts w:eastAsiaTheme="minorEastAsia"/>
                <w:color w:val="auto"/>
              </w:rPr>
            </w:pPr>
            <w:r>
              <w:rPr>
                <w:rFonts w:eastAsiaTheme="minorEastAsia"/>
                <w:color w:val="auto"/>
              </w:rPr>
              <w:t>炸药包装物</w:t>
            </w:r>
          </w:p>
        </w:tc>
        <w:tc>
          <w:tcPr>
            <w:tcW w:w="1834" w:type="dxa"/>
            <w:vAlign w:val="center"/>
          </w:tcPr>
          <w:p>
            <w:pPr>
              <w:pStyle w:val="246"/>
              <w:rPr>
                <w:rFonts w:eastAsiaTheme="minorEastAsia"/>
                <w:color w:val="auto"/>
              </w:rPr>
            </w:pPr>
            <w:r>
              <w:rPr>
                <w:rFonts w:eastAsiaTheme="minorEastAsia"/>
                <w:color w:val="auto"/>
              </w:rPr>
              <w:t>纸壳、塑料</w:t>
            </w:r>
          </w:p>
        </w:tc>
        <w:tc>
          <w:tcPr>
            <w:tcW w:w="1658" w:type="dxa"/>
            <w:vAlign w:val="center"/>
          </w:tcPr>
          <w:p>
            <w:pPr>
              <w:pStyle w:val="246"/>
              <w:rPr>
                <w:rFonts w:eastAsiaTheme="minorEastAsia"/>
                <w:color w:val="auto"/>
              </w:rPr>
            </w:pPr>
            <w:r>
              <w:rPr>
                <w:rFonts w:eastAsiaTheme="minorEastAsia"/>
                <w:color w:val="auto"/>
              </w:rPr>
              <w:t>0.4t/a</w:t>
            </w:r>
          </w:p>
        </w:tc>
        <w:tc>
          <w:tcPr>
            <w:tcW w:w="2259" w:type="dxa"/>
            <w:vAlign w:val="center"/>
          </w:tcPr>
          <w:p>
            <w:pPr>
              <w:pStyle w:val="246"/>
              <w:rPr>
                <w:rFonts w:eastAsiaTheme="minorEastAsia"/>
                <w:color w:val="auto"/>
              </w:rPr>
            </w:pPr>
            <w:r>
              <w:rPr>
                <w:rFonts w:eastAsiaTheme="minorEastAsia"/>
                <w:color w:val="auto"/>
              </w:rPr>
              <w:t>爆破部门统一回收再利用</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756" w:type="dxa"/>
            <w:vMerge w:val="continue"/>
            <w:vAlign w:val="center"/>
          </w:tcPr>
          <w:p>
            <w:pPr>
              <w:pStyle w:val="246"/>
              <w:rPr>
                <w:rFonts w:eastAsiaTheme="minorEastAsia"/>
                <w:color w:val="auto"/>
              </w:rPr>
            </w:pPr>
          </w:p>
        </w:tc>
        <w:tc>
          <w:tcPr>
            <w:tcW w:w="1799" w:type="dxa"/>
            <w:vAlign w:val="center"/>
          </w:tcPr>
          <w:p>
            <w:pPr>
              <w:pStyle w:val="246"/>
              <w:rPr>
                <w:rFonts w:eastAsiaTheme="minorEastAsia"/>
                <w:color w:val="auto"/>
              </w:rPr>
            </w:pPr>
            <w:r>
              <w:rPr>
                <w:rFonts w:eastAsiaTheme="minorEastAsia"/>
                <w:color w:val="auto"/>
              </w:rPr>
              <w:t>剥离的土岩</w:t>
            </w:r>
          </w:p>
        </w:tc>
        <w:tc>
          <w:tcPr>
            <w:tcW w:w="1834" w:type="dxa"/>
            <w:vAlign w:val="center"/>
          </w:tcPr>
          <w:p>
            <w:pPr>
              <w:pStyle w:val="246"/>
              <w:rPr>
                <w:rFonts w:eastAsiaTheme="minorEastAsia"/>
                <w:color w:val="auto"/>
              </w:rPr>
            </w:pPr>
            <w:r>
              <w:rPr>
                <w:rFonts w:eastAsiaTheme="minorEastAsia"/>
                <w:color w:val="auto"/>
              </w:rPr>
              <w:t>土岩</w:t>
            </w:r>
          </w:p>
        </w:tc>
        <w:tc>
          <w:tcPr>
            <w:tcW w:w="1658" w:type="dxa"/>
            <w:vAlign w:val="center"/>
          </w:tcPr>
          <w:p>
            <w:pPr>
              <w:pStyle w:val="246"/>
              <w:rPr>
                <w:rFonts w:eastAsiaTheme="minorEastAsia"/>
                <w:color w:val="auto"/>
              </w:rPr>
            </w:pPr>
            <w:r>
              <w:rPr>
                <w:rFonts w:hint="eastAsia" w:eastAsiaTheme="minorEastAsia"/>
                <w:color w:val="auto"/>
                <w:lang w:val="en-US" w:eastAsia="zh-CN"/>
              </w:rPr>
              <w:t>929</w:t>
            </w:r>
            <w:r>
              <w:rPr>
                <w:rFonts w:eastAsiaTheme="minorEastAsia"/>
                <w:color w:val="auto"/>
              </w:rPr>
              <w:t>m</w:t>
            </w:r>
            <w:r>
              <w:rPr>
                <w:rFonts w:eastAsiaTheme="minorEastAsia"/>
                <w:color w:val="auto"/>
                <w:vertAlign w:val="superscript"/>
              </w:rPr>
              <w:t>3</w:t>
            </w:r>
            <w:r>
              <w:rPr>
                <w:rFonts w:eastAsiaTheme="minorEastAsia"/>
                <w:color w:val="auto"/>
              </w:rPr>
              <w:t>/a</w:t>
            </w:r>
          </w:p>
        </w:tc>
        <w:tc>
          <w:tcPr>
            <w:tcW w:w="2259" w:type="dxa"/>
            <w:vAlign w:val="center"/>
          </w:tcPr>
          <w:p>
            <w:pPr>
              <w:pStyle w:val="246"/>
              <w:rPr>
                <w:rFonts w:eastAsiaTheme="minorEastAsia"/>
                <w:color w:val="auto"/>
              </w:rPr>
            </w:pPr>
            <w:r>
              <w:rPr>
                <w:rFonts w:eastAsiaTheme="minorEastAsia"/>
                <w:color w:val="auto"/>
              </w:rPr>
              <w:t>定期外售</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756" w:type="dxa"/>
            <w:vMerge w:val="continue"/>
            <w:vAlign w:val="center"/>
          </w:tcPr>
          <w:p>
            <w:pPr>
              <w:pStyle w:val="246"/>
              <w:rPr>
                <w:rFonts w:eastAsiaTheme="minorEastAsia"/>
                <w:color w:val="auto"/>
              </w:rPr>
            </w:pPr>
          </w:p>
        </w:tc>
        <w:tc>
          <w:tcPr>
            <w:tcW w:w="1799" w:type="dxa"/>
            <w:vAlign w:val="center"/>
          </w:tcPr>
          <w:p>
            <w:pPr>
              <w:pStyle w:val="246"/>
              <w:rPr>
                <w:rFonts w:eastAsiaTheme="minorEastAsia"/>
                <w:color w:val="auto"/>
              </w:rPr>
            </w:pPr>
            <w:r>
              <w:rPr>
                <w:rFonts w:eastAsiaTheme="minorEastAsia"/>
                <w:color w:val="auto"/>
              </w:rPr>
              <w:t>废机油</w:t>
            </w:r>
          </w:p>
        </w:tc>
        <w:tc>
          <w:tcPr>
            <w:tcW w:w="1834" w:type="dxa"/>
            <w:vAlign w:val="center"/>
          </w:tcPr>
          <w:p>
            <w:pPr>
              <w:pStyle w:val="246"/>
              <w:rPr>
                <w:rFonts w:eastAsiaTheme="minorEastAsia"/>
                <w:color w:val="auto"/>
              </w:rPr>
            </w:pPr>
            <w:r>
              <w:rPr>
                <w:rFonts w:eastAsiaTheme="minorEastAsia"/>
                <w:color w:val="auto"/>
              </w:rPr>
              <w:t>废机油</w:t>
            </w:r>
          </w:p>
        </w:tc>
        <w:tc>
          <w:tcPr>
            <w:tcW w:w="1658" w:type="dxa"/>
            <w:vAlign w:val="center"/>
          </w:tcPr>
          <w:p>
            <w:pPr>
              <w:pStyle w:val="246"/>
              <w:rPr>
                <w:rFonts w:eastAsiaTheme="minorEastAsia"/>
                <w:color w:val="auto"/>
              </w:rPr>
            </w:pPr>
            <w:r>
              <w:rPr>
                <w:rFonts w:eastAsiaTheme="minorEastAsia"/>
                <w:color w:val="auto"/>
              </w:rPr>
              <w:t>0.5t/a</w:t>
            </w:r>
          </w:p>
        </w:tc>
        <w:tc>
          <w:tcPr>
            <w:tcW w:w="2259" w:type="dxa"/>
            <w:vAlign w:val="center"/>
          </w:tcPr>
          <w:p>
            <w:pPr>
              <w:pStyle w:val="246"/>
              <w:rPr>
                <w:rFonts w:eastAsiaTheme="minorEastAsia"/>
                <w:color w:val="auto"/>
              </w:rPr>
            </w:pPr>
            <w:r>
              <w:rPr>
                <w:rFonts w:eastAsiaTheme="minorEastAsia"/>
                <w:color w:val="auto"/>
              </w:rPr>
              <w:t>有资质部门处置</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756" w:type="dxa"/>
            <w:vMerge w:val="continue"/>
            <w:vAlign w:val="center"/>
          </w:tcPr>
          <w:p>
            <w:pPr>
              <w:pStyle w:val="246"/>
              <w:rPr>
                <w:rFonts w:eastAsiaTheme="minorEastAsia"/>
                <w:color w:val="auto"/>
              </w:rPr>
            </w:pPr>
          </w:p>
        </w:tc>
        <w:tc>
          <w:tcPr>
            <w:tcW w:w="1799" w:type="dxa"/>
            <w:vAlign w:val="center"/>
          </w:tcPr>
          <w:p>
            <w:pPr>
              <w:pStyle w:val="246"/>
              <w:rPr>
                <w:rFonts w:eastAsiaTheme="minorEastAsia"/>
                <w:color w:val="auto"/>
              </w:rPr>
            </w:pPr>
            <w:r>
              <w:rPr>
                <w:rFonts w:eastAsiaTheme="minorEastAsia"/>
                <w:color w:val="auto"/>
              </w:rPr>
              <w:t>布袋除尘器收集粉尘</w:t>
            </w:r>
          </w:p>
        </w:tc>
        <w:tc>
          <w:tcPr>
            <w:tcW w:w="1834" w:type="dxa"/>
            <w:vAlign w:val="center"/>
          </w:tcPr>
          <w:p>
            <w:pPr>
              <w:pStyle w:val="246"/>
              <w:rPr>
                <w:rFonts w:eastAsiaTheme="minorEastAsia"/>
                <w:color w:val="auto"/>
              </w:rPr>
            </w:pPr>
            <w:r>
              <w:rPr>
                <w:rFonts w:eastAsiaTheme="minorEastAsia"/>
                <w:color w:val="auto"/>
              </w:rPr>
              <w:t>石粉</w:t>
            </w:r>
          </w:p>
        </w:tc>
        <w:tc>
          <w:tcPr>
            <w:tcW w:w="1658" w:type="dxa"/>
            <w:vAlign w:val="center"/>
          </w:tcPr>
          <w:p>
            <w:pPr>
              <w:pStyle w:val="246"/>
              <w:rPr>
                <w:rFonts w:eastAsiaTheme="minorEastAsia"/>
                <w:color w:val="auto"/>
              </w:rPr>
            </w:pPr>
            <w:r>
              <w:rPr>
                <w:rFonts w:hint="eastAsia" w:eastAsiaTheme="minorEastAsia"/>
                <w:color w:val="auto"/>
                <w:lang w:eastAsia="zh-CN"/>
              </w:rPr>
              <w:t>7.4t/a</w:t>
            </w:r>
          </w:p>
        </w:tc>
        <w:tc>
          <w:tcPr>
            <w:tcW w:w="2259" w:type="dxa"/>
            <w:vAlign w:val="center"/>
          </w:tcPr>
          <w:p>
            <w:pPr>
              <w:pStyle w:val="246"/>
              <w:rPr>
                <w:rFonts w:eastAsiaTheme="minorEastAsia"/>
                <w:color w:val="auto"/>
              </w:rPr>
            </w:pPr>
            <w:r>
              <w:rPr>
                <w:rFonts w:eastAsiaTheme="minorEastAsia"/>
                <w:color w:val="auto"/>
              </w:rPr>
              <w:t>定期外售</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756" w:type="dxa"/>
            <w:vMerge w:val="continue"/>
            <w:vAlign w:val="center"/>
          </w:tcPr>
          <w:p>
            <w:pPr>
              <w:pStyle w:val="246"/>
              <w:rPr>
                <w:rFonts w:eastAsiaTheme="minorEastAsia"/>
                <w:color w:val="auto"/>
              </w:rPr>
            </w:pPr>
          </w:p>
        </w:tc>
        <w:tc>
          <w:tcPr>
            <w:tcW w:w="1799" w:type="dxa"/>
            <w:vAlign w:val="center"/>
          </w:tcPr>
          <w:p>
            <w:pPr>
              <w:pStyle w:val="246"/>
              <w:rPr>
                <w:rFonts w:eastAsiaTheme="minorEastAsia"/>
                <w:color w:val="auto"/>
              </w:rPr>
            </w:pPr>
            <w:r>
              <w:rPr>
                <w:rFonts w:eastAsiaTheme="minorEastAsia"/>
                <w:color w:val="auto"/>
              </w:rPr>
              <w:t>筛分石粉</w:t>
            </w:r>
          </w:p>
        </w:tc>
        <w:tc>
          <w:tcPr>
            <w:tcW w:w="1834" w:type="dxa"/>
            <w:vAlign w:val="center"/>
          </w:tcPr>
          <w:p>
            <w:pPr>
              <w:pStyle w:val="246"/>
              <w:rPr>
                <w:rFonts w:eastAsiaTheme="minorEastAsia"/>
                <w:color w:val="auto"/>
              </w:rPr>
            </w:pPr>
            <w:r>
              <w:rPr>
                <w:rFonts w:eastAsiaTheme="minorEastAsia"/>
                <w:color w:val="auto"/>
              </w:rPr>
              <w:t>石粉</w:t>
            </w:r>
          </w:p>
        </w:tc>
        <w:tc>
          <w:tcPr>
            <w:tcW w:w="1658" w:type="dxa"/>
            <w:vAlign w:val="center"/>
          </w:tcPr>
          <w:p>
            <w:pPr>
              <w:pStyle w:val="246"/>
              <w:rPr>
                <w:rFonts w:eastAsiaTheme="minorEastAsia"/>
                <w:color w:val="auto"/>
              </w:rPr>
            </w:pPr>
            <w:r>
              <w:rPr>
                <w:rFonts w:hint="eastAsia" w:eastAsiaTheme="minorEastAsia"/>
                <w:color w:val="auto"/>
                <w:lang w:eastAsia="zh-CN"/>
              </w:rPr>
              <w:t>101</w:t>
            </w:r>
            <w:r>
              <w:rPr>
                <w:rFonts w:eastAsiaTheme="minorEastAsia"/>
                <w:color w:val="auto"/>
              </w:rPr>
              <w:t>t/a</w:t>
            </w:r>
          </w:p>
        </w:tc>
        <w:tc>
          <w:tcPr>
            <w:tcW w:w="2259" w:type="dxa"/>
            <w:vAlign w:val="center"/>
          </w:tcPr>
          <w:p>
            <w:pPr>
              <w:pStyle w:val="246"/>
              <w:rPr>
                <w:rFonts w:eastAsiaTheme="minorEastAsia"/>
                <w:color w:val="auto"/>
              </w:rPr>
            </w:pPr>
            <w:r>
              <w:rPr>
                <w:rFonts w:eastAsiaTheme="minorEastAsia"/>
                <w:color w:val="auto"/>
              </w:rPr>
              <w:t>定期外售</w:t>
            </w:r>
          </w:p>
        </w:tc>
      </w:tr>
    </w:tbl>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3.3.3非正常工况分析</w:t>
      </w:r>
    </w:p>
    <w:p>
      <w:pPr>
        <w:spacing w:line="500" w:lineRule="exact"/>
        <w:ind w:firstLine="480" w:firstLineChars="200"/>
        <w:rPr>
          <w:rFonts w:eastAsiaTheme="minorEastAsia"/>
          <w:color w:val="auto"/>
        </w:rPr>
      </w:pPr>
      <w:r>
        <w:rPr>
          <w:rFonts w:eastAsiaTheme="minorEastAsia"/>
          <w:color w:val="auto"/>
        </w:rPr>
        <w:t xml:space="preserve">本项目废气主要来自为破碎筛分过程颗粒物，废气处理装置可能发生最不利的非正常工况是布袋除尘器发生故障。由于本项目产生废气方式是间歇式，若发生系统故障或环保设施失效时，建设单位一般能即可停止操作，待故障排除后再重新进行工作。 </w:t>
      </w:r>
    </w:p>
    <w:p>
      <w:pPr>
        <w:spacing w:line="500" w:lineRule="exact"/>
        <w:ind w:firstLine="480" w:firstLineChars="200"/>
        <w:rPr>
          <w:rFonts w:eastAsiaTheme="minorEastAsia"/>
          <w:color w:val="auto"/>
        </w:rPr>
      </w:pPr>
      <w:r>
        <w:rPr>
          <w:rFonts w:eastAsiaTheme="minorEastAsia"/>
          <w:color w:val="auto"/>
        </w:rPr>
        <w:t>本报告分析非正常排放废气源强选用废气处理装置同时失效时的排放速率，即废气未经处理而直接排入大气中，污染物去除效率为0%时进行源强核算，污染物排放情况见表3-3-9。</w:t>
      </w:r>
    </w:p>
    <w:p>
      <w:pPr>
        <w:spacing w:line="500" w:lineRule="exact"/>
        <w:ind w:firstLine="480" w:firstLineChars="200"/>
        <w:jc w:val="center"/>
        <w:rPr>
          <w:rFonts w:eastAsiaTheme="minorEastAsia"/>
          <w:color w:val="auto"/>
        </w:rPr>
      </w:pPr>
      <w:r>
        <w:rPr>
          <w:rFonts w:eastAsiaTheme="minorEastAsia"/>
          <w:color w:val="auto"/>
        </w:rPr>
        <w:t>表3-3-9非正常工况大气污染物源强</w:t>
      </w:r>
    </w:p>
    <w:tbl>
      <w:tblPr>
        <w:tblStyle w:val="53"/>
        <w:tblW w:w="8342" w:type="dxa"/>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fixed"/>
        <w:tblCellMar>
          <w:top w:w="15" w:type="dxa"/>
          <w:left w:w="15" w:type="dxa"/>
          <w:bottom w:w="15" w:type="dxa"/>
          <w:right w:w="15" w:type="dxa"/>
        </w:tblCellMar>
      </w:tblPr>
      <w:tblGrid>
        <w:gridCol w:w="639"/>
        <w:gridCol w:w="991"/>
        <w:gridCol w:w="739"/>
        <w:gridCol w:w="550"/>
        <w:gridCol w:w="917"/>
        <w:gridCol w:w="783"/>
        <w:gridCol w:w="517"/>
        <w:gridCol w:w="500"/>
        <w:gridCol w:w="2706"/>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fixed"/>
          <w:tblCellMar>
            <w:top w:w="15" w:type="dxa"/>
            <w:left w:w="15" w:type="dxa"/>
            <w:bottom w:w="15" w:type="dxa"/>
            <w:right w:w="15" w:type="dxa"/>
          </w:tblCellMar>
        </w:tblPrEx>
        <w:trPr>
          <w:trHeight w:val="886" w:hRule="atLeast"/>
        </w:trPr>
        <w:tc>
          <w:tcPr>
            <w:tcW w:w="639" w:type="dxa"/>
            <w:tcBorders>
              <w:tl2br w:val="nil"/>
              <w:tr2bl w:val="nil"/>
            </w:tcBorders>
            <w:shd w:val="clear" w:color="auto" w:fill="FFFFFF"/>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序号</w:t>
            </w:r>
          </w:p>
        </w:tc>
        <w:tc>
          <w:tcPr>
            <w:tcW w:w="991" w:type="dxa"/>
            <w:tcBorders>
              <w:tl2br w:val="nil"/>
              <w:tr2bl w:val="nil"/>
            </w:tcBorders>
            <w:shd w:val="clear" w:color="auto" w:fill="FFFFFF"/>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排放口编号</w:t>
            </w:r>
          </w:p>
        </w:tc>
        <w:tc>
          <w:tcPr>
            <w:tcW w:w="739" w:type="dxa"/>
            <w:tcBorders>
              <w:tl2br w:val="nil"/>
              <w:tr2bl w:val="nil"/>
            </w:tcBorders>
            <w:shd w:val="clear" w:color="auto" w:fill="FFFFFF"/>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污染源名称</w:t>
            </w:r>
          </w:p>
        </w:tc>
        <w:tc>
          <w:tcPr>
            <w:tcW w:w="550" w:type="dxa"/>
            <w:tcBorders>
              <w:tl2br w:val="nil"/>
              <w:tr2bl w:val="nil"/>
            </w:tcBorders>
            <w:shd w:val="clear" w:color="auto" w:fill="FFFFFF"/>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污染物</w:t>
            </w:r>
          </w:p>
        </w:tc>
        <w:tc>
          <w:tcPr>
            <w:tcW w:w="917" w:type="dxa"/>
            <w:tcBorders>
              <w:tl2br w:val="nil"/>
              <w:tr2bl w:val="nil"/>
            </w:tcBorders>
            <w:shd w:val="clear" w:color="auto" w:fill="FFFFFF"/>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非正常排放浓度</w:t>
            </w:r>
            <w:r>
              <w:rPr>
                <w:rFonts w:hint="default" w:ascii="Times New Roman" w:hAnsi="Times New Roman" w:eastAsiaTheme="minorEastAsia"/>
                <w:color w:val="auto"/>
                <w:sz w:val="21"/>
                <w:szCs w:val="21"/>
                <w:lang w:val="en-US" w:eastAsia="zh-CN"/>
              </w:rPr>
              <w:t>/</w:t>
            </w:r>
          </w:p>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w:t>
            </w:r>
            <w:r>
              <w:rPr>
                <w:rFonts w:hint="default" w:ascii="Times New Roman" w:hAnsi="Times New Roman" w:eastAsiaTheme="minorEastAsia"/>
                <w:color w:val="auto"/>
                <w:sz w:val="21"/>
                <w:szCs w:val="21"/>
                <w:lang w:val="en-US" w:eastAsia="zh-CN"/>
              </w:rPr>
              <w:t>μg/m</w:t>
            </w:r>
            <w:r>
              <w:rPr>
                <w:rFonts w:hint="default" w:ascii="Times New Roman" w:hAnsi="Times New Roman" w:eastAsiaTheme="minorEastAsia"/>
                <w:color w:val="auto"/>
                <w:sz w:val="21"/>
                <w:szCs w:val="21"/>
                <w:vertAlign w:val="superscript"/>
                <w:lang w:val="en-US" w:eastAsia="zh-CN"/>
              </w:rPr>
              <w:t>3</w:t>
            </w:r>
            <w:r>
              <w:rPr>
                <w:rFonts w:hint="eastAsia" w:ascii="Times New Roman" w:hAnsi="Times New Roman" w:eastAsiaTheme="minorEastAsia"/>
                <w:color w:val="auto"/>
                <w:sz w:val="21"/>
                <w:szCs w:val="21"/>
                <w:lang w:val="en-US" w:eastAsia="zh-CN"/>
              </w:rPr>
              <w:t>）</w:t>
            </w:r>
          </w:p>
        </w:tc>
        <w:tc>
          <w:tcPr>
            <w:tcW w:w="783" w:type="dxa"/>
            <w:tcBorders>
              <w:tl2br w:val="nil"/>
              <w:tr2bl w:val="nil"/>
            </w:tcBorders>
            <w:shd w:val="clear" w:color="auto" w:fill="FFFFFF"/>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非正常排放速率</w:t>
            </w:r>
            <w:r>
              <w:rPr>
                <w:rFonts w:hint="default" w:ascii="Times New Roman" w:hAnsi="Times New Roman" w:eastAsiaTheme="minorEastAsia"/>
                <w:color w:val="auto"/>
                <w:sz w:val="21"/>
                <w:szCs w:val="21"/>
                <w:lang w:val="en-US" w:eastAsia="zh-CN"/>
              </w:rPr>
              <w:t>/</w:t>
            </w:r>
          </w:p>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w:t>
            </w:r>
            <w:r>
              <w:rPr>
                <w:rFonts w:hint="default" w:ascii="Times New Roman" w:hAnsi="Times New Roman" w:eastAsiaTheme="minorEastAsia"/>
                <w:color w:val="auto"/>
                <w:sz w:val="21"/>
                <w:szCs w:val="21"/>
                <w:lang w:val="en-US" w:eastAsia="zh-CN"/>
              </w:rPr>
              <w:t>kg/h</w:t>
            </w:r>
            <w:r>
              <w:rPr>
                <w:rFonts w:hint="eastAsia" w:ascii="Times New Roman" w:hAnsi="Times New Roman" w:eastAsiaTheme="minorEastAsia"/>
                <w:color w:val="auto"/>
                <w:sz w:val="21"/>
                <w:szCs w:val="21"/>
                <w:lang w:val="en-US" w:eastAsia="zh-CN"/>
              </w:rPr>
              <w:t>）</w:t>
            </w:r>
          </w:p>
        </w:tc>
        <w:tc>
          <w:tcPr>
            <w:tcW w:w="517" w:type="dxa"/>
            <w:tcBorders>
              <w:tl2br w:val="nil"/>
              <w:tr2bl w:val="nil"/>
            </w:tcBorders>
            <w:shd w:val="clear" w:color="auto" w:fill="FFFFFF"/>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单次持续时间</w:t>
            </w:r>
            <w:r>
              <w:rPr>
                <w:rFonts w:hint="default" w:ascii="Times New Roman" w:hAnsi="Times New Roman" w:eastAsiaTheme="minorEastAsia"/>
                <w:color w:val="auto"/>
                <w:sz w:val="21"/>
                <w:szCs w:val="21"/>
                <w:lang w:val="en-US" w:eastAsia="zh-CN"/>
              </w:rPr>
              <w:t>/</w:t>
            </w:r>
          </w:p>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r>
              <w:rPr>
                <w:rFonts w:hint="default" w:ascii="Times New Roman" w:hAnsi="Times New Roman" w:eastAsiaTheme="minorEastAsia"/>
                <w:color w:val="auto"/>
                <w:sz w:val="21"/>
                <w:szCs w:val="21"/>
                <w:lang w:val="en-US" w:eastAsia="zh-CN"/>
              </w:rPr>
              <w:t>h</w:t>
            </w:r>
          </w:p>
        </w:tc>
        <w:tc>
          <w:tcPr>
            <w:tcW w:w="500" w:type="dxa"/>
            <w:tcBorders>
              <w:tl2br w:val="nil"/>
              <w:tr2bl w:val="nil"/>
            </w:tcBorders>
            <w:shd w:val="clear" w:color="auto" w:fill="FFFFFF"/>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年发生频次</w:t>
            </w:r>
            <w:r>
              <w:rPr>
                <w:rFonts w:hint="default" w:ascii="Times New Roman" w:hAnsi="Times New Roman" w:eastAsiaTheme="minorEastAsia"/>
                <w:color w:val="auto"/>
                <w:sz w:val="21"/>
                <w:szCs w:val="21"/>
                <w:lang w:val="en-US" w:eastAsia="zh-CN"/>
              </w:rPr>
              <w:t>/</w:t>
            </w:r>
          </w:p>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次</w:t>
            </w:r>
          </w:p>
        </w:tc>
        <w:tc>
          <w:tcPr>
            <w:tcW w:w="2706" w:type="dxa"/>
            <w:tcBorders>
              <w:tl2br w:val="nil"/>
              <w:tr2bl w:val="nil"/>
            </w:tcBorders>
            <w:shd w:val="clear" w:color="auto" w:fill="FFFFFF"/>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应对措施</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639"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1</w:t>
            </w:r>
          </w:p>
        </w:tc>
        <w:tc>
          <w:tcPr>
            <w:tcW w:w="991"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ascii="Times New Roman" w:hAnsi="Times New Roman" w:eastAsiaTheme="minorEastAsia"/>
                <w:color w:val="auto"/>
                <w:sz w:val="21"/>
                <w:szCs w:val="21"/>
              </w:rPr>
              <w:t>排气筒1</w:t>
            </w:r>
          </w:p>
        </w:tc>
        <w:tc>
          <w:tcPr>
            <w:tcW w:w="739"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eastAsia="zh-CN"/>
              </w:rPr>
              <w:t>粗碎</w:t>
            </w:r>
          </w:p>
        </w:tc>
        <w:tc>
          <w:tcPr>
            <w:tcW w:w="550"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PM</w:t>
            </w:r>
            <w:r>
              <w:rPr>
                <w:rFonts w:hint="eastAsia" w:ascii="Times New Roman" w:hAnsi="Times New Roman" w:eastAsiaTheme="minorEastAsia"/>
                <w:color w:val="auto"/>
                <w:sz w:val="21"/>
                <w:szCs w:val="21"/>
                <w:vertAlign w:val="subscript"/>
                <w:lang w:val="en-US" w:eastAsia="zh-CN"/>
              </w:rPr>
              <w:t>10</w:t>
            </w:r>
          </w:p>
        </w:tc>
        <w:tc>
          <w:tcPr>
            <w:tcW w:w="917"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default" w:ascii="Times New Roman" w:hAnsi="Times New Roman" w:eastAsiaTheme="minorEastAsia"/>
                <w:color w:val="auto"/>
                <w:sz w:val="21"/>
                <w:szCs w:val="21"/>
                <w:lang w:val="en-US" w:eastAsia="zh-CN"/>
              </w:rPr>
              <w:t>403333</w:t>
            </w:r>
          </w:p>
        </w:tc>
        <w:tc>
          <w:tcPr>
            <w:tcW w:w="783"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default" w:ascii="Times New Roman" w:hAnsi="Times New Roman" w:eastAsiaTheme="minorEastAsia"/>
                <w:color w:val="auto"/>
                <w:sz w:val="21"/>
                <w:szCs w:val="21"/>
                <w:lang w:val="en-US" w:eastAsia="zh-CN"/>
              </w:rPr>
              <w:t>2.42</w:t>
            </w:r>
          </w:p>
        </w:tc>
        <w:tc>
          <w:tcPr>
            <w:tcW w:w="517"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eastAsiaTheme="minorEastAsia"/>
                <w:color w:val="auto"/>
                <w:sz w:val="21"/>
                <w:szCs w:val="21"/>
                <w:lang w:val="en-US" w:eastAsia="zh-CN"/>
              </w:rPr>
              <w:t>8</w:t>
            </w:r>
          </w:p>
        </w:tc>
        <w:tc>
          <w:tcPr>
            <w:tcW w:w="500"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eastAsiaTheme="minorEastAsia"/>
                <w:color w:val="auto"/>
                <w:sz w:val="21"/>
                <w:szCs w:val="21"/>
                <w:lang w:val="en-US" w:eastAsia="zh-CN"/>
              </w:rPr>
              <w:t>1</w:t>
            </w:r>
          </w:p>
        </w:tc>
        <w:tc>
          <w:tcPr>
            <w:tcW w:w="2706" w:type="dxa"/>
            <w:vMerge w:val="restart"/>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加强除尘系统的运行维护，定期对布袋进行除灰和更换，制订巡检和定期检测制度</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639"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2</w:t>
            </w:r>
          </w:p>
        </w:tc>
        <w:tc>
          <w:tcPr>
            <w:tcW w:w="991"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ascii="Times New Roman" w:hAnsi="Times New Roman" w:eastAsiaTheme="minorEastAsia"/>
                <w:color w:val="auto"/>
                <w:sz w:val="21"/>
                <w:szCs w:val="21"/>
              </w:rPr>
              <w:t>排气筒</w:t>
            </w:r>
            <w:r>
              <w:rPr>
                <w:rFonts w:hint="eastAsia" w:ascii="Times New Roman" w:hAnsi="Times New Roman" w:eastAsiaTheme="minorEastAsia"/>
                <w:color w:val="auto"/>
                <w:sz w:val="21"/>
                <w:szCs w:val="21"/>
                <w:lang w:val="en-US" w:eastAsia="zh-CN"/>
              </w:rPr>
              <w:t>2</w:t>
            </w:r>
          </w:p>
        </w:tc>
        <w:tc>
          <w:tcPr>
            <w:tcW w:w="739"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eastAsia="zh-CN"/>
              </w:rPr>
              <w:t>细碎</w:t>
            </w:r>
          </w:p>
        </w:tc>
        <w:tc>
          <w:tcPr>
            <w:tcW w:w="550"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PM</w:t>
            </w:r>
            <w:r>
              <w:rPr>
                <w:rFonts w:hint="eastAsia" w:ascii="Times New Roman" w:hAnsi="Times New Roman" w:eastAsiaTheme="minorEastAsia"/>
                <w:color w:val="auto"/>
                <w:sz w:val="21"/>
                <w:szCs w:val="21"/>
                <w:vertAlign w:val="subscript"/>
                <w:lang w:val="en-US" w:eastAsia="zh-CN"/>
              </w:rPr>
              <w:t>10</w:t>
            </w:r>
          </w:p>
        </w:tc>
        <w:tc>
          <w:tcPr>
            <w:tcW w:w="917"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default" w:ascii="Times New Roman" w:hAnsi="Times New Roman" w:eastAsiaTheme="minorEastAsia"/>
                <w:color w:val="auto"/>
                <w:sz w:val="21"/>
                <w:szCs w:val="21"/>
                <w:lang w:val="en-US" w:eastAsia="zh-CN"/>
              </w:rPr>
              <w:t>415000</w:t>
            </w:r>
          </w:p>
        </w:tc>
        <w:tc>
          <w:tcPr>
            <w:tcW w:w="783"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default" w:ascii="Times New Roman" w:hAnsi="Times New Roman" w:eastAsiaTheme="minorEastAsia"/>
                <w:color w:val="auto"/>
                <w:sz w:val="21"/>
                <w:szCs w:val="21"/>
                <w:lang w:val="en-US" w:eastAsia="zh-CN"/>
              </w:rPr>
              <w:t>2.49</w:t>
            </w:r>
          </w:p>
        </w:tc>
        <w:tc>
          <w:tcPr>
            <w:tcW w:w="517"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eastAsiaTheme="minorEastAsia"/>
                <w:color w:val="auto"/>
                <w:sz w:val="21"/>
                <w:szCs w:val="21"/>
                <w:lang w:val="en-US" w:eastAsia="zh-CN"/>
              </w:rPr>
              <w:t>8</w:t>
            </w:r>
          </w:p>
        </w:tc>
        <w:tc>
          <w:tcPr>
            <w:tcW w:w="500"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eastAsiaTheme="minorEastAsia"/>
                <w:color w:val="auto"/>
                <w:sz w:val="21"/>
                <w:szCs w:val="21"/>
                <w:lang w:val="en-US" w:eastAsia="zh-CN"/>
              </w:rPr>
              <w:t>1</w:t>
            </w:r>
          </w:p>
        </w:tc>
        <w:tc>
          <w:tcPr>
            <w:tcW w:w="2706" w:type="dxa"/>
            <w:vMerge w:val="continue"/>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639"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3</w:t>
            </w:r>
          </w:p>
        </w:tc>
        <w:tc>
          <w:tcPr>
            <w:tcW w:w="991"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ascii="Times New Roman" w:hAnsi="Times New Roman" w:eastAsiaTheme="minorEastAsia"/>
                <w:color w:val="auto"/>
                <w:sz w:val="21"/>
                <w:szCs w:val="21"/>
              </w:rPr>
              <w:t>排气筒</w:t>
            </w:r>
            <w:r>
              <w:rPr>
                <w:rFonts w:hint="eastAsia" w:ascii="Times New Roman" w:hAnsi="Times New Roman" w:eastAsiaTheme="minorEastAsia"/>
                <w:color w:val="auto"/>
                <w:sz w:val="21"/>
                <w:szCs w:val="21"/>
                <w:lang w:val="en-US" w:eastAsia="zh-CN"/>
              </w:rPr>
              <w:t>3</w:t>
            </w:r>
          </w:p>
        </w:tc>
        <w:tc>
          <w:tcPr>
            <w:tcW w:w="739"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eastAsia="zh-CN"/>
              </w:rPr>
              <w:t>筛分</w:t>
            </w:r>
          </w:p>
        </w:tc>
        <w:tc>
          <w:tcPr>
            <w:tcW w:w="550"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PM</w:t>
            </w:r>
            <w:r>
              <w:rPr>
                <w:rFonts w:hint="eastAsia" w:ascii="Times New Roman" w:hAnsi="Times New Roman" w:eastAsiaTheme="minorEastAsia"/>
                <w:color w:val="auto"/>
                <w:sz w:val="21"/>
                <w:szCs w:val="21"/>
                <w:vertAlign w:val="subscript"/>
                <w:lang w:val="en-US" w:eastAsia="zh-CN"/>
              </w:rPr>
              <w:t>10</w:t>
            </w:r>
          </w:p>
        </w:tc>
        <w:tc>
          <w:tcPr>
            <w:tcW w:w="917"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default" w:ascii="Times New Roman" w:hAnsi="Times New Roman" w:eastAsiaTheme="minorEastAsia"/>
                <w:color w:val="auto"/>
                <w:sz w:val="21"/>
                <w:szCs w:val="21"/>
                <w:lang w:val="en-US" w:eastAsia="zh-CN"/>
              </w:rPr>
              <w:t>423333</w:t>
            </w:r>
          </w:p>
        </w:tc>
        <w:tc>
          <w:tcPr>
            <w:tcW w:w="783"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default" w:ascii="Times New Roman" w:hAnsi="Times New Roman" w:eastAsiaTheme="minorEastAsia"/>
                <w:color w:val="auto"/>
                <w:sz w:val="21"/>
                <w:szCs w:val="21"/>
                <w:lang w:val="en-US" w:eastAsia="zh-CN"/>
              </w:rPr>
              <w:t>2.54</w:t>
            </w:r>
          </w:p>
        </w:tc>
        <w:tc>
          <w:tcPr>
            <w:tcW w:w="517"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eastAsiaTheme="minorEastAsia"/>
                <w:color w:val="auto"/>
                <w:sz w:val="21"/>
                <w:szCs w:val="21"/>
                <w:lang w:val="en-US" w:eastAsia="zh-CN"/>
              </w:rPr>
              <w:t>8</w:t>
            </w:r>
          </w:p>
        </w:tc>
        <w:tc>
          <w:tcPr>
            <w:tcW w:w="500"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eastAsiaTheme="minorEastAsia"/>
                <w:color w:val="auto"/>
                <w:sz w:val="21"/>
                <w:szCs w:val="21"/>
                <w:lang w:val="en-US" w:eastAsia="zh-CN"/>
              </w:rPr>
              <w:t>1</w:t>
            </w:r>
          </w:p>
        </w:tc>
        <w:tc>
          <w:tcPr>
            <w:tcW w:w="2706" w:type="dxa"/>
            <w:vMerge w:val="continue"/>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p>
        </w:tc>
      </w:tr>
    </w:tbl>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3.3.4服务期满后污染分析</w:t>
      </w:r>
    </w:p>
    <w:p>
      <w:pPr>
        <w:ind w:firstLine="480" w:firstLineChars="200"/>
        <w:rPr>
          <w:rFonts w:eastAsiaTheme="minorEastAsia"/>
          <w:color w:val="auto"/>
          <w:kern w:val="0"/>
          <w:szCs w:val="24"/>
        </w:rPr>
      </w:pPr>
      <w:r>
        <w:rPr>
          <w:rFonts w:eastAsiaTheme="minorEastAsia"/>
          <w:color w:val="auto"/>
          <w:kern w:val="0"/>
          <w:szCs w:val="24"/>
        </w:rPr>
        <w:t>矿山服务期满后，对工业厂区、生活区的设备、建筑物拆除，进行场地平整后覆土，</w:t>
      </w:r>
      <w:r>
        <w:rPr>
          <w:rFonts w:eastAsiaTheme="minorEastAsia"/>
          <w:color w:val="auto"/>
        </w:rPr>
        <w:t>采矿境界内附属设施将拆除，服务期产生的粉尘、噪声、废水污染将随之消除，采矿场服务期满后主要是对生态环境的影响，若不进行回填和生态恢复，在一定范围内将会造成采场发生水土流失，同时产生扬尘污染等。根据谁造成破坏，谁负责治理的原则，建设单位对闭坑后的矿山必须进行生态恢复工作。矿山退役后生态恢复措施主要包括土方回填、边坡治理和林地恢复等，复垦方向为林地。土地整治实施程序：</w:t>
      </w:r>
    </w:p>
    <w:p>
      <w:pPr>
        <w:pStyle w:val="2"/>
        <w:spacing w:line="240" w:lineRule="auto"/>
        <w:jc w:val="center"/>
        <w:rPr>
          <w:rFonts w:ascii="Times New Roman" w:eastAsiaTheme="minorEastAsia"/>
          <w:b/>
          <w:color w:val="auto"/>
          <w:lang w:val="en-US"/>
        </w:rPr>
      </w:pPr>
      <w:r>
        <w:rPr>
          <w:rFonts w:ascii="Times New Roman" w:eastAsiaTheme="minorEastAsia"/>
          <w:b/>
          <w:color w:val="auto"/>
          <w:lang w:val="en-US"/>
        </w:rPr>
        <w:object>
          <v:shape id="_x0000_i1032" o:spt="75" type="#_x0000_t75" style="height:43.5pt;width:403.5pt;" o:ole="t" filled="f" o:preferrelative="t" stroked="f" coordsize="21600,21600">
            <v:path/>
            <v:fill on="f" focussize="0,0"/>
            <v:stroke on="f" joinstyle="miter"/>
            <v:imagedata r:id="rId27" o:title=""/>
            <o:lock v:ext="edit" aspectratio="t"/>
            <w10:wrap type="none"/>
            <w10:anchorlock/>
          </v:shape>
          <o:OLEObject Type="Embed" ProgID="Visio.Drawing.11" ShapeID="_x0000_i1032" DrawAspect="Content" ObjectID="_1468075732" r:id="rId26">
            <o:LockedField>false</o:LockedField>
          </o:OLEObject>
        </w:object>
      </w:r>
    </w:p>
    <w:p>
      <w:pPr>
        <w:pStyle w:val="244"/>
        <w:rPr>
          <w:rStyle w:val="51"/>
          <w:rFonts w:eastAsiaTheme="minorEastAsia"/>
          <w:color w:val="auto"/>
          <w:sz w:val="24"/>
          <w:szCs w:val="22"/>
        </w:rPr>
      </w:pPr>
      <w:r>
        <w:rPr>
          <w:rStyle w:val="51"/>
          <w:rFonts w:eastAsiaTheme="minorEastAsia"/>
          <w:color w:val="auto"/>
          <w:sz w:val="24"/>
          <w:szCs w:val="22"/>
        </w:rPr>
        <w:t>图3-3-3 土地整治实施程序流程图</w:t>
      </w:r>
    </w:p>
    <w:p>
      <w:pPr>
        <w:pStyle w:val="238"/>
        <w:rPr>
          <w:rFonts w:hAnsi="Times New Roman" w:eastAsiaTheme="minorEastAsia"/>
          <w:color w:val="auto"/>
        </w:rPr>
      </w:pPr>
      <w:bookmarkStart w:id="127" w:name="_Toc519693569"/>
      <w:bookmarkStart w:id="128" w:name="_Toc392154098"/>
      <w:r>
        <w:rPr>
          <w:rFonts w:hAnsi="Times New Roman" w:eastAsiaTheme="minorEastAsia"/>
          <w:color w:val="auto"/>
        </w:rPr>
        <w:t>3.4清洁生产分析</w:t>
      </w:r>
      <w:bookmarkEnd w:id="127"/>
    </w:p>
    <w:p>
      <w:pPr>
        <w:pStyle w:val="276"/>
        <w:jc w:val="both"/>
        <w:rPr>
          <w:rFonts w:eastAsiaTheme="minorEastAsia"/>
          <w:color w:val="auto"/>
        </w:rPr>
      </w:pPr>
      <w:r>
        <w:rPr>
          <w:rFonts w:eastAsiaTheme="minorEastAsia"/>
          <w:color w:val="auto"/>
        </w:rPr>
        <w:t>清洁生产即污染预防，是优于污染末端控制且需优先考虑的一种环境战略，本次清洁生产分析的目的为：减轻建设项目的末端处理负担；提高建设项目的环境可靠性；提高建设项目的市场竞争力；降低建设项目的环境责任风险；节能降耗，减少污染排放总量，提高经济效益和环境效益。</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3.4.1生产工艺与装备要求</w:t>
      </w:r>
    </w:p>
    <w:p>
      <w:pPr>
        <w:autoSpaceDE w:val="0"/>
        <w:autoSpaceDN w:val="0"/>
        <w:adjustRightInd w:val="0"/>
        <w:spacing w:line="500" w:lineRule="exact"/>
        <w:ind w:firstLine="360" w:firstLineChars="150"/>
        <w:rPr>
          <w:rFonts w:eastAsiaTheme="minorEastAsia"/>
          <w:color w:val="auto"/>
          <w:kern w:val="0"/>
          <w:szCs w:val="24"/>
        </w:rPr>
      </w:pPr>
      <w:r>
        <w:rPr>
          <w:rFonts w:eastAsiaTheme="minorEastAsia"/>
          <w:color w:val="auto"/>
          <w:kern w:val="0"/>
          <w:szCs w:val="24"/>
        </w:rPr>
        <w:t xml:space="preserve">本项目露天开采及碎石加工技术是国内的成熟工艺，该技术安全、可靠，本项目产品建筑用碎石，从生产工艺流程可以看出，本项目生产工艺的特点是：本项目选用100B 潜孔钻机穿孔，多排孔微差中深孔爆破，挖掘机采装，自卸车运输。操作单元少，工艺简单，项目工艺装备的技术水平达国内先进水平。 </w:t>
      </w:r>
    </w:p>
    <w:p>
      <w:pPr>
        <w:pStyle w:val="276"/>
        <w:jc w:val="both"/>
        <w:rPr>
          <w:rFonts w:eastAsiaTheme="minorEastAsia"/>
          <w:color w:val="auto"/>
        </w:rPr>
      </w:pPr>
      <w:r>
        <w:rPr>
          <w:rFonts w:eastAsiaTheme="minorEastAsia"/>
          <w:color w:val="auto"/>
        </w:rPr>
        <w:t>生产设备特点：穿孔设备采用100B 潜孔钻机，孔径95mm，钻孔深度达21m， 作为主要生产钻机。该钻机性能好、效率高、可靠率高；挖掘机、自卸车、破碎机、筛分机等设备技术先进、机械性能好，使用可靠，轻便灵活，移动方便。</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3.4.2资源能源利用指标</w:t>
      </w:r>
    </w:p>
    <w:p>
      <w:pPr>
        <w:pStyle w:val="276"/>
        <w:rPr>
          <w:rFonts w:eastAsiaTheme="minorEastAsia"/>
          <w:color w:val="auto"/>
        </w:rPr>
      </w:pPr>
      <w:r>
        <w:rPr>
          <w:rFonts w:eastAsiaTheme="minorEastAsia"/>
          <w:color w:val="auto"/>
        </w:rPr>
        <w:t>本项目能源消耗情况见表3-4-1。</w:t>
      </w:r>
    </w:p>
    <w:p>
      <w:pPr>
        <w:pStyle w:val="244"/>
        <w:rPr>
          <w:rFonts w:eastAsiaTheme="minorEastAsia"/>
          <w:color w:val="auto"/>
        </w:rPr>
      </w:pPr>
      <w:r>
        <w:rPr>
          <w:rFonts w:eastAsiaTheme="minorEastAsia"/>
          <w:color w:val="auto"/>
        </w:rPr>
        <w:t>表3-4-1  能源利用情况表</w:t>
      </w:r>
    </w:p>
    <w:tbl>
      <w:tblPr>
        <w:tblStyle w:val="53"/>
        <w:tblW w:w="8471" w:type="dxa"/>
        <w:jc w:val="center"/>
        <w:tblInd w:w="0" w:type="dxa"/>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1791"/>
        <w:gridCol w:w="2609"/>
        <w:gridCol w:w="4071"/>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199" w:hRule="atLeast"/>
          <w:jc w:val="center"/>
        </w:trPr>
        <w:tc>
          <w:tcPr>
            <w:tcW w:w="1791" w:type="dxa"/>
            <w:vAlign w:val="center"/>
          </w:tcPr>
          <w:p>
            <w:pPr>
              <w:pStyle w:val="246"/>
              <w:rPr>
                <w:rFonts w:eastAsiaTheme="minorEastAsia"/>
                <w:color w:val="auto"/>
              </w:rPr>
            </w:pPr>
            <w:r>
              <w:rPr>
                <w:rFonts w:eastAsiaTheme="minorEastAsia"/>
                <w:color w:val="auto"/>
              </w:rPr>
              <w:t>序号</w:t>
            </w:r>
          </w:p>
        </w:tc>
        <w:tc>
          <w:tcPr>
            <w:tcW w:w="2609" w:type="dxa"/>
            <w:vAlign w:val="center"/>
          </w:tcPr>
          <w:p>
            <w:pPr>
              <w:pStyle w:val="246"/>
              <w:rPr>
                <w:rFonts w:eastAsiaTheme="minorEastAsia"/>
                <w:color w:val="auto"/>
              </w:rPr>
            </w:pPr>
            <w:r>
              <w:rPr>
                <w:rFonts w:eastAsiaTheme="minorEastAsia"/>
                <w:color w:val="auto"/>
              </w:rPr>
              <w:t>名称</w:t>
            </w:r>
          </w:p>
        </w:tc>
        <w:tc>
          <w:tcPr>
            <w:tcW w:w="4071" w:type="dxa"/>
            <w:vAlign w:val="center"/>
          </w:tcPr>
          <w:p>
            <w:pPr>
              <w:pStyle w:val="246"/>
              <w:rPr>
                <w:rFonts w:eastAsiaTheme="minorEastAsia"/>
                <w:color w:val="auto"/>
              </w:rPr>
            </w:pPr>
            <w:r>
              <w:rPr>
                <w:rFonts w:eastAsiaTheme="minorEastAsia"/>
                <w:color w:val="auto"/>
              </w:rPr>
              <w:t>工艺生产产品消耗</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57" w:hRule="atLeast"/>
          <w:jc w:val="center"/>
        </w:trPr>
        <w:tc>
          <w:tcPr>
            <w:tcW w:w="1791" w:type="dxa"/>
            <w:vAlign w:val="center"/>
          </w:tcPr>
          <w:p>
            <w:pPr>
              <w:pStyle w:val="246"/>
              <w:rPr>
                <w:rFonts w:eastAsiaTheme="minorEastAsia"/>
                <w:color w:val="auto"/>
              </w:rPr>
            </w:pPr>
            <w:r>
              <w:rPr>
                <w:rFonts w:eastAsiaTheme="minorEastAsia"/>
                <w:color w:val="auto"/>
              </w:rPr>
              <w:t>1</w:t>
            </w:r>
          </w:p>
        </w:tc>
        <w:tc>
          <w:tcPr>
            <w:tcW w:w="2609" w:type="dxa"/>
            <w:vAlign w:val="center"/>
          </w:tcPr>
          <w:p>
            <w:pPr>
              <w:pStyle w:val="246"/>
              <w:rPr>
                <w:rFonts w:eastAsiaTheme="minorEastAsia"/>
                <w:color w:val="auto"/>
              </w:rPr>
            </w:pPr>
            <w:r>
              <w:rPr>
                <w:rFonts w:eastAsiaTheme="minorEastAsia"/>
                <w:color w:val="auto"/>
              </w:rPr>
              <w:t>单位电耗</w:t>
            </w:r>
          </w:p>
        </w:tc>
        <w:tc>
          <w:tcPr>
            <w:tcW w:w="4071" w:type="dxa"/>
            <w:vAlign w:val="center"/>
          </w:tcPr>
          <w:p>
            <w:pPr>
              <w:pStyle w:val="246"/>
              <w:rPr>
                <w:rFonts w:eastAsiaTheme="minorEastAsia"/>
                <w:color w:val="auto"/>
              </w:rPr>
            </w:pPr>
            <w:r>
              <w:rPr>
                <w:rFonts w:eastAsiaTheme="minorEastAsia"/>
                <w:color w:val="auto"/>
              </w:rPr>
              <w:t>6.4kWh/m</w:t>
            </w:r>
            <w:r>
              <w:rPr>
                <w:rFonts w:eastAsiaTheme="minorEastAsia"/>
                <w:color w:val="auto"/>
                <w:vertAlign w:val="superscript"/>
              </w:rPr>
              <w:t>3</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57" w:hRule="atLeast"/>
          <w:jc w:val="center"/>
        </w:trPr>
        <w:tc>
          <w:tcPr>
            <w:tcW w:w="1791" w:type="dxa"/>
            <w:vAlign w:val="center"/>
          </w:tcPr>
          <w:p>
            <w:pPr>
              <w:pStyle w:val="246"/>
              <w:rPr>
                <w:rFonts w:eastAsiaTheme="minorEastAsia"/>
                <w:color w:val="auto"/>
              </w:rPr>
            </w:pPr>
            <w:r>
              <w:rPr>
                <w:rFonts w:eastAsiaTheme="minorEastAsia"/>
                <w:color w:val="auto"/>
              </w:rPr>
              <w:t>2</w:t>
            </w:r>
          </w:p>
        </w:tc>
        <w:tc>
          <w:tcPr>
            <w:tcW w:w="2609" w:type="dxa"/>
            <w:vAlign w:val="center"/>
          </w:tcPr>
          <w:p>
            <w:pPr>
              <w:pStyle w:val="246"/>
              <w:rPr>
                <w:rFonts w:eastAsiaTheme="minorEastAsia"/>
                <w:color w:val="auto"/>
              </w:rPr>
            </w:pPr>
            <w:r>
              <w:rPr>
                <w:rFonts w:eastAsiaTheme="minorEastAsia"/>
                <w:color w:val="auto"/>
              </w:rPr>
              <w:t>新鲜水</w:t>
            </w:r>
          </w:p>
        </w:tc>
        <w:tc>
          <w:tcPr>
            <w:tcW w:w="4071" w:type="dxa"/>
            <w:vAlign w:val="center"/>
          </w:tcPr>
          <w:p>
            <w:pPr>
              <w:pStyle w:val="246"/>
              <w:rPr>
                <w:rFonts w:eastAsiaTheme="minorEastAsia"/>
                <w:color w:val="auto"/>
              </w:rPr>
            </w:pPr>
            <w:r>
              <w:rPr>
                <w:rFonts w:hint="eastAsia" w:eastAsiaTheme="minorEastAsia"/>
                <w:color w:val="auto"/>
                <w:lang w:eastAsia="zh-CN"/>
              </w:rPr>
              <w:t>0.049t/</w:t>
            </w:r>
            <w:r>
              <w:rPr>
                <w:rFonts w:eastAsiaTheme="minorEastAsia"/>
                <w:color w:val="auto"/>
              </w:rPr>
              <w:t xml:space="preserve"> m</w:t>
            </w:r>
            <w:r>
              <w:rPr>
                <w:rFonts w:eastAsiaTheme="minorEastAsia"/>
                <w:color w:val="auto"/>
                <w:vertAlign w:val="superscript"/>
              </w:rPr>
              <w:t>3</w:t>
            </w:r>
          </w:p>
        </w:tc>
      </w:tr>
    </w:tbl>
    <w:p>
      <w:pPr>
        <w:pStyle w:val="276"/>
        <w:rPr>
          <w:rFonts w:eastAsiaTheme="minorEastAsia"/>
          <w:color w:val="auto"/>
        </w:rPr>
      </w:pPr>
      <w:r>
        <w:rPr>
          <w:rFonts w:eastAsiaTheme="minorEastAsia"/>
          <w:color w:val="auto"/>
        </w:rPr>
        <w:t>新鲜水利用分析：</w:t>
      </w:r>
    </w:p>
    <w:p>
      <w:pPr>
        <w:pStyle w:val="276"/>
        <w:spacing w:line="360" w:lineRule="auto"/>
        <w:rPr>
          <w:rFonts w:eastAsiaTheme="minorEastAsia"/>
          <w:color w:val="auto"/>
        </w:rPr>
      </w:pPr>
      <w:r>
        <w:rPr>
          <w:rFonts w:eastAsiaTheme="minorEastAsia"/>
          <w:color w:val="auto"/>
          <w:position w:val="-26"/>
        </w:rPr>
        <w:object>
          <v:shape id="_x0000_i1033" o:spt="75" type="#_x0000_t75" style="height:36pt;width:224.8pt;" o:ole="t" filled="f" o:preferrelative="t" stroked="f" coordsize="21600,21600">
            <v:path/>
            <v:fill on="f" focussize="0,0"/>
            <v:stroke on="f"/>
            <v:imagedata r:id="rId29" o:title=""/>
            <o:lock v:ext="edit" aspectratio="t"/>
            <w10:wrap type="none"/>
            <w10:anchorlock/>
          </v:shape>
          <o:OLEObject Type="Embed" ProgID="Equation.3" ShapeID="_x0000_i1033" DrawAspect="Content" ObjectID="_1468075733" r:id="rId28">
            <o:LockedField>false</o:LockedField>
          </o:OLEObject>
        </w:object>
      </w:r>
    </w:p>
    <w:p>
      <w:pPr>
        <w:pStyle w:val="276"/>
        <w:rPr>
          <w:rFonts w:eastAsiaTheme="minorEastAsia"/>
          <w:color w:val="auto"/>
        </w:rPr>
      </w:pPr>
      <w:r>
        <w:rPr>
          <w:rFonts w:eastAsiaTheme="minorEastAsia"/>
          <w:color w:val="auto"/>
        </w:rPr>
        <w:t>本项目新鲜水用量为</w:t>
      </w:r>
      <w:r>
        <w:rPr>
          <w:rFonts w:hint="eastAsia" w:eastAsiaTheme="minorEastAsia"/>
          <w:color w:val="auto"/>
          <w:lang w:eastAsia="zh-CN"/>
        </w:rPr>
        <w:t>1471</w:t>
      </w:r>
      <w:r>
        <w:rPr>
          <w:rFonts w:eastAsiaTheme="minorEastAsia"/>
          <w:color w:val="auto"/>
        </w:rPr>
        <w:t>t/a，年产品</w:t>
      </w:r>
      <w:r>
        <w:rPr>
          <w:rFonts w:hint="eastAsia" w:eastAsiaTheme="minorEastAsia"/>
          <w:color w:val="auto"/>
          <w:lang w:eastAsia="zh-CN"/>
        </w:rPr>
        <w:t>30000</w:t>
      </w:r>
      <w:r>
        <w:rPr>
          <w:rFonts w:eastAsiaTheme="minorEastAsia"/>
          <w:color w:val="auto"/>
        </w:rPr>
        <w:t>m</w:t>
      </w:r>
      <w:r>
        <w:rPr>
          <w:rFonts w:eastAsiaTheme="minorEastAsia"/>
          <w:color w:val="auto"/>
          <w:vertAlign w:val="superscript"/>
        </w:rPr>
        <w:t>3</w:t>
      </w:r>
      <w:r>
        <w:rPr>
          <w:rFonts w:eastAsiaTheme="minorEastAsia"/>
          <w:color w:val="auto"/>
        </w:rPr>
        <w:t>，因此单产品新鲜水用量为</w:t>
      </w:r>
      <w:r>
        <w:rPr>
          <w:rFonts w:hint="eastAsia" w:eastAsiaTheme="minorEastAsia"/>
          <w:color w:val="auto"/>
          <w:lang w:eastAsia="zh-CN"/>
        </w:rPr>
        <w:t>0.049t/</w:t>
      </w:r>
      <w:r>
        <w:rPr>
          <w:rFonts w:eastAsiaTheme="minorEastAsia"/>
          <w:color w:val="auto"/>
        </w:rPr>
        <w:t xml:space="preserve"> m</w:t>
      </w:r>
      <w:r>
        <w:rPr>
          <w:rFonts w:eastAsiaTheme="minorEastAsia"/>
          <w:color w:val="auto"/>
          <w:vertAlign w:val="superscript"/>
        </w:rPr>
        <w:t>3</w:t>
      </w:r>
      <w:r>
        <w:rPr>
          <w:rFonts w:eastAsiaTheme="minorEastAsia"/>
          <w:color w:val="auto"/>
        </w:rPr>
        <w:t>。</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3.4.3产品指标</w:t>
      </w:r>
    </w:p>
    <w:p>
      <w:pPr>
        <w:pStyle w:val="276"/>
        <w:jc w:val="both"/>
        <w:rPr>
          <w:rFonts w:eastAsiaTheme="minorEastAsia"/>
          <w:color w:val="auto"/>
        </w:rPr>
      </w:pPr>
      <w:r>
        <w:rPr>
          <w:rFonts w:eastAsiaTheme="minorEastAsia"/>
          <w:color w:val="auto"/>
        </w:rPr>
        <w:t>本项目可生产加工不同规格的建筑用碎石，产品方案根据市场需求确定，组织生产。该项目生产加工的建筑用碎石产品能够满足市场需求，产品符合中华人民共和国地质矿产行业标准《建筑用卵石、碎石》（GB/T14685-2011）中的标准要求。</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3.4.4污染物产生指标</w:t>
      </w:r>
    </w:p>
    <w:p>
      <w:pPr>
        <w:pStyle w:val="276"/>
        <w:rPr>
          <w:rFonts w:eastAsiaTheme="minorEastAsia"/>
          <w:color w:val="auto"/>
        </w:rPr>
      </w:pPr>
      <w:r>
        <w:rPr>
          <w:rFonts w:eastAsiaTheme="minorEastAsia"/>
          <w:color w:val="auto"/>
        </w:rPr>
        <w:t>本项目生产废水全部用于降尘，不外排；生活污水排入防渗旱厕，定期清掏外运堆肥；生产设备产生噪声强度70-102 dB（A），爆破噪声为120 dB（A）；生活垃圾产生量1.2t/a，整个开采期剥离土岩</w:t>
      </w:r>
      <w:r>
        <w:rPr>
          <w:rFonts w:hint="eastAsia" w:eastAsiaTheme="minorEastAsia"/>
          <w:color w:val="auto"/>
          <w:lang w:eastAsia="zh-CN"/>
        </w:rPr>
        <w:t>9</w:t>
      </w:r>
      <w:r>
        <w:rPr>
          <w:rFonts w:hint="eastAsia" w:eastAsiaTheme="minorEastAsia"/>
          <w:color w:val="auto"/>
          <w:lang w:val="en-US" w:eastAsia="zh-CN"/>
        </w:rPr>
        <w:t>29</w:t>
      </w:r>
      <w:r>
        <w:rPr>
          <w:rFonts w:eastAsiaTheme="minorEastAsia"/>
          <w:color w:val="auto"/>
        </w:rPr>
        <w:t>m</w:t>
      </w:r>
      <w:r>
        <w:rPr>
          <w:rFonts w:eastAsiaTheme="minorEastAsia"/>
          <w:color w:val="auto"/>
          <w:vertAlign w:val="superscript"/>
        </w:rPr>
        <w:t>3</w:t>
      </w:r>
      <w:r>
        <w:rPr>
          <w:rFonts w:eastAsiaTheme="minorEastAsia"/>
          <w:color w:val="auto"/>
        </w:rPr>
        <w:t>，炸药包装物产生量为4.6t/a。</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3.4.5废物回收利用指标</w:t>
      </w:r>
    </w:p>
    <w:p>
      <w:pPr>
        <w:pStyle w:val="276"/>
        <w:rPr>
          <w:rFonts w:eastAsiaTheme="minorEastAsia"/>
          <w:color w:val="auto"/>
        </w:rPr>
      </w:pPr>
      <w:r>
        <w:rPr>
          <w:rFonts w:eastAsiaTheme="minorEastAsia"/>
          <w:color w:val="auto"/>
        </w:rPr>
        <w:t>本项目剥离的土岩</w:t>
      </w:r>
      <w:r>
        <w:rPr>
          <w:rFonts w:hint="eastAsia" w:eastAsiaTheme="minorEastAsia"/>
          <w:color w:val="auto"/>
          <w:lang w:eastAsia="zh-CN"/>
        </w:rPr>
        <w:t>3.87</w:t>
      </w:r>
      <w:r>
        <w:rPr>
          <w:rFonts w:eastAsiaTheme="minorEastAsia"/>
          <w:color w:val="auto"/>
        </w:rPr>
        <w:t>m</w:t>
      </w:r>
      <w:r>
        <w:rPr>
          <w:rFonts w:eastAsiaTheme="minorEastAsia"/>
          <w:color w:val="auto"/>
          <w:vertAlign w:val="superscript"/>
        </w:rPr>
        <w:t>3</w:t>
      </w:r>
      <w:r>
        <w:rPr>
          <w:rFonts w:eastAsiaTheme="minorEastAsia"/>
          <w:color w:val="auto"/>
        </w:rPr>
        <w:t>/d，</w:t>
      </w:r>
      <w:r>
        <w:rPr>
          <w:rFonts w:hint="eastAsia" w:eastAsiaTheme="minorEastAsia"/>
          <w:color w:val="auto"/>
          <w:lang w:eastAsia="zh-CN"/>
        </w:rPr>
        <w:t>9</w:t>
      </w:r>
      <w:r>
        <w:rPr>
          <w:rFonts w:hint="eastAsia" w:eastAsiaTheme="minorEastAsia"/>
          <w:color w:val="auto"/>
          <w:lang w:val="en-US" w:eastAsia="zh-CN"/>
        </w:rPr>
        <w:t>29</w:t>
      </w:r>
      <w:r>
        <w:rPr>
          <w:rFonts w:eastAsiaTheme="minorEastAsia"/>
          <w:color w:val="auto"/>
        </w:rPr>
        <w:t>m</w:t>
      </w:r>
      <w:r>
        <w:rPr>
          <w:rFonts w:eastAsiaTheme="minorEastAsia"/>
          <w:color w:val="auto"/>
          <w:vertAlign w:val="superscript"/>
        </w:rPr>
        <w:t>3</w:t>
      </w:r>
      <w:r>
        <w:rPr>
          <w:rFonts w:eastAsiaTheme="minorEastAsia"/>
          <w:color w:val="auto"/>
        </w:rPr>
        <w:t>/a，暂存于临时堆土场，定期外售。</w:t>
      </w:r>
    </w:p>
    <w:p>
      <w:pPr>
        <w:pStyle w:val="276"/>
        <w:rPr>
          <w:rFonts w:eastAsiaTheme="minorEastAsia"/>
          <w:color w:val="auto"/>
        </w:rPr>
      </w:pPr>
      <w:r>
        <w:rPr>
          <w:rFonts w:eastAsiaTheme="minorEastAsia"/>
          <w:color w:val="auto"/>
        </w:rPr>
        <w:t>布袋除尘器收集的粉尘量约为</w:t>
      </w:r>
      <w:r>
        <w:rPr>
          <w:rFonts w:hint="eastAsia" w:eastAsiaTheme="minorEastAsia"/>
          <w:color w:val="auto"/>
          <w:lang w:eastAsia="zh-CN"/>
        </w:rPr>
        <w:t>7.4t/a</w:t>
      </w:r>
      <w:r>
        <w:rPr>
          <w:rFonts w:eastAsiaTheme="minorEastAsia"/>
          <w:color w:val="auto"/>
        </w:rPr>
        <w:t>，</w:t>
      </w:r>
      <w:r>
        <w:rPr>
          <w:rFonts w:hint="eastAsia" w:eastAsiaTheme="minorEastAsia"/>
          <w:color w:val="auto"/>
          <w:lang w:eastAsia="zh-CN"/>
        </w:rPr>
        <w:t>0.031t/d</w:t>
      </w:r>
      <w:r>
        <w:rPr>
          <w:rFonts w:eastAsiaTheme="minorEastAsia"/>
          <w:color w:val="auto"/>
        </w:rPr>
        <w:t>，筛分下来石粉约</w:t>
      </w:r>
      <w:r>
        <w:rPr>
          <w:rFonts w:hint="eastAsia" w:eastAsiaTheme="minorEastAsia"/>
          <w:color w:val="auto"/>
          <w:lang w:eastAsia="zh-CN"/>
        </w:rPr>
        <w:t>101</w:t>
      </w:r>
      <w:r>
        <w:rPr>
          <w:rFonts w:eastAsiaTheme="minorEastAsia"/>
          <w:color w:val="auto"/>
        </w:rPr>
        <w:t>t/a，集中收集至新建的</w:t>
      </w:r>
      <w:r>
        <w:rPr>
          <w:rFonts w:hint="eastAsia" w:eastAsiaTheme="minorEastAsia"/>
          <w:color w:val="auto"/>
          <w:lang w:val="en-US" w:eastAsia="zh-CN"/>
        </w:rPr>
        <w:t>3</w:t>
      </w:r>
      <w:r>
        <w:rPr>
          <w:rFonts w:eastAsiaTheme="minorEastAsia"/>
          <w:color w:val="auto"/>
        </w:rPr>
        <w:t>0t全封闭石粉仓中储存，</w:t>
      </w:r>
      <w:r>
        <w:rPr>
          <w:rFonts w:hint="eastAsia" w:eastAsiaTheme="minorEastAsia"/>
          <w:color w:val="auto"/>
          <w:lang w:eastAsia="zh-CN"/>
        </w:rPr>
        <w:t>定期外售</w:t>
      </w:r>
      <w:r>
        <w:rPr>
          <w:rFonts w:eastAsiaTheme="minorEastAsia"/>
          <w:color w:val="auto"/>
        </w:rPr>
        <w:t>。</w:t>
      </w:r>
    </w:p>
    <w:p>
      <w:pPr>
        <w:pStyle w:val="276"/>
        <w:rPr>
          <w:rFonts w:eastAsiaTheme="minorEastAsia"/>
          <w:color w:val="auto"/>
        </w:rPr>
      </w:pPr>
      <w:r>
        <w:rPr>
          <w:rFonts w:eastAsiaTheme="minorEastAsia"/>
          <w:color w:val="auto"/>
        </w:rPr>
        <w:t>炸药包装物主要是板纸和塑料袋，产生量0.4t/a，包装物统一收集，由爆破部门统一回收利用。</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3.4.6环境管理要求</w:t>
      </w:r>
    </w:p>
    <w:p>
      <w:pPr>
        <w:pStyle w:val="276"/>
        <w:rPr>
          <w:rFonts w:eastAsiaTheme="minorEastAsia"/>
          <w:color w:val="auto"/>
        </w:rPr>
      </w:pPr>
      <w:r>
        <w:rPr>
          <w:rFonts w:eastAsiaTheme="minorEastAsia"/>
          <w:color w:val="auto"/>
        </w:rPr>
        <w:t>（1）符合国家和地方有关环境法律、法规，污染物排放达到国家排放标准。</w:t>
      </w:r>
    </w:p>
    <w:p>
      <w:pPr>
        <w:pStyle w:val="276"/>
        <w:rPr>
          <w:rFonts w:eastAsiaTheme="minorEastAsia"/>
          <w:color w:val="auto"/>
        </w:rPr>
      </w:pPr>
      <w:r>
        <w:rPr>
          <w:rFonts w:eastAsiaTheme="minorEastAsia"/>
          <w:color w:val="auto"/>
        </w:rPr>
        <w:t>（2）设置专门环境管理人员。</w:t>
      </w:r>
    </w:p>
    <w:p>
      <w:pPr>
        <w:pStyle w:val="276"/>
        <w:rPr>
          <w:rFonts w:eastAsiaTheme="minorEastAsia"/>
          <w:color w:val="auto"/>
        </w:rPr>
      </w:pPr>
      <w:r>
        <w:rPr>
          <w:rFonts w:eastAsiaTheme="minorEastAsia"/>
          <w:color w:val="auto"/>
        </w:rPr>
        <w:t>（3）按照《清洁生产审核暂行办法》要求进行了审核；按照GB/T 24001建立并运行环境管理体系，环境管理手册、程序文件及作业文件齐备，原始记录及统计数据齐全有效。</w:t>
      </w:r>
    </w:p>
    <w:p>
      <w:pPr>
        <w:pStyle w:val="276"/>
        <w:rPr>
          <w:rFonts w:eastAsiaTheme="minorEastAsia"/>
          <w:color w:val="auto"/>
        </w:rPr>
      </w:pPr>
      <w:r>
        <w:rPr>
          <w:rFonts w:eastAsiaTheme="minorEastAsia"/>
          <w:color w:val="auto"/>
        </w:rPr>
        <w:t>（4）主要岗位经过培训，建立完善的管理制度并严格执行。</w:t>
      </w:r>
    </w:p>
    <w:p>
      <w:pPr>
        <w:pStyle w:val="276"/>
        <w:rPr>
          <w:rFonts w:eastAsiaTheme="minorEastAsia"/>
          <w:color w:val="auto"/>
        </w:rPr>
      </w:pPr>
      <w:r>
        <w:rPr>
          <w:rFonts w:eastAsiaTheme="minorEastAsia"/>
          <w:color w:val="auto"/>
        </w:rPr>
        <w:t>（5）针对露天采场、道路、临时堆土场和产品料场等采取洒水降尘等措施控制无组织粉尘的排放。</w:t>
      </w:r>
    </w:p>
    <w:p>
      <w:pPr>
        <w:pStyle w:val="276"/>
        <w:rPr>
          <w:rFonts w:eastAsiaTheme="minorEastAsia"/>
          <w:color w:val="auto"/>
        </w:rPr>
      </w:pPr>
      <w:r>
        <w:rPr>
          <w:rFonts w:eastAsiaTheme="minorEastAsia"/>
          <w:color w:val="auto"/>
        </w:rPr>
        <w:t>（6）设置临时堆土场，并在四周配套建设排水沟和挡墙，防止水土流失。</w:t>
      </w:r>
    </w:p>
    <w:p>
      <w:pPr>
        <w:pStyle w:val="276"/>
        <w:rPr>
          <w:rFonts w:eastAsiaTheme="minorEastAsia"/>
          <w:color w:val="auto"/>
        </w:rPr>
      </w:pPr>
      <w:r>
        <w:rPr>
          <w:rFonts w:eastAsiaTheme="minorEastAsia"/>
          <w:color w:val="auto"/>
        </w:rPr>
        <w:t>（7）具有完整的复垦计划，植被恢复率达到100%。</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3.4.7清洁生产评价结论</w:t>
      </w:r>
    </w:p>
    <w:p>
      <w:pPr>
        <w:pStyle w:val="276"/>
        <w:rPr>
          <w:rFonts w:eastAsiaTheme="minorEastAsia"/>
          <w:color w:val="auto"/>
        </w:rPr>
      </w:pPr>
      <w:r>
        <w:rPr>
          <w:rFonts w:eastAsiaTheme="minorEastAsia"/>
          <w:color w:val="auto"/>
        </w:rPr>
        <w:t>该项目的建设及生产采用先进技术，利用先进生产技术有效地提高了资源、能源的利用率，达到增效、节能、降耗、减污的清洁生产目标，本项目从生产工艺与装备要求、资源能源利用、产品、污染物产生、废物回收利用和环境管理要求等方面指标进行分析比较，本项目清洁生产能达到国内先进水平。</w:t>
      </w:r>
    </w:p>
    <w:bookmarkEnd w:id="128"/>
    <w:p>
      <w:pPr>
        <w:rPr>
          <w:rFonts w:eastAsiaTheme="minorEastAsia"/>
          <w:color w:val="auto"/>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pPr>
        <w:pStyle w:val="236"/>
        <w:rPr>
          <w:rFonts w:eastAsiaTheme="minorEastAsia"/>
          <w:color w:val="auto"/>
        </w:rPr>
      </w:pPr>
      <w:bookmarkStart w:id="129" w:name="_Toc440973704"/>
      <w:bookmarkStart w:id="130" w:name="_Toc440973438"/>
      <w:bookmarkStart w:id="131" w:name="_Toc519693570"/>
      <w:bookmarkStart w:id="132" w:name="_Toc419096878"/>
      <w:bookmarkStart w:id="133" w:name="_Toc415472070"/>
      <w:r>
        <w:rPr>
          <w:rFonts w:eastAsiaTheme="minorEastAsia"/>
          <w:color w:val="auto"/>
        </w:rPr>
        <w:t>4项目所在区域环境</w:t>
      </w:r>
      <w:bookmarkEnd w:id="129"/>
      <w:bookmarkEnd w:id="130"/>
      <w:r>
        <w:rPr>
          <w:rFonts w:eastAsiaTheme="minorEastAsia"/>
          <w:color w:val="auto"/>
        </w:rPr>
        <w:t>现状调查与评价</w:t>
      </w:r>
      <w:bookmarkEnd w:id="131"/>
    </w:p>
    <w:p>
      <w:pPr>
        <w:pStyle w:val="238"/>
        <w:rPr>
          <w:rFonts w:hAnsi="Times New Roman" w:eastAsiaTheme="minorEastAsia"/>
          <w:color w:val="auto"/>
        </w:rPr>
      </w:pPr>
      <w:bookmarkStart w:id="134" w:name="_Toc10748"/>
      <w:bookmarkStart w:id="135" w:name="_Toc519693571"/>
      <w:r>
        <w:rPr>
          <w:rFonts w:hAnsi="Times New Roman" w:eastAsiaTheme="minorEastAsia"/>
          <w:color w:val="auto"/>
        </w:rPr>
        <w:t>4.1自然环境概况</w:t>
      </w:r>
      <w:bookmarkEnd w:id="134"/>
      <w:bookmarkEnd w:id="135"/>
    </w:p>
    <w:p>
      <w:pPr>
        <w:pStyle w:val="240"/>
        <w:rPr>
          <w:rFonts w:ascii="Times New Roman" w:hAnsi="Times New Roman" w:cs="Times New Roman" w:eastAsiaTheme="minorEastAsia"/>
          <w:color w:val="auto"/>
        </w:rPr>
      </w:pPr>
      <w:bookmarkStart w:id="136" w:name="_Toc29425"/>
      <w:r>
        <w:rPr>
          <w:rFonts w:ascii="Times New Roman" w:hAnsi="Times New Roman" w:cs="Times New Roman" w:eastAsiaTheme="minorEastAsia"/>
          <w:color w:val="auto"/>
        </w:rPr>
        <w:t>4.1.1地理位置</w:t>
      </w:r>
      <w:bookmarkEnd w:id="136"/>
    </w:p>
    <w:p>
      <w:pPr>
        <w:pStyle w:val="276"/>
        <w:rPr>
          <w:rFonts w:eastAsiaTheme="minorEastAsia"/>
          <w:color w:val="auto"/>
        </w:rPr>
      </w:pPr>
      <w:r>
        <w:rPr>
          <w:rFonts w:cs="Times New Roman"/>
          <w:color w:val="auto"/>
        </w:rPr>
        <w:t>佳木斯位于中国东北的松花江、黑龙江、乌苏里江汇流而成的三江平原腹地，南起北纬45°56′至48°28′，西起东经129°29′至135°5′。隔乌苏里江、黑龙江与俄罗斯哈巴罗夫斯克（中国称伯力）、比罗比詹相望。</w:t>
      </w:r>
    </w:p>
    <w:p>
      <w:pPr>
        <w:pStyle w:val="276"/>
        <w:rPr>
          <w:rFonts w:hint="eastAsia" w:eastAsiaTheme="minorEastAsia"/>
          <w:color w:val="auto"/>
          <w:lang w:eastAsia="zh-CN"/>
        </w:rPr>
      </w:pPr>
      <w:r>
        <w:rPr>
          <w:rFonts w:eastAsiaTheme="minorEastAsia"/>
          <w:color w:val="auto"/>
        </w:rPr>
        <w:t>本项目矿区位于</w:t>
      </w:r>
      <w:r>
        <w:rPr>
          <w:rFonts w:hint="eastAsia" w:eastAsiaTheme="minorEastAsia"/>
          <w:color w:val="auto"/>
          <w:lang w:eastAsia="zh-CN"/>
        </w:rPr>
        <w:t>佳木斯市郊区沿江乡新华村南约450m处</w:t>
      </w:r>
      <w:r>
        <w:rPr>
          <w:rFonts w:eastAsiaTheme="minorEastAsia"/>
          <w:color w:val="auto"/>
        </w:rPr>
        <w:t>，地理坐标：</w:t>
      </w:r>
      <w:r>
        <w:rPr>
          <w:rFonts w:eastAsiaTheme="minorEastAsia"/>
          <w:color w:val="auto"/>
        </w:rPr>
        <w:t>东经</w:t>
      </w:r>
      <w:r>
        <w:rPr>
          <w:rFonts w:hint="eastAsia" w:eastAsiaTheme="minorEastAsia"/>
          <w:color w:val="auto"/>
        </w:rPr>
        <w:t>130.188995°</w:t>
      </w:r>
      <w:r>
        <w:rPr>
          <w:rFonts w:eastAsiaTheme="minorEastAsia"/>
          <w:color w:val="auto"/>
        </w:rPr>
        <w:t>，北纬：</w:t>
      </w:r>
      <w:r>
        <w:rPr>
          <w:rFonts w:hint="eastAsia" w:eastAsiaTheme="minorEastAsia"/>
          <w:color w:val="auto"/>
        </w:rPr>
        <w:t>46.746032°</w:t>
      </w:r>
      <w:r>
        <w:rPr>
          <w:rFonts w:eastAsiaTheme="minorEastAsia"/>
          <w:color w:val="auto"/>
        </w:rPr>
        <w:t>。矿区</w:t>
      </w:r>
      <w:r>
        <w:rPr>
          <w:rFonts w:hint="eastAsia" w:eastAsiaTheme="minorEastAsia"/>
          <w:color w:val="auto"/>
          <w:lang w:eastAsia="zh-CN"/>
        </w:rPr>
        <w:t>南侧</w:t>
      </w:r>
      <w:r>
        <w:rPr>
          <w:rFonts w:eastAsiaTheme="minorEastAsia"/>
          <w:color w:val="auto"/>
        </w:rPr>
        <w:t>有少量</w:t>
      </w:r>
      <w:r>
        <w:rPr>
          <w:rFonts w:hint="eastAsia" w:eastAsiaTheme="minorEastAsia"/>
          <w:color w:val="auto"/>
          <w:lang w:eastAsia="zh-CN"/>
        </w:rPr>
        <w:t>林地</w:t>
      </w:r>
      <w:r>
        <w:rPr>
          <w:rFonts w:eastAsiaTheme="minorEastAsia"/>
          <w:color w:val="auto"/>
        </w:rPr>
        <w:t>，</w:t>
      </w:r>
      <w:r>
        <w:rPr>
          <w:rFonts w:hint="eastAsia" w:eastAsiaTheme="minorEastAsia"/>
          <w:color w:val="auto"/>
          <w:lang w:eastAsia="zh-CN"/>
        </w:rPr>
        <w:t>其余周边均为耕地。</w:t>
      </w:r>
    </w:p>
    <w:p>
      <w:pPr>
        <w:pStyle w:val="276"/>
        <w:rPr>
          <w:rFonts w:hint="eastAsia" w:eastAsiaTheme="minorEastAsia"/>
          <w:color w:val="auto"/>
          <w:lang w:eastAsia="zh-CN"/>
        </w:rPr>
      </w:pPr>
    </w:p>
    <w:p>
      <w:pPr>
        <w:pStyle w:val="276"/>
        <w:rPr>
          <w:rFonts w:hint="eastAsia" w:eastAsiaTheme="minorEastAsia"/>
          <w:color w:val="auto"/>
          <w:lang w:eastAsia="zh-CN"/>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pPr>
        <w:spacing w:line="240" w:lineRule="auto"/>
        <w:rPr>
          <w:rFonts w:eastAsiaTheme="minorEastAsia"/>
          <w:color w:val="auto"/>
        </w:rPr>
      </w:pPr>
    </w:p>
    <w:p>
      <w:pPr>
        <w:pStyle w:val="244"/>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eastAsiaTheme="minorEastAsia"/>
          <w:color w:val="auto"/>
        </w:rPr>
      </w:pPr>
      <w:r>
        <w:rPr>
          <w:color w:val="auto"/>
        </w:rPr>
        <w:drawing>
          <wp:anchor distT="0" distB="0" distL="114300" distR="114300" simplePos="0" relativeHeight="270204928" behindDoc="0" locked="0" layoutInCell="1" allowOverlap="1">
            <wp:simplePos x="0" y="0"/>
            <wp:positionH relativeFrom="column">
              <wp:posOffset>7174865</wp:posOffset>
            </wp:positionH>
            <wp:positionV relativeFrom="paragraph">
              <wp:posOffset>53340</wp:posOffset>
            </wp:positionV>
            <wp:extent cx="828675" cy="838200"/>
            <wp:effectExtent l="0" t="0" r="9525" b="0"/>
            <wp:wrapNone/>
            <wp:docPr id="49"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30"/>
                    <pic:cNvPicPr>
                      <a:picLocks noChangeAspect="1"/>
                    </pic:cNvPicPr>
                  </pic:nvPicPr>
                  <pic:blipFill>
                    <a:blip r:embed="rId30"/>
                    <a:stretch>
                      <a:fillRect/>
                    </a:stretch>
                  </pic:blipFill>
                  <pic:spPr>
                    <a:xfrm>
                      <a:off x="0" y="0"/>
                      <a:ext cx="828675" cy="838200"/>
                    </a:xfrm>
                    <a:prstGeom prst="rect">
                      <a:avLst/>
                    </a:prstGeom>
                    <a:noFill/>
                    <a:ln w="9525">
                      <a:noFill/>
                    </a:ln>
                  </pic:spPr>
                </pic:pic>
              </a:graphicData>
            </a:graphic>
          </wp:anchor>
        </w:drawing>
      </w:r>
      <w:r>
        <w:rPr>
          <w:rFonts w:eastAsiaTheme="minorEastAsia"/>
          <w:color w:val="auto"/>
        </w:rPr>
        <mc:AlternateContent>
          <mc:Choice Requires="wps">
            <w:drawing>
              <wp:anchor distT="0" distB="0" distL="114300" distR="114300" simplePos="0" relativeHeight="251728896" behindDoc="0" locked="0" layoutInCell="1" allowOverlap="1">
                <wp:simplePos x="0" y="0"/>
                <wp:positionH relativeFrom="column">
                  <wp:posOffset>2081530</wp:posOffset>
                </wp:positionH>
                <wp:positionV relativeFrom="paragraph">
                  <wp:posOffset>3517900</wp:posOffset>
                </wp:positionV>
                <wp:extent cx="942975" cy="304800"/>
                <wp:effectExtent l="12700" t="12700" r="415925" b="25400"/>
                <wp:wrapNone/>
                <wp:docPr id="50" name="矩形标注 50"/>
                <wp:cNvGraphicFramePr/>
                <a:graphic xmlns:a="http://schemas.openxmlformats.org/drawingml/2006/main">
                  <a:graphicData uri="http://schemas.microsoft.com/office/word/2010/wordprocessingShape">
                    <wps:wsp>
                      <wps:cNvSpPr/>
                      <wps:spPr>
                        <a:xfrm>
                          <a:off x="0" y="0"/>
                          <a:ext cx="942975" cy="304800"/>
                        </a:xfrm>
                        <a:prstGeom prst="wedgeRectCallout">
                          <a:avLst>
                            <a:gd name="adj1" fmla="val 92626"/>
                            <a:gd name="adj2" fmla="val -49583"/>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pPr>
                            <w:r>
                              <w:rPr>
                                <w:rFonts w:hint="eastAsia"/>
                              </w:rPr>
                              <w:t>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163.9pt;margin-top:277pt;height:24pt;width:74.25pt;z-index:251728896;v-text-anchor:middle;mso-width-relative:page;mso-height-relative:page;" fillcolor="#FF0000" filled="t" stroked="t" coordsize="21600,21600" o:gfxdata="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B3yVPTZAAAACwEAAA8AAAAA&#10;AAAAAQAgAAAAIgAAAGRycy9kb3ducmV2LnhtbFBLAQIUABQAAAAIAIdO4kBnjoeDhQIAAP8EAAAO&#10;AAAAAAAAAAEAIAAAACgBAABkcnMvZTJvRG9jLnhtbFBLBQYAAAAABgAGAFkBAAAfBgAAAAA=&#10;" adj="30807,90">
                <v:fill on="t" focussize="0,0"/>
                <v:stroke weight="2pt" color="#FF0000 [3204]"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pPr>
                      <w:r>
                        <w:rPr>
                          <w:rFonts w:hint="eastAsia"/>
                        </w:rPr>
                        <w:t>项目位置</w:t>
                      </w:r>
                    </w:p>
                  </w:txbxContent>
                </v:textbox>
              </v:shape>
            </w:pict>
          </mc:Fallback>
        </mc:AlternateContent>
      </w:r>
      <w:r>
        <w:rPr>
          <w:rFonts w:eastAsiaTheme="minorEastAsia"/>
          <w:color w:val="auto"/>
        </w:rPr>
        <mc:AlternateContent>
          <mc:Choice Requires="wps">
            <w:drawing>
              <wp:anchor distT="0" distB="0" distL="114300" distR="114300" simplePos="0" relativeHeight="251763712" behindDoc="0" locked="0" layoutInCell="1" allowOverlap="1">
                <wp:simplePos x="0" y="0"/>
                <wp:positionH relativeFrom="column">
                  <wp:posOffset>3457575</wp:posOffset>
                </wp:positionH>
                <wp:positionV relativeFrom="paragraph">
                  <wp:posOffset>3458210</wp:posOffset>
                </wp:positionV>
                <wp:extent cx="76200" cy="76200"/>
                <wp:effectExtent l="12700" t="12700" r="25400" b="25400"/>
                <wp:wrapNone/>
                <wp:docPr id="51" name="椭圆 51"/>
                <wp:cNvGraphicFramePr/>
                <a:graphic xmlns:a="http://schemas.openxmlformats.org/drawingml/2006/main">
                  <a:graphicData uri="http://schemas.microsoft.com/office/word/2010/wordprocessingShape">
                    <wps:wsp>
                      <wps:cNvSpPr/>
                      <wps:spPr>
                        <a:xfrm>
                          <a:off x="4897120" y="3065145"/>
                          <a:ext cx="76200" cy="76200"/>
                        </a:xfrm>
                        <a:prstGeom prst="ellipse">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72.25pt;margin-top:272.3pt;height:6pt;width:6pt;z-index:251763712;v-text-anchor:middle;mso-width-relative:page;mso-height-relative:page;" fillcolor="#FF0000" filled="t" stroked="t" coordsize="21600,21600" o:gfxdata="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5xon99UAAAALAQAADwAA&#10;AAAAAAABACAAAAAiAAAAZHJzL2Rvd25yZXYueG1sUEsBAhQAFAAAAAgAh07iQKrQUOVSAgAAnQQA&#10;AA4AAAAAAAAAAQAgAAAAJAEAAGRycy9lMm9Eb2MueG1sUEsFBgAAAAAGAAYAWQEAAOgFAAAAAA==&#10;">
                <v:fill on="t" focussize="0,0"/>
                <v:stroke weight="2pt" color="#FF0000 [3204]" joinstyle="round"/>
                <v:imagedata o:title=""/>
                <o:lock v:ext="edit" aspectratio="f"/>
              </v:shape>
            </w:pict>
          </mc:Fallback>
        </mc:AlternateContent>
      </w:r>
      <w:r>
        <w:rPr>
          <w:rFonts w:eastAsiaTheme="minorEastAsia"/>
          <w:color w:val="auto"/>
        </w:rPr>
        <w:drawing>
          <wp:inline distT="0" distB="0" distL="114300" distR="114300">
            <wp:extent cx="7172325" cy="4471670"/>
            <wp:effectExtent l="0" t="0" r="9525" b="5080"/>
            <wp:docPr id="16" name="图片 16" descr="TIM截图20181207110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TIM截图20181207110616"/>
                    <pic:cNvPicPr>
                      <a:picLocks noChangeAspect="1"/>
                    </pic:cNvPicPr>
                  </pic:nvPicPr>
                  <pic:blipFill>
                    <a:blip r:embed="rId31"/>
                    <a:stretch>
                      <a:fillRect/>
                    </a:stretch>
                  </pic:blipFill>
                  <pic:spPr>
                    <a:xfrm>
                      <a:off x="0" y="0"/>
                      <a:ext cx="7172325" cy="4471670"/>
                    </a:xfrm>
                    <a:prstGeom prst="rect">
                      <a:avLst/>
                    </a:prstGeom>
                  </pic:spPr>
                </pic:pic>
              </a:graphicData>
            </a:graphic>
          </wp:inline>
        </w:drawing>
      </w:r>
    </w:p>
    <w:p>
      <w:pPr>
        <w:pStyle w:val="244"/>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eastAsiaTheme="minorEastAsia"/>
          <w:color w:val="auto"/>
        </w:rPr>
        <w:sectPr>
          <w:pgSz w:w="16838" w:h="11906" w:orient="landscape"/>
          <w:pgMar w:top="1800" w:right="1440" w:bottom="1800" w:left="1440" w:header="851" w:footer="992" w:gutter="0"/>
          <w:pgBorders>
            <w:top w:val="none" w:sz="0" w:space="0"/>
            <w:left w:val="none" w:sz="0" w:space="0"/>
            <w:bottom w:val="none" w:sz="0" w:space="0"/>
            <w:right w:val="none" w:sz="0" w:space="0"/>
          </w:pgBorders>
          <w:cols w:space="720" w:num="1"/>
          <w:docGrid w:type="lines" w:linePitch="312" w:charSpace="0"/>
        </w:sectPr>
      </w:pPr>
      <w:r>
        <w:rPr>
          <w:rFonts w:eastAsiaTheme="minorEastAsia"/>
          <w:color w:val="auto"/>
        </w:rPr>
        <w:t>图4-1-1  本项目地理位置</w:t>
      </w:r>
    </w:p>
    <w:p>
      <w:pPr>
        <w:ind w:firstLine="480"/>
        <w:rPr>
          <w:rFonts w:cs="Times New Roman"/>
          <w:color w:val="auto"/>
        </w:rPr>
      </w:pPr>
      <w:r>
        <w:rPr>
          <w:rFonts w:cs="Times New Roman"/>
          <w:color w:val="auto"/>
        </w:rPr>
        <w:t>（3）洪积、侵蚀剥蚀台地。总面积为6382平方公里，占全市总面积的9.5％。本市台地有两种。</w:t>
      </w:r>
    </w:p>
    <w:p>
      <w:pPr>
        <w:ind w:firstLine="480"/>
        <w:rPr>
          <w:rFonts w:cs="Times New Roman"/>
          <w:color w:val="auto"/>
        </w:rPr>
      </w:pPr>
      <w:r>
        <w:rPr>
          <w:rFonts w:hint="eastAsia" w:ascii="宋体" w:hAnsi="宋体" w:cs="宋体"/>
          <w:color w:val="auto"/>
        </w:rPr>
        <w:t>①</w:t>
      </w:r>
      <w:r>
        <w:rPr>
          <w:rFonts w:cs="Times New Roman"/>
          <w:color w:val="auto"/>
        </w:rPr>
        <w:t>洪积低台地。面积1954平方公里，形态近似冲积扇，主要分布在丘陵的前缘，及山间河谷平原两侧。同江街津口一带都有。地表组成物质为洪积物质、坡积物；上层为亚粘土，下层砂砾石。目前多数已经耕种。适于发展旱田，应加强林带林风建设，可发展畜牧业。</w:t>
      </w:r>
    </w:p>
    <w:p>
      <w:pPr>
        <w:ind w:firstLine="480"/>
        <w:rPr>
          <w:rFonts w:cs="Times New Roman"/>
          <w:color w:val="auto"/>
        </w:rPr>
      </w:pPr>
      <w:r>
        <w:rPr>
          <w:rFonts w:hint="eastAsia" w:ascii="宋体" w:hAnsi="宋体" w:cs="宋体"/>
          <w:color w:val="auto"/>
        </w:rPr>
        <w:t>②</w:t>
      </w:r>
      <w:r>
        <w:rPr>
          <w:rFonts w:cs="Times New Roman"/>
          <w:color w:val="auto"/>
        </w:rPr>
        <w:t>侵蚀剥蚀台地。面积4428平方公里，主要分布在完达山、小兴安岭山前地带以及富锦二龙山一带。地表组成物质为残积物和坡积物，表层为薄层亚粘土或亚砂土，向下为残积的风化碎屑，逐渐过渡到基岩。在开发利用上，适宜发展种植业和畜牧业，但需注意采取水土保持措施。</w:t>
      </w:r>
    </w:p>
    <w:p>
      <w:pPr>
        <w:pStyle w:val="276"/>
        <w:rPr>
          <w:rFonts w:eastAsiaTheme="minorEastAsia"/>
          <w:color w:val="auto"/>
        </w:rPr>
      </w:pPr>
      <w:r>
        <w:rPr>
          <w:rFonts w:cs="Times New Roman"/>
          <w:color w:val="auto"/>
        </w:rPr>
        <w:t>（4）冲积平原。面积36480平方公里，占全市面积的54.2％。主要有三江冲积低平原、倭肯河山间谷平原以及完达山山前地带的洪积冲积平原。本区在大地构造上属于新华夏系第二隆起带中的新坳陷。构成平原区的地貌类型主要是高、低河漫滩，一、二级阶地。地表大部分为第四纪全统亚粘土覆盖。本区总体上地形平坦，地势较低。海拔高度40~80米，抚远三角洲地势最低只有34米。平原中有少数孤山、残丘。地势自西南向东北倾斜，坡降为1/5000~1/10000。由于地势低平，河流下切能力弱。流经本区的河流除黑龙江、松花江、乌苏里江外，其他河流河床比降小，许多河流具有沼泽性河流的特点。平原内河曲发育，牛轭湖、旧河道、沙洲较多，沼泽广布。本区由于地势平坦，土质较好，种植业发展较快，大部分已垦为农田，是省内主要的种植业基地之一。平原中有11295平方公里的低洼地，占平原面积的31％，主要分布在同江、抚远等县。其中有常年积水的沼泽（面积2290平方公里），也有季节性积水洼地（面积2476.67平方公里）；还有相当数量的低落湿地。这些低洼了有一部分已垦为农田，需加强防洪排涝措施。其余多为三、四类荒地。自然植被主要是苔草、小叶樟、芦苇和灌木杂草等。</w:t>
      </w:r>
    </w:p>
    <w:p>
      <w:pPr>
        <w:pStyle w:val="240"/>
        <w:rPr>
          <w:rFonts w:ascii="Times New Roman" w:hAnsi="Times New Roman" w:cs="Times New Roman" w:eastAsiaTheme="minorEastAsia"/>
          <w:color w:val="auto"/>
        </w:rPr>
      </w:pPr>
      <w:bookmarkStart w:id="137" w:name="_Toc19107"/>
      <w:r>
        <w:rPr>
          <w:rFonts w:ascii="Times New Roman" w:hAnsi="Times New Roman" w:cs="Times New Roman" w:eastAsiaTheme="minorEastAsia"/>
          <w:color w:val="auto"/>
        </w:rPr>
        <w:t>4.1.</w:t>
      </w:r>
      <w:r>
        <w:rPr>
          <w:rFonts w:hint="eastAsia" w:ascii="Times New Roman" w:hAnsi="Times New Roman" w:cs="Times New Roman" w:eastAsiaTheme="minorEastAsia"/>
          <w:color w:val="auto"/>
          <w:lang w:val="en-US" w:eastAsia="zh-CN"/>
        </w:rPr>
        <w:t>2</w:t>
      </w:r>
      <w:r>
        <w:rPr>
          <w:rFonts w:ascii="Times New Roman" w:hAnsi="Times New Roman" w:cs="Times New Roman" w:eastAsiaTheme="minorEastAsia"/>
          <w:color w:val="auto"/>
        </w:rPr>
        <w:t>水文</w:t>
      </w:r>
      <w:bookmarkEnd w:id="137"/>
    </w:p>
    <w:p>
      <w:pPr>
        <w:ind w:firstLine="480"/>
        <w:rPr>
          <w:rFonts w:cs="Times New Roman"/>
          <w:color w:val="auto"/>
        </w:rPr>
      </w:pPr>
      <w:r>
        <w:rPr>
          <w:rFonts w:cs="Times New Roman"/>
          <w:color w:val="auto"/>
        </w:rPr>
        <w:t>佳木斯市地表水较为丰富，境内河流纵横，有大小河流118条。松花江是流经佳木斯市的主要河流，发源于长白山和小兴安岭，全长2308km，流域面积545639km</w:t>
      </w:r>
      <w:r>
        <w:rPr>
          <w:rFonts w:cs="Times New Roman"/>
          <w:color w:val="auto"/>
          <w:vertAlign w:val="superscript"/>
        </w:rPr>
        <w:t>2</w:t>
      </w:r>
      <w:r>
        <w:rPr>
          <w:rFonts w:cs="Times New Roman"/>
          <w:color w:val="auto"/>
        </w:rPr>
        <w:t>。流经佳木斯市的松花江由汤原县洼丹河口至松花江与黑龙江汇合处的同江三江口，总长345km。松花江佳木斯境内的主要支流有：倭肯河、汤旺河、梧桐河、黑金河、卧龙河、音达木河、英格吐河等。流经佳木斯市内的音达木河、英格吐河是季节性河流，流程短、水量小，干旱时断流，水多时流入松花江。</w:t>
      </w:r>
    </w:p>
    <w:p>
      <w:pPr>
        <w:ind w:firstLine="480"/>
        <w:rPr>
          <w:rFonts w:cs="Times New Roman"/>
          <w:color w:val="auto"/>
        </w:rPr>
      </w:pPr>
      <w:r>
        <w:rPr>
          <w:rFonts w:cs="Times New Roman"/>
          <w:color w:val="auto"/>
        </w:rPr>
        <w:t>松花江佳木斯江段全长110km，河床宽度在1000~1200之间，水位平均标高76.0m，平均水深为4m，最大水深10.4m，平均流速0.8m/s，冰冻期为150天左右，水流量历年平均为2149m</w:t>
      </w:r>
      <w:r>
        <w:rPr>
          <w:rFonts w:cs="Times New Roman"/>
          <w:color w:val="auto"/>
          <w:vertAlign w:val="superscript"/>
        </w:rPr>
        <w:t>3</w:t>
      </w:r>
      <w:r>
        <w:rPr>
          <w:rFonts w:cs="Times New Roman"/>
          <w:color w:val="auto"/>
        </w:rPr>
        <w:t>/s，历年最大流量为18400m</w:t>
      </w:r>
      <w:r>
        <w:rPr>
          <w:rFonts w:cs="Times New Roman"/>
          <w:color w:val="auto"/>
          <w:vertAlign w:val="superscript"/>
        </w:rPr>
        <w:t>3</w:t>
      </w:r>
      <w:r>
        <w:rPr>
          <w:rFonts w:cs="Times New Roman"/>
          <w:color w:val="auto"/>
        </w:rPr>
        <w:t>/s，最小流量为125m</w:t>
      </w:r>
      <w:r>
        <w:rPr>
          <w:rFonts w:cs="Times New Roman"/>
          <w:color w:val="auto"/>
          <w:vertAlign w:val="superscript"/>
        </w:rPr>
        <w:t>3</w:t>
      </w:r>
      <w:r>
        <w:rPr>
          <w:rFonts w:cs="Times New Roman"/>
          <w:color w:val="auto"/>
        </w:rPr>
        <w:t>/s。松花江水量丰富，年径流量是双峰型，夏季洪峰高、流量大，春季融雪洪峰流量小。径流量的年际变化与降水量的分布特征基本相似，主要集中在6~9月份，占全年的60%。</w:t>
      </w:r>
    </w:p>
    <w:p>
      <w:pPr>
        <w:spacing w:line="240" w:lineRule="auto"/>
        <w:ind w:firstLine="0" w:firstLineChars="0"/>
        <w:jc w:val="center"/>
        <w:rPr>
          <w:rFonts w:cs="Times New Roman"/>
          <w:color w:val="auto"/>
        </w:rPr>
      </w:pPr>
      <w:r>
        <w:rPr>
          <w:rFonts w:cs="Times New Roman"/>
          <w:color w:val="auto"/>
        </w:rPr>
        <mc:AlternateContent>
          <mc:Choice Requires="wps">
            <w:drawing>
              <wp:anchor distT="0" distB="0" distL="114300" distR="114300" simplePos="0" relativeHeight="270245888" behindDoc="0" locked="0" layoutInCell="1" allowOverlap="1">
                <wp:simplePos x="0" y="0"/>
                <wp:positionH relativeFrom="column">
                  <wp:posOffset>482600</wp:posOffset>
                </wp:positionH>
                <wp:positionV relativeFrom="paragraph">
                  <wp:posOffset>3350260</wp:posOffset>
                </wp:positionV>
                <wp:extent cx="1052195" cy="322580"/>
                <wp:effectExtent l="4445" t="4445" r="10160" b="15875"/>
                <wp:wrapNone/>
                <wp:docPr id="69" name="文本框 69"/>
                <wp:cNvGraphicFramePr/>
                <a:graphic xmlns:a="http://schemas.openxmlformats.org/drawingml/2006/main">
                  <a:graphicData uri="http://schemas.microsoft.com/office/word/2010/wordprocessingShape">
                    <wps:wsp>
                      <wps:cNvSpPr txBox="1"/>
                      <wps:spPr>
                        <a:xfrm>
                          <a:off x="0" y="0"/>
                          <a:ext cx="1052195" cy="322580"/>
                        </a:xfrm>
                        <a:prstGeom prst="rect">
                          <a:avLst/>
                        </a:prstGeom>
                        <a:solidFill>
                          <a:srgbClr val="FFFFFF"/>
                        </a:solidFill>
                        <a:ln w="6350" cap="flat" cmpd="sng">
                          <a:solidFill>
                            <a:srgbClr val="FF0000"/>
                          </a:solidFill>
                          <a:prstDash val="solid"/>
                          <a:miter/>
                          <a:headEnd type="none" w="med" len="med"/>
                          <a:tailEnd type="none" w="med" len="med"/>
                        </a:ln>
                      </wps:spPr>
                      <wps:txbx>
                        <w:txbxContent>
                          <w:p>
                            <w:pPr>
                              <w:spacing w:line="240" w:lineRule="auto"/>
                              <w:ind w:firstLine="0" w:firstLineChars="0"/>
                              <w:rPr>
                                <w:color w:val="FF0000"/>
                              </w:rPr>
                            </w:pPr>
                            <w:r>
                              <w:rPr>
                                <w:rFonts w:hint="eastAsia"/>
                                <w:color w:val="FF0000"/>
                              </w:rPr>
                              <w:t>本项目位置</w:t>
                            </w:r>
                          </w:p>
                        </w:txbxContent>
                      </wps:txbx>
                      <wps:bodyPr upright="1"/>
                    </wps:wsp>
                  </a:graphicData>
                </a:graphic>
              </wp:anchor>
            </w:drawing>
          </mc:Choice>
          <mc:Fallback>
            <w:pict>
              <v:shape id="_x0000_s1026" o:spid="_x0000_s1026" o:spt="202" type="#_x0000_t202" style="position:absolute;left:0pt;margin-left:38pt;margin-top:263.8pt;height:25.4pt;width:82.85pt;z-index:270245888;mso-width-relative:page;mso-height-relative:page;" fillcolor="#FFFFFF" filled="t" stroked="t" coordsize="21600,21600" o:gfxdata="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YiC8c3AAAAAoBAAAPAAAAAAAAAAEAIAAAACIAAABkcnMvZG93bnJldi54bWxQ&#10;SwECFAAUAAAACACHTuJAyNhDg/MBAADqAwAADgAAAAAAAAABACAAAAArAQAAZHJzL2Uyb0RvYy54&#10;bWxQSwUGAAAAAAYABgBZAQAAkAUAAAAA&#10;">
                <v:fill on="t" focussize="0,0"/>
                <v:stroke weight="0.5pt" color="#FF0000" joinstyle="miter"/>
                <v:imagedata o:title=""/>
                <o:lock v:ext="edit" aspectratio="f"/>
                <v:textbox>
                  <w:txbxContent>
                    <w:p>
                      <w:pPr>
                        <w:spacing w:line="240" w:lineRule="auto"/>
                        <w:ind w:firstLine="0" w:firstLineChars="0"/>
                        <w:rPr>
                          <w:color w:val="FF0000"/>
                        </w:rPr>
                      </w:pPr>
                      <w:r>
                        <w:rPr>
                          <w:rFonts w:hint="eastAsia"/>
                          <w:color w:val="FF0000"/>
                        </w:rPr>
                        <w:t>本项目位置</w:t>
                      </w:r>
                    </w:p>
                  </w:txbxContent>
                </v:textbox>
              </v:shape>
            </w:pict>
          </mc:Fallback>
        </mc:AlternateContent>
      </w:r>
      <w:r>
        <w:rPr>
          <w:rFonts w:cs="Times New Roman"/>
          <w:color w:val="auto"/>
        </w:rPr>
        <mc:AlternateContent>
          <mc:Choice Requires="wps">
            <w:drawing>
              <wp:anchor distT="0" distB="0" distL="114300" distR="114300" simplePos="0" relativeHeight="270283776" behindDoc="0" locked="0" layoutInCell="1" allowOverlap="1">
                <wp:simplePos x="0" y="0"/>
                <wp:positionH relativeFrom="column">
                  <wp:posOffset>1082040</wp:posOffset>
                </wp:positionH>
                <wp:positionV relativeFrom="paragraph">
                  <wp:posOffset>3211830</wp:posOffset>
                </wp:positionV>
                <wp:extent cx="90805" cy="90805"/>
                <wp:effectExtent l="4445" t="4445" r="19050" b="19050"/>
                <wp:wrapNone/>
                <wp:docPr id="68" name="椭圆 68"/>
                <wp:cNvGraphicFramePr/>
                <a:graphic xmlns:a="http://schemas.openxmlformats.org/drawingml/2006/main">
                  <a:graphicData uri="http://schemas.microsoft.com/office/word/2010/wordprocessingShape">
                    <wps:wsp>
                      <wps:cNvSpPr/>
                      <wps:spPr>
                        <a:xfrm>
                          <a:off x="0" y="0"/>
                          <a:ext cx="90805" cy="90805"/>
                        </a:xfrm>
                        <a:prstGeom prst="ellipse">
                          <a:avLst/>
                        </a:prstGeom>
                        <a:solidFill>
                          <a:srgbClr val="FF0000"/>
                        </a:solidFill>
                        <a:ln w="9525" cap="flat" cmpd="sng">
                          <a:solidFill>
                            <a:srgbClr val="FF0000"/>
                          </a:solidFill>
                          <a:prstDash val="solid"/>
                          <a:headEnd type="none" w="med" len="med"/>
                          <a:tailEnd type="none" w="med" len="med"/>
                        </a:ln>
                      </wps:spPr>
                      <wps:bodyPr upright="1"/>
                    </wps:wsp>
                  </a:graphicData>
                </a:graphic>
              </wp:anchor>
            </w:drawing>
          </mc:Choice>
          <mc:Fallback>
            <w:pict>
              <v:shape id="_x0000_s1026" o:spid="_x0000_s1026" o:spt="3" type="#_x0000_t3" style="position:absolute;left:0pt;margin-left:85.2pt;margin-top:252.9pt;height:7.15pt;width:7.15pt;z-index:270283776;mso-width-relative:page;mso-height-relative:page;" fillcolor="#FF0000" filled="t" stroked="t" coordsize="21600,21600" o:gfxdata="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Jv32dzXAAAACwEAAA8AAAAAAAAAAQAg&#10;AAAAIgAAAGRycy9kb3ducmV2LnhtbFBLAQIUABQAAAAIAIdO4kDOpj2s1gEAAMgDAAAOAAAAAAAA&#10;AAEAIAAAACYBAABkcnMvZTJvRG9jLnhtbFBLBQYAAAAABgAGAFkBAABuBQAAAAA=&#10;">
                <v:fill on="t" focussize="0,0"/>
                <v:stroke color="#FF0000" joinstyle="round"/>
                <v:imagedata o:title=""/>
                <o:lock v:ext="edit" aspectratio="f"/>
              </v:shape>
            </w:pict>
          </mc:Fallback>
        </mc:AlternateContent>
      </w:r>
      <w:r>
        <w:rPr>
          <w:color w:val="auto"/>
          <w:sz w:val="24"/>
        </w:rPr>
        <mc:AlternateContent>
          <mc:Choice Requires="wpg">
            <w:drawing>
              <wp:anchor distT="0" distB="0" distL="114300" distR="114300" simplePos="0" relativeHeight="270290944" behindDoc="0" locked="0" layoutInCell="1" allowOverlap="1">
                <wp:simplePos x="0" y="0"/>
                <wp:positionH relativeFrom="column">
                  <wp:posOffset>4025265</wp:posOffset>
                </wp:positionH>
                <wp:positionV relativeFrom="paragraph">
                  <wp:posOffset>4528820</wp:posOffset>
                </wp:positionV>
                <wp:extent cx="447675" cy="76200"/>
                <wp:effectExtent l="4445" t="0" r="0" b="19050"/>
                <wp:wrapNone/>
                <wp:docPr id="73" name="组合 73"/>
                <wp:cNvGraphicFramePr/>
                <a:graphic xmlns:a="http://schemas.openxmlformats.org/drawingml/2006/main">
                  <a:graphicData uri="http://schemas.microsoft.com/office/word/2010/wordprocessingGroup">
                    <wpg:wgp>
                      <wpg:cNvGrpSpPr/>
                      <wpg:grpSpPr>
                        <a:xfrm>
                          <a:off x="0" y="0"/>
                          <a:ext cx="447675" cy="76200"/>
                          <a:chOff x="8743" y="1428482"/>
                          <a:chExt cx="705" cy="120"/>
                        </a:xfrm>
                      </wpg:grpSpPr>
                      <wps:wsp>
                        <wps:cNvPr id="62" name="直接箭头连接符 62"/>
                        <wps:cNvCnPr/>
                        <wps:spPr>
                          <a:xfrm>
                            <a:off x="8743" y="1428602"/>
                            <a:ext cx="705" cy="0"/>
                          </a:xfrm>
                          <a:prstGeom prst="straightConnector1">
                            <a:avLst/>
                          </a:prstGeom>
                          <a:ln w="9525" cap="flat" cmpd="sng">
                            <a:solidFill>
                              <a:srgbClr val="000000"/>
                            </a:solidFill>
                            <a:prstDash val="solid"/>
                            <a:headEnd type="none" w="med" len="med"/>
                            <a:tailEnd type="none" w="med" len="med"/>
                          </a:ln>
                        </wps:spPr>
                        <wps:bodyPr/>
                      </wps:wsp>
                      <wps:wsp>
                        <wps:cNvPr id="63" name="直接箭头连接符 63"/>
                        <wps:cNvCnPr/>
                        <wps:spPr>
                          <a:xfrm flipV="1">
                            <a:off x="9448" y="1428482"/>
                            <a:ext cx="0" cy="120"/>
                          </a:xfrm>
                          <a:prstGeom prst="straightConnector1">
                            <a:avLst/>
                          </a:prstGeom>
                          <a:ln w="9525" cap="flat" cmpd="sng">
                            <a:solidFill>
                              <a:srgbClr val="000000"/>
                            </a:solidFill>
                            <a:prstDash val="solid"/>
                            <a:headEnd type="none" w="med" len="med"/>
                            <a:tailEnd type="none" w="med" len="med"/>
                          </a:ln>
                        </wps:spPr>
                        <wps:bodyPr/>
                      </wps:wsp>
                      <wps:wsp>
                        <wps:cNvPr id="65" name="直接箭头连接符 65"/>
                        <wps:cNvCnPr/>
                        <wps:spPr>
                          <a:xfrm flipV="1">
                            <a:off x="8743" y="1428482"/>
                            <a:ext cx="0" cy="120"/>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id="_x0000_s1026" o:spid="_x0000_s1026" o:spt="203" style="position:absolute;left:0pt;margin-left:316.95pt;margin-top:356.6pt;height:6pt;width:35.25pt;z-index:270290944;mso-width-relative:page;mso-height-relative:page;" coordorigin="8743,1428482" coordsize="705,120" o:gfxdata="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BLgbxu2wAAAAsBAAAPAAAAAAAAAAEAIAAAACIAAABk&#10;cnMvZG93bnJldi54bWxQSwECFAAUAAAACACHTuJA8TD+B64CAAAUCQAADgAAAAAAAAABACAAAAAq&#10;AQAAZHJzL2Uyb0RvYy54bWxQSwUGAAAAAAYABgBZAQAASgYAAAAA&#10;">
                <o:lock v:ext="edit" aspectratio="f"/>
                <v:shape id="_x0000_s1026" o:spid="_x0000_s1026" o:spt="32" type="#_x0000_t32" style="position:absolute;left:8743;top:1428602;height:0;width:705;" filled="f" stroked="t" coordsize="21600,21600" o:gfxdata="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0J7x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shape>
                <v:shape id="_x0000_s1026" o:spid="_x0000_s1026" o:spt="32" type="#_x0000_t32" style="position:absolute;left:9448;top:1428482;flip:y;height:120;width:0;" filled="f" stroked="t" coordsize="21600,21600" o:gfxdata="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vp3j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shape>
                <v:shape id="_x0000_s1026" o:spid="_x0000_s1026" o:spt="32" type="#_x0000_t32" style="position:absolute;left:8743;top:1428482;flip:y;height:120;width:0;" filled="f" stroked="t" coordsize="21600,21600" o:gfxdata="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G6AM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shape>
              </v:group>
            </w:pict>
          </mc:Fallback>
        </mc:AlternateContent>
      </w:r>
      <w:r>
        <w:rPr>
          <w:rFonts w:cs="Times New Roman"/>
          <w:color w:val="auto"/>
        </w:rPr>
        <mc:AlternateContent>
          <mc:Choice Requires="wps">
            <w:drawing>
              <wp:anchor distT="0" distB="0" distL="114300" distR="114300" simplePos="0" relativeHeight="270287872" behindDoc="0" locked="0" layoutInCell="1" allowOverlap="1">
                <wp:simplePos x="0" y="0"/>
                <wp:positionH relativeFrom="column">
                  <wp:posOffset>3931285</wp:posOffset>
                </wp:positionH>
                <wp:positionV relativeFrom="paragraph">
                  <wp:posOffset>4341495</wp:posOffset>
                </wp:positionV>
                <wp:extent cx="1052195" cy="333375"/>
                <wp:effectExtent l="0" t="0" r="0" b="0"/>
                <wp:wrapNone/>
                <wp:docPr id="61" name="文本框 61"/>
                <wp:cNvGraphicFramePr/>
                <a:graphic xmlns:a="http://schemas.openxmlformats.org/drawingml/2006/main">
                  <a:graphicData uri="http://schemas.microsoft.com/office/word/2010/wordprocessingShape">
                    <wps:wsp>
                      <wps:cNvSpPr txBox="1"/>
                      <wps:spPr>
                        <a:xfrm>
                          <a:off x="0" y="0"/>
                          <a:ext cx="1052195" cy="333375"/>
                        </a:xfrm>
                        <a:prstGeom prst="rect">
                          <a:avLst/>
                        </a:prstGeom>
                        <a:noFill/>
                        <a:ln w="6350">
                          <a:noFill/>
                        </a:ln>
                      </wps:spPr>
                      <wps:txbx>
                        <w:txbxContent>
                          <w:p>
                            <w:pPr>
                              <w:spacing w:line="240" w:lineRule="auto"/>
                              <w:ind w:firstLine="0" w:firstLineChars="0"/>
                              <w:rPr>
                                <w:sz w:val="21"/>
                                <w:szCs w:val="21"/>
                              </w:rPr>
                            </w:pPr>
                            <w:r>
                              <w:rPr>
                                <w:rFonts w:hint="eastAsia"/>
                                <w:sz w:val="21"/>
                                <w:szCs w:val="21"/>
                              </w:rPr>
                              <w:t>0   100km</w:t>
                            </w:r>
                          </w:p>
                        </w:txbxContent>
                      </wps:txbx>
                      <wps:bodyPr upright="1"/>
                    </wps:wsp>
                  </a:graphicData>
                </a:graphic>
              </wp:anchor>
            </w:drawing>
          </mc:Choice>
          <mc:Fallback>
            <w:pict>
              <v:shape id="_x0000_s1026" o:spid="_x0000_s1026" o:spt="202" type="#_x0000_t202" style="position:absolute;left:0pt;margin-left:309.55pt;margin-top:341.85pt;height:26.25pt;width:82.85pt;z-index:270287872;mso-width-relative:page;mso-height-relative:page;" filled="f" stroked="f" coordsize="21600,21600" o:gfxdata="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GGThejcAAAACwEAAA8AAAAAAAAAAQAgAAAA&#10;IgAAAGRycy9kb3ducmV2LnhtbFBLAQIUABQAAAAIAIdO4kA+or3xlQEAAAsDAAAOAAAAAAAAAAEA&#10;IAAAACsBAABkcnMvZTJvRG9jLnhtbFBLBQYAAAAABgAGAFkBAAAyBQAAAAA=&#10;">
                <v:fill on="f" focussize="0,0"/>
                <v:stroke on="f" weight="0.5pt"/>
                <v:imagedata o:title=""/>
                <o:lock v:ext="edit" aspectratio="f"/>
                <v:textbox>
                  <w:txbxContent>
                    <w:p>
                      <w:pPr>
                        <w:spacing w:line="240" w:lineRule="auto"/>
                        <w:ind w:firstLine="0" w:firstLineChars="0"/>
                        <w:rPr>
                          <w:sz w:val="21"/>
                          <w:szCs w:val="21"/>
                        </w:rPr>
                      </w:pPr>
                      <w:r>
                        <w:rPr>
                          <w:rFonts w:hint="eastAsia"/>
                          <w:sz w:val="21"/>
                          <w:szCs w:val="21"/>
                        </w:rPr>
                        <w:t>0   100km</w:t>
                      </w:r>
                    </w:p>
                  </w:txbxContent>
                </v:textbox>
              </v:shape>
            </w:pict>
          </mc:Fallback>
        </mc:AlternateContent>
      </w:r>
      <w:r>
        <w:rPr>
          <w:rFonts w:cs="Times New Roman"/>
          <w:color w:val="auto"/>
        </w:rPr>
        <mc:AlternateContent>
          <mc:Choice Requires="wps">
            <w:drawing>
              <wp:anchor distT="0" distB="0" distL="114300" distR="114300" simplePos="0" relativeHeight="270288896" behindDoc="0" locked="0" layoutInCell="1" allowOverlap="1">
                <wp:simplePos x="0" y="0"/>
                <wp:positionH relativeFrom="column">
                  <wp:posOffset>4657725</wp:posOffset>
                </wp:positionH>
                <wp:positionV relativeFrom="paragraph">
                  <wp:posOffset>520700</wp:posOffset>
                </wp:positionV>
                <wp:extent cx="0" cy="285750"/>
                <wp:effectExtent l="38100" t="0" r="38100" b="0"/>
                <wp:wrapNone/>
                <wp:docPr id="66" name="直接箭头连接符 66"/>
                <wp:cNvGraphicFramePr/>
                <a:graphic xmlns:a="http://schemas.openxmlformats.org/drawingml/2006/main">
                  <a:graphicData uri="http://schemas.microsoft.com/office/word/2010/wordprocessingShape">
                    <wps:wsp>
                      <wps:cNvCnPr/>
                      <wps:spPr>
                        <a:xfrm flipV="1">
                          <a:off x="0" y="0"/>
                          <a:ext cx="0" cy="2857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y;margin-left:366.75pt;margin-top:41pt;height:22.5pt;width:0pt;z-index:270288896;mso-width-relative:page;mso-height-relative:page;" filled="f" stroked="t" coordsize="21600,21600" o:gfxdata="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C1ZZ43XAAAACgEAAA8AAAAAAAAAAQAgAAAAIgAAAGRycy9kb3ducmV2LnhtbFBLAQIUABQA&#10;AAAIAIdO4kChQwZA8QEAAK0DAAAOAAAAAAAAAAEAIAAAACYBAABkcnMvZTJvRG9jLnhtbFBLBQYA&#10;AAAABgAGAFkBAACJBQAAAAA=&#10;">
                <v:fill on="f" focussize="0,0"/>
                <v:stroke color="#000000" joinstyle="round" endarrow="block"/>
                <v:imagedata o:title=""/>
                <o:lock v:ext="edit" aspectratio="f"/>
              </v:shape>
            </w:pict>
          </mc:Fallback>
        </mc:AlternateContent>
      </w:r>
      <w:r>
        <w:rPr>
          <w:rFonts w:cs="Times New Roman"/>
          <w:color w:val="auto"/>
        </w:rPr>
        <mc:AlternateContent>
          <mc:Choice Requires="wps">
            <w:drawing>
              <wp:anchor distT="0" distB="0" distL="114300" distR="114300" simplePos="0" relativeHeight="270289920" behindDoc="0" locked="0" layoutInCell="1" allowOverlap="1">
                <wp:simplePos x="0" y="0"/>
                <wp:positionH relativeFrom="column">
                  <wp:posOffset>4486275</wp:posOffset>
                </wp:positionH>
                <wp:positionV relativeFrom="paragraph">
                  <wp:posOffset>260350</wp:posOffset>
                </wp:positionV>
                <wp:extent cx="552450" cy="333375"/>
                <wp:effectExtent l="0" t="0" r="0" b="0"/>
                <wp:wrapNone/>
                <wp:docPr id="72" name="文本框 72"/>
                <wp:cNvGraphicFramePr/>
                <a:graphic xmlns:a="http://schemas.openxmlformats.org/drawingml/2006/main">
                  <a:graphicData uri="http://schemas.microsoft.com/office/word/2010/wordprocessingShape">
                    <wps:wsp>
                      <wps:cNvSpPr txBox="1"/>
                      <wps:spPr>
                        <a:xfrm>
                          <a:off x="0" y="0"/>
                          <a:ext cx="552450" cy="333375"/>
                        </a:xfrm>
                        <a:prstGeom prst="rect">
                          <a:avLst/>
                        </a:prstGeom>
                        <a:noFill/>
                        <a:ln w="6350">
                          <a:noFill/>
                        </a:ln>
                      </wps:spPr>
                      <wps:txbx>
                        <w:txbxContent>
                          <w:p>
                            <w:pPr>
                              <w:spacing w:line="240" w:lineRule="auto"/>
                              <w:ind w:firstLine="0" w:firstLineChars="0"/>
                              <w:rPr>
                                <w:sz w:val="21"/>
                                <w:szCs w:val="21"/>
                              </w:rPr>
                            </w:pPr>
                            <w:r>
                              <w:rPr>
                                <w:rFonts w:hint="eastAsia"/>
                                <w:sz w:val="21"/>
                                <w:szCs w:val="21"/>
                              </w:rPr>
                              <w:t>北</w:t>
                            </w:r>
                          </w:p>
                        </w:txbxContent>
                      </wps:txbx>
                      <wps:bodyPr upright="1"/>
                    </wps:wsp>
                  </a:graphicData>
                </a:graphic>
              </wp:anchor>
            </w:drawing>
          </mc:Choice>
          <mc:Fallback>
            <w:pict>
              <v:shape id="_x0000_s1026" o:spid="_x0000_s1026" o:spt="202" type="#_x0000_t202" style="position:absolute;left:0pt;margin-left:353.25pt;margin-top:20.5pt;height:26.25pt;width:43.5pt;z-index:270289920;mso-width-relative:page;mso-height-relative:page;" filled="f" stroked="f" coordsize="21600,21600" o:gfxdata="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MEyz0XaAAAACQEAAA8AAAAAAAAAAQAgAAAAIgAA&#10;AGRycy9kb3ducmV2LnhtbFBLAQIUABQAAAAIAIdO4kBh/d3VlAEAAAoDAAAOAAAAAAAAAAEAIAAA&#10;ACkBAABkcnMvZTJvRG9jLnhtbFBLBQYAAAAABgAGAFkBAAAvBQAAAAA=&#10;">
                <v:fill on="f" focussize="0,0"/>
                <v:stroke on="f" weight="0.5pt"/>
                <v:imagedata o:title=""/>
                <o:lock v:ext="edit" aspectratio="f"/>
                <v:textbox>
                  <w:txbxContent>
                    <w:p>
                      <w:pPr>
                        <w:spacing w:line="240" w:lineRule="auto"/>
                        <w:ind w:firstLine="0" w:firstLineChars="0"/>
                        <w:rPr>
                          <w:sz w:val="21"/>
                          <w:szCs w:val="21"/>
                        </w:rPr>
                      </w:pPr>
                      <w:r>
                        <w:rPr>
                          <w:rFonts w:hint="eastAsia"/>
                          <w:sz w:val="21"/>
                          <w:szCs w:val="21"/>
                        </w:rPr>
                        <w:t>北</w:t>
                      </w:r>
                    </w:p>
                  </w:txbxContent>
                </v:textbox>
              </v:shape>
            </w:pict>
          </mc:Fallback>
        </mc:AlternateContent>
      </w:r>
      <w:r>
        <w:rPr>
          <w:color w:val="auto"/>
        </w:rPr>
        <w:drawing>
          <wp:inline distT="0" distB="0" distL="114300" distR="114300">
            <wp:extent cx="4670425" cy="4636770"/>
            <wp:effectExtent l="0" t="0" r="15875" b="11430"/>
            <wp:docPr id="60"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14"/>
                    <pic:cNvPicPr>
                      <a:picLocks noChangeAspect="1"/>
                    </pic:cNvPicPr>
                  </pic:nvPicPr>
                  <pic:blipFill>
                    <a:blip r:embed="rId32"/>
                    <a:stretch>
                      <a:fillRect/>
                    </a:stretch>
                  </pic:blipFill>
                  <pic:spPr>
                    <a:xfrm>
                      <a:off x="0" y="0"/>
                      <a:ext cx="4670425" cy="4636770"/>
                    </a:xfrm>
                    <a:prstGeom prst="rect">
                      <a:avLst/>
                    </a:prstGeom>
                    <a:noFill/>
                    <a:ln w="9525">
                      <a:noFill/>
                    </a:ln>
                  </pic:spPr>
                </pic:pic>
              </a:graphicData>
            </a:graphic>
          </wp:inline>
        </w:drawing>
      </w:r>
    </w:p>
    <w:p>
      <w:pPr>
        <w:pStyle w:val="276"/>
        <w:jc w:val="center"/>
        <w:rPr>
          <w:rFonts w:eastAsiaTheme="minorEastAsia"/>
          <w:color w:val="auto"/>
        </w:rPr>
      </w:pPr>
      <w:r>
        <w:rPr>
          <w:rFonts w:hAnsi="Times New Roman"/>
          <w:color w:val="auto"/>
        </w:rPr>
        <w:t>图4.1-</w:t>
      </w:r>
      <w:r>
        <w:rPr>
          <w:rFonts w:hint="eastAsia" w:hAnsi="Times New Roman"/>
          <w:color w:val="auto"/>
        </w:rPr>
        <w:t>6</w:t>
      </w:r>
      <w:r>
        <w:rPr>
          <w:rFonts w:hAnsi="Times New Roman"/>
          <w:color w:val="auto"/>
        </w:rPr>
        <w:t>区域地表水系图</w:t>
      </w:r>
    </w:p>
    <w:bookmarkEnd w:id="132"/>
    <w:bookmarkEnd w:id="133"/>
    <w:p>
      <w:pPr>
        <w:pStyle w:val="240"/>
        <w:rPr>
          <w:rFonts w:ascii="Times New Roman" w:hAnsi="Times New Roman" w:cs="Times New Roman" w:eastAsiaTheme="minorEastAsia"/>
          <w:color w:val="auto"/>
        </w:rPr>
      </w:pPr>
      <w:bookmarkStart w:id="138" w:name="_Toc1098"/>
      <w:r>
        <w:rPr>
          <w:rFonts w:ascii="Times New Roman" w:hAnsi="Times New Roman" w:cs="Times New Roman" w:eastAsiaTheme="minorEastAsia"/>
          <w:color w:val="auto"/>
        </w:rPr>
        <w:t>4.1.</w:t>
      </w:r>
      <w:bookmarkEnd w:id="138"/>
      <w:r>
        <w:rPr>
          <w:rFonts w:hint="eastAsia" w:ascii="Times New Roman" w:hAnsi="Times New Roman" w:cs="Times New Roman" w:eastAsiaTheme="minorEastAsia"/>
          <w:color w:val="auto"/>
          <w:lang w:val="en-US" w:eastAsia="zh-CN"/>
        </w:rPr>
        <w:t>3</w:t>
      </w:r>
      <w:r>
        <w:rPr>
          <w:color w:val="auto"/>
        </w:rPr>
        <w:t>区域地质</w:t>
      </w:r>
    </w:p>
    <w:p>
      <w:pPr>
        <w:spacing w:line="500" w:lineRule="atLeast"/>
        <w:ind w:firstLine="480"/>
        <w:rPr>
          <w:rFonts w:cs="Times New Roman"/>
          <w:snapToGrid w:val="0"/>
          <w:color w:val="auto"/>
          <w:kern w:val="0"/>
        </w:rPr>
      </w:pPr>
      <w:r>
        <w:rPr>
          <w:rFonts w:cs="Times New Roman"/>
          <w:snapToGrid w:val="0"/>
          <w:color w:val="auto"/>
          <w:kern w:val="0"/>
        </w:rPr>
        <w:t>佳木斯市行政区内地层自老至新有元古界麻山群，古生界志留系，中生界白垩系，新生界第三系和第四系。前第四系主要分布在小兴安岭和完达山区，在地貌上为低山丘陵。区内第四系十分发育，由老至新层层迭置，广泛分布于三江平原和倭肯河平原，由老至新分别为: 下更新统冲积~湖积层（Q</w:t>
      </w:r>
      <w:r>
        <w:rPr>
          <w:rFonts w:cs="Times New Roman"/>
          <w:snapToGrid w:val="0"/>
          <w:color w:val="auto"/>
          <w:kern w:val="0"/>
          <w:vertAlign w:val="subscript"/>
        </w:rPr>
        <w:t>1</w:t>
      </w:r>
      <w:r>
        <w:rPr>
          <w:rFonts w:cs="Times New Roman"/>
          <w:snapToGrid w:val="0"/>
          <w:color w:val="auto"/>
          <w:kern w:val="0"/>
        </w:rPr>
        <w:t>）、中更新统浓江组（Q</w:t>
      </w:r>
      <w:r>
        <w:rPr>
          <w:rFonts w:cs="Times New Roman"/>
          <w:snapToGrid w:val="0"/>
          <w:color w:val="auto"/>
          <w:kern w:val="0"/>
          <w:vertAlign w:val="subscript"/>
        </w:rPr>
        <w:t>2n</w:t>
      </w:r>
      <w:r>
        <w:rPr>
          <w:rFonts w:cs="Times New Roman"/>
          <w:snapToGrid w:val="0"/>
          <w:color w:val="auto"/>
          <w:kern w:val="0"/>
        </w:rPr>
        <w:t>）、上更新统向阳川组（Q</w:t>
      </w:r>
      <w:r>
        <w:rPr>
          <w:rFonts w:cs="Times New Roman"/>
          <w:snapToGrid w:val="0"/>
          <w:color w:val="auto"/>
          <w:kern w:val="0"/>
          <w:vertAlign w:val="subscript"/>
        </w:rPr>
        <w:t>3x</w:t>
      </w:r>
      <w:r>
        <w:rPr>
          <w:rFonts w:cs="Times New Roman"/>
          <w:snapToGrid w:val="0"/>
          <w:color w:val="auto"/>
          <w:kern w:val="0"/>
        </w:rPr>
        <w:t>）、上更新统别拉洪河组（Q</w:t>
      </w:r>
      <w:r>
        <w:rPr>
          <w:rFonts w:cs="Times New Roman"/>
          <w:snapToGrid w:val="0"/>
          <w:color w:val="auto"/>
          <w:kern w:val="0"/>
          <w:vertAlign w:val="subscript"/>
        </w:rPr>
        <w:t>3b</w:t>
      </w:r>
      <w:r>
        <w:rPr>
          <w:rFonts w:cs="Times New Roman"/>
          <w:snapToGrid w:val="0"/>
          <w:color w:val="auto"/>
          <w:kern w:val="0"/>
        </w:rPr>
        <w:t>）、全新统高漫滩冲积层（Q</w:t>
      </w:r>
      <w:r>
        <w:rPr>
          <w:rFonts w:cs="Times New Roman"/>
          <w:snapToGrid w:val="0"/>
          <w:color w:val="auto"/>
          <w:kern w:val="0"/>
          <w:vertAlign w:val="subscript"/>
        </w:rPr>
        <w:t>4</w:t>
      </w:r>
      <w:r>
        <w:rPr>
          <w:rFonts w:cs="Times New Roman"/>
          <w:snapToGrid w:val="0"/>
          <w:color w:val="auto"/>
          <w:kern w:val="0"/>
          <w:vertAlign w:val="superscript"/>
        </w:rPr>
        <w:t>1</w:t>
      </w:r>
      <w:r>
        <w:rPr>
          <w:rFonts w:cs="Times New Roman"/>
          <w:snapToGrid w:val="0"/>
          <w:color w:val="auto"/>
          <w:kern w:val="0"/>
        </w:rPr>
        <w:t>）、全新统低漫滩堆积层（Q</w:t>
      </w:r>
      <w:r>
        <w:rPr>
          <w:rFonts w:cs="Times New Roman"/>
          <w:snapToGrid w:val="0"/>
          <w:color w:val="auto"/>
          <w:kern w:val="0"/>
          <w:vertAlign w:val="subscript"/>
        </w:rPr>
        <w:t>4</w:t>
      </w:r>
      <w:r>
        <w:rPr>
          <w:rFonts w:cs="Times New Roman"/>
          <w:snapToGrid w:val="0"/>
          <w:color w:val="auto"/>
          <w:kern w:val="0"/>
          <w:vertAlign w:val="superscript"/>
        </w:rPr>
        <w:t>2</w:t>
      </w:r>
      <w:r>
        <w:rPr>
          <w:rFonts w:cs="Times New Roman"/>
          <w:snapToGrid w:val="0"/>
          <w:color w:val="auto"/>
          <w:kern w:val="0"/>
        </w:rPr>
        <w:t>）。根据含水层岩性，地下水赋存条件，水力特性等因素，本区地下水类型可划分为：</w:t>
      </w:r>
      <w:r>
        <w:rPr>
          <w:rFonts w:hint="eastAsia" w:cs="Times New Roman"/>
          <w:snapToGrid w:val="0"/>
          <w:color w:val="auto"/>
          <w:kern w:val="0"/>
        </w:rPr>
        <w:t>.</w:t>
      </w:r>
    </w:p>
    <w:p>
      <w:pPr>
        <w:spacing w:line="500" w:lineRule="atLeast"/>
        <w:ind w:firstLine="480"/>
        <w:rPr>
          <w:color w:val="auto"/>
        </w:rPr>
      </w:pPr>
      <w:r>
        <w:rPr>
          <w:rFonts w:hint="eastAsia"/>
          <w:color w:val="auto"/>
        </w:rPr>
        <w:t>（1）亚黏土微孔隙裂隙潜水</w:t>
      </w:r>
    </w:p>
    <w:p>
      <w:pPr>
        <w:spacing w:line="500" w:lineRule="atLeast"/>
        <w:ind w:firstLine="480"/>
        <w:rPr>
          <w:rFonts w:cs="Times New Roman"/>
          <w:snapToGrid w:val="0"/>
          <w:color w:val="auto"/>
          <w:kern w:val="0"/>
        </w:rPr>
      </w:pPr>
      <w:r>
        <w:rPr>
          <w:rFonts w:cs="Times New Roman"/>
          <w:snapToGrid w:val="0"/>
          <w:color w:val="auto"/>
          <w:kern w:val="0"/>
        </w:rPr>
        <w:t>主要分布于区内山前台地区，含水层为亚粘土，亚粘土厚度17~33m，地下水类型为潜水，水位埋深在10~20m，水位年变幅在10m 左右，单井涌水量（250mm井径、5m降深，下同）3~10m</w:t>
      </w:r>
      <w:r>
        <w:rPr>
          <w:rFonts w:cs="Times New Roman"/>
          <w:snapToGrid w:val="0"/>
          <w:color w:val="auto"/>
          <w:kern w:val="0"/>
          <w:vertAlign w:val="superscript"/>
        </w:rPr>
        <w:t>3</w:t>
      </w:r>
      <w:r>
        <w:rPr>
          <w:rFonts w:cs="Times New Roman"/>
          <w:snapToGrid w:val="0"/>
          <w:color w:val="auto"/>
          <w:kern w:val="0"/>
        </w:rPr>
        <w:t>/d ，渗透系数K&lt;1m/d。</w:t>
      </w:r>
    </w:p>
    <w:p>
      <w:pPr>
        <w:spacing w:line="500" w:lineRule="atLeast"/>
        <w:ind w:firstLine="480"/>
        <w:rPr>
          <w:color w:val="auto"/>
        </w:rPr>
      </w:pPr>
      <w:r>
        <w:rPr>
          <w:rFonts w:hint="eastAsia"/>
          <w:color w:val="auto"/>
        </w:rPr>
        <w:t>（2）砂砾石孔隙潜水</w:t>
      </w:r>
    </w:p>
    <w:p>
      <w:pPr>
        <w:spacing w:line="500" w:lineRule="atLeast"/>
        <w:ind w:firstLine="480"/>
        <w:rPr>
          <w:rFonts w:cs="Times New Roman"/>
          <w:snapToGrid w:val="0"/>
          <w:color w:val="auto"/>
          <w:kern w:val="0"/>
        </w:rPr>
      </w:pPr>
      <w:r>
        <w:rPr>
          <w:rFonts w:cs="Times New Roman"/>
          <w:snapToGrid w:val="0"/>
          <w:color w:val="auto"/>
          <w:kern w:val="0"/>
        </w:rPr>
        <w:t>主要分布于平原区和松花江沿岸地带。含水层由砂、砂砾石组成。含水层厚度差别较大，在局部完达山山前等平原的边缘部位，含水层厚度为20~50m。平原腹地含水层厚度为100~200m。水位埋深差别不大，漫滩区为1~3m，阶地区为3~6m。含水层富水性较强，单井涌水量一般&gt;1000m</w:t>
      </w:r>
      <w:r>
        <w:rPr>
          <w:rFonts w:cs="Times New Roman"/>
          <w:snapToGrid w:val="0"/>
          <w:color w:val="auto"/>
          <w:kern w:val="0"/>
          <w:vertAlign w:val="superscript"/>
        </w:rPr>
        <w:t>3</w:t>
      </w:r>
      <w:r>
        <w:rPr>
          <w:rFonts w:cs="Times New Roman"/>
          <w:snapToGrid w:val="0"/>
          <w:color w:val="auto"/>
          <w:kern w:val="0"/>
        </w:rPr>
        <w:t>/d ，最大达13356.6m</w:t>
      </w:r>
      <w:r>
        <w:rPr>
          <w:rFonts w:cs="Times New Roman"/>
          <w:snapToGrid w:val="0"/>
          <w:color w:val="auto"/>
          <w:kern w:val="0"/>
          <w:vertAlign w:val="superscript"/>
        </w:rPr>
        <w:t>3</w:t>
      </w:r>
      <w:r>
        <w:rPr>
          <w:rFonts w:cs="Times New Roman"/>
          <w:snapToGrid w:val="0"/>
          <w:color w:val="auto"/>
          <w:kern w:val="0"/>
        </w:rPr>
        <w:t>/d，渗透系数K=20~130m/d ，局部地区单井涌水量小于1000m</w:t>
      </w:r>
      <w:r>
        <w:rPr>
          <w:rFonts w:cs="Times New Roman"/>
          <w:snapToGrid w:val="0"/>
          <w:color w:val="auto"/>
          <w:kern w:val="0"/>
          <w:vertAlign w:val="superscript"/>
        </w:rPr>
        <w:t>3</w:t>
      </w:r>
      <w:r>
        <w:rPr>
          <w:rFonts w:cs="Times New Roman"/>
          <w:snapToGrid w:val="0"/>
          <w:color w:val="auto"/>
          <w:kern w:val="0"/>
        </w:rPr>
        <w:t>/d ，渗透系数K&lt; 1m/d。</w:t>
      </w:r>
    </w:p>
    <w:p>
      <w:pPr>
        <w:spacing w:line="500" w:lineRule="atLeast"/>
        <w:ind w:firstLine="480"/>
        <w:rPr>
          <w:color w:val="auto"/>
        </w:rPr>
      </w:pPr>
      <w:r>
        <w:rPr>
          <w:rFonts w:hint="eastAsia"/>
          <w:color w:val="auto"/>
        </w:rPr>
        <w:t>（3）砂砾石孔隙弱承压水</w:t>
      </w:r>
    </w:p>
    <w:p>
      <w:pPr>
        <w:spacing w:line="500" w:lineRule="atLeast"/>
        <w:ind w:firstLine="480"/>
        <w:rPr>
          <w:rFonts w:cs="Times New Roman"/>
          <w:snapToGrid w:val="0"/>
          <w:color w:val="auto"/>
          <w:kern w:val="0"/>
        </w:rPr>
      </w:pPr>
      <w:r>
        <w:rPr>
          <w:rFonts w:cs="Times New Roman"/>
          <w:snapToGrid w:val="0"/>
          <w:color w:val="auto"/>
          <w:kern w:val="0"/>
        </w:rPr>
        <w:t>主要分布于平原区。含水层由砂、砂砾石组成。含水层厚度变化较大，总体变化规律是：黑龙江沿岸厚为100~200m，乌苏里江沿岸薄，为10~50m，前进坳陷中心区厚，为250~300m，向四周变薄。含水层结构简单，表层为10~18m厚的亚粘土层，构成含水层弱隔水顶板。亚粘土层之下为灰白色砂，砂砾石层，地下水类型为弱承压水，水位埋深5~10m，最深超过20m ，承压水头高度在1~10m不等，含水层富水性较强，单井涌水量一般都大于1000m</w:t>
      </w:r>
      <w:r>
        <w:rPr>
          <w:rFonts w:cs="Times New Roman"/>
          <w:snapToGrid w:val="0"/>
          <w:color w:val="auto"/>
          <w:kern w:val="0"/>
          <w:vertAlign w:val="superscript"/>
        </w:rPr>
        <w:t>3</w:t>
      </w:r>
      <w:r>
        <w:rPr>
          <w:rFonts w:cs="Times New Roman"/>
          <w:snapToGrid w:val="0"/>
          <w:color w:val="auto"/>
          <w:kern w:val="0"/>
        </w:rPr>
        <w:t>/d ，最高达15000m</w:t>
      </w:r>
      <w:r>
        <w:rPr>
          <w:rFonts w:cs="Times New Roman"/>
          <w:snapToGrid w:val="0"/>
          <w:color w:val="auto"/>
          <w:kern w:val="0"/>
          <w:vertAlign w:val="superscript"/>
        </w:rPr>
        <w:t>3</w:t>
      </w:r>
      <w:r>
        <w:rPr>
          <w:rFonts w:cs="Times New Roman"/>
          <w:snapToGrid w:val="0"/>
          <w:color w:val="auto"/>
          <w:kern w:val="0"/>
        </w:rPr>
        <w:t>/d ，渗透系数K= 10~95m/d。</w:t>
      </w:r>
    </w:p>
    <w:p>
      <w:pPr>
        <w:spacing w:line="500" w:lineRule="atLeast"/>
        <w:ind w:firstLine="480"/>
        <w:rPr>
          <w:color w:val="auto"/>
        </w:rPr>
      </w:pPr>
      <w:r>
        <w:rPr>
          <w:rFonts w:hint="eastAsia"/>
          <w:color w:val="auto"/>
        </w:rPr>
        <w:t>（4）基岩裂隙水</w:t>
      </w:r>
    </w:p>
    <w:p>
      <w:pPr>
        <w:spacing w:line="500" w:lineRule="atLeast"/>
        <w:ind w:firstLine="480"/>
        <w:rPr>
          <w:rFonts w:cs="Times New Roman"/>
          <w:snapToGrid w:val="0"/>
          <w:color w:val="auto"/>
          <w:kern w:val="0"/>
        </w:rPr>
      </w:pPr>
      <w:r>
        <w:rPr>
          <w:rFonts w:cs="Times New Roman"/>
          <w:snapToGrid w:val="0"/>
          <w:color w:val="auto"/>
          <w:kern w:val="0"/>
        </w:rPr>
        <w:t>主要分布于低山丘陵区，含水岩组由前第四系地层及火山岩、岩浆岩组成，可分为风化裂隙水和构造裂隙水，富水性极不均一，泉流量一般为0.05~1.24L/s。</w:t>
      </w:r>
    </w:p>
    <w:p>
      <w:pPr>
        <w:spacing w:line="500" w:lineRule="atLeast"/>
        <w:ind w:firstLine="480"/>
        <w:rPr>
          <w:color w:val="auto"/>
        </w:rPr>
      </w:pPr>
      <w:r>
        <w:rPr>
          <w:rFonts w:hint="eastAsia"/>
          <w:color w:val="auto"/>
        </w:rPr>
        <w:t>（5）地下水补给情况</w:t>
      </w:r>
    </w:p>
    <w:p>
      <w:pPr>
        <w:spacing w:line="500" w:lineRule="atLeast"/>
        <w:ind w:firstLine="480"/>
        <w:rPr>
          <w:rFonts w:cs="Times New Roman"/>
          <w:snapToGrid w:val="0"/>
          <w:color w:val="auto"/>
          <w:kern w:val="0"/>
        </w:rPr>
      </w:pPr>
      <w:r>
        <w:rPr>
          <w:rFonts w:cs="Times New Roman"/>
          <w:snapToGrid w:val="0"/>
          <w:color w:val="auto"/>
          <w:kern w:val="0"/>
        </w:rPr>
        <w:t>佳木斯市地下水的主要补给来源是降水入渗、侧向地下水径流流入、河水渗透、灌溉回归等。</w:t>
      </w:r>
    </w:p>
    <w:p>
      <w:pPr>
        <w:pStyle w:val="240"/>
        <w:rPr>
          <w:rFonts w:ascii="Times New Roman" w:hAnsi="Times New Roman" w:cs="Times New Roman" w:eastAsiaTheme="minorEastAsia"/>
          <w:color w:val="auto"/>
        </w:rPr>
      </w:pPr>
      <w:bookmarkStart w:id="139" w:name="_Toc525827474"/>
      <w:r>
        <w:rPr>
          <w:rFonts w:ascii="Times New Roman" w:hAnsi="Times New Roman" w:cs="Times New Roman" w:eastAsiaTheme="minorEastAsia"/>
          <w:color w:val="auto"/>
        </w:rPr>
        <w:t>4.1.</w:t>
      </w:r>
      <w:r>
        <w:rPr>
          <w:rFonts w:hint="eastAsia" w:ascii="Times New Roman" w:hAnsi="Times New Roman" w:cs="Times New Roman" w:eastAsiaTheme="minorEastAsia"/>
          <w:color w:val="auto"/>
          <w:lang w:val="en-US" w:eastAsia="zh-CN"/>
        </w:rPr>
        <w:t>4</w:t>
      </w:r>
      <w:r>
        <w:rPr>
          <w:rFonts w:ascii="Times New Roman" w:hAnsi="Times New Roman" w:cs="Times New Roman" w:eastAsiaTheme="minorEastAsia"/>
          <w:color w:val="auto"/>
        </w:rPr>
        <w:t>土壤、植被</w:t>
      </w:r>
      <w:bookmarkEnd w:id="139"/>
    </w:p>
    <w:p>
      <w:pPr>
        <w:spacing w:line="500" w:lineRule="atLeast"/>
        <w:ind w:firstLine="480"/>
        <w:rPr>
          <w:rFonts w:cs="Times New Roman"/>
          <w:snapToGrid w:val="0"/>
          <w:color w:val="auto"/>
          <w:kern w:val="0"/>
        </w:rPr>
      </w:pPr>
      <w:r>
        <w:rPr>
          <w:rFonts w:cs="Times New Roman"/>
          <w:snapToGrid w:val="0"/>
          <w:color w:val="auto"/>
          <w:kern w:val="0"/>
        </w:rPr>
        <w:t>佳木斯市地处三江平原，由于受地形、气候、植被等自然因素及人类生产活动的影响，全市土壤类型较多。暗棕壤土类主要分布在完达山和小兴安岭的低山地区，土类面积占全市土壤总面积的12.2％左右，耕地占全市耕地面积的3％，垦殖率为10.9％。白浆土类主要分布在丘陵漫岗和低平原上，白浆土面积约占全市土壤总面积的16.7％，其中耕地面积占全市耕地面积的15.8％，垦殖率为41.8％。黑土类主要分布在漫岗一带，占全市土壤面积的22.7％，耕地面积占全市耕地面积的30.7％，垦殖率为71.3％。黑土类土壤是佳木斯市粮食和经济作物生产基地的主要土种，其耕地面积居全市第二位。黑土分布区地势高，通透性能好，保水保肥，适耕性强，产量高且稳定。草甸土类多分布在沿江两岸，低平地和山间沟谷，草甸土面积占全市土壤面积的44.5％，耕地面积占全市耕地的38.1％，垦殖率为37.8％。沼泽土类主要分布在江河两岸和三江下游的低洼地上，各县（市）山间沟谷和蝶形洼地也有分布，沼泽土面积占全市土壤面积的3.8％，耕地面积占全市耕地面积的0.6％，垦殖率为7.4％。泥炭土面积占全市土壤总面积的0.7%。水稻土是在白浆土、黑土、草甸土、沼泽土等自然土壤或耕地土壤上，栽培水稻长期淹水条件下发育而成的农业土壤。水稻土面积占全市土壤总面的3.1％，耕地面积占全市耕地面积的6.4％，垦殖率为90.2％。</w:t>
      </w:r>
    </w:p>
    <w:p>
      <w:pPr>
        <w:pStyle w:val="240"/>
        <w:rPr>
          <w:rFonts w:ascii="Times New Roman" w:hAnsi="Times New Roman" w:cs="Times New Roman" w:eastAsiaTheme="minorEastAsia"/>
          <w:color w:val="auto"/>
        </w:rPr>
      </w:pPr>
      <w:bookmarkStart w:id="140" w:name="_Toc182895621"/>
      <w:bookmarkStart w:id="141" w:name="_Toc164390881"/>
      <w:bookmarkStart w:id="142" w:name="_Toc137639014"/>
      <w:bookmarkStart w:id="143" w:name="_Toc527660898"/>
      <w:r>
        <w:rPr>
          <w:rFonts w:hint="eastAsia" w:ascii="Times New Roman" w:hAnsi="Times New Roman" w:cs="Times New Roman" w:eastAsiaTheme="minorEastAsia"/>
          <w:color w:val="auto"/>
          <w:lang w:val="en-US" w:eastAsia="zh-CN"/>
        </w:rPr>
        <w:t>4.1.5</w:t>
      </w:r>
      <w:r>
        <w:rPr>
          <w:rFonts w:ascii="Times New Roman" w:hAnsi="Times New Roman" w:cs="Times New Roman" w:eastAsiaTheme="minorEastAsia"/>
          <w:color w:val="auto"/>
        </w:rPr>
        <w:t>矿</w:t>
      </w:r>
      <w:r>
        <w:rPr>
          <w:rFonts w:hint="eastAsia" w:ascii="Times New Roman" w:hAnsi="Times New Roman" w:cs="Times New Roman" w:eastAsiaTheme="minorEastAsia"/>
          <w:color w:val="auto"/>
        </w:rPr>
        <w:t>山</w:t>
      </w:r>
      <w:r>
        <w:rPr>
          <w:rFonts w:ascii="Times New Roman" w:hAnsi="Times New Roman" w:cs="Times New Roman" w:eastAsiaTheme="minorEastAsia"/>
          <w:color w:val="auto"/>
        </w:rPr>
        <w:t>地质</w:t>
      </w:r>
    </w:p>
    <w:p>
      <w:pPr>
        <w:pStyle w:val="2"/>
        <w:rPr>
          <w:color w:val="auto"/>
        </w:rPr>
      </w:pPr>
      <w:r>
        <w:rPr>
          <w:rFonts w:hint="eastAsia"/>
          <w:color w:val="auto"/>
          <w:lang w:val="en-US" w:eastAsia="zh-CN"/>
        </w:rPr>
        <w:t>4.1.5.1</w:t>
      </w:r>
      <w:r>
        <w:rPr>
          <w:color w:val="auto"/>
        </w:rPr>
        <w:t>矿</w:t>
      </w:r>
      <w:r>
        <w:rPr>
          <w:rFonts w:hint="eastAsia"/>
          <w:color w:val="auto"/>
        </w:rPr>
        <w:t>山</w:t>
      </w:r>
      <w:r>
        <w:rPr>
          <w:color w:val="auto"/>
        </w:rPr>
        <w:t>地质特征</w:t>
      </w:r>
      <w:bookmarkEnd w:id="140"/>
      <w:bookmarkEnd w:id="141"/>
      <w:bookmarkEnd w:id="142"/>
      <w:bookmarkEnd w:id="143"/>
      <w:bookmarkStart w:id="144" w:name="_Toc130223069"/>
      <w:bookmarkStart w:id="145" w:name="_Toc119055259"/>
      <w:bookmarkStart w:id="146" w:name="_Toc130223210"/>
      <w:bookmarkStart w:id="147" w:name="_Toc130223149"/>
      <w:bookmarkStart w:id="148" w:name="_Toc130223280"/>
    </w:p>
    <w:bookmarkEnd w:id="144"/>
    <w:bookmarkEnd w:id="145"/>
    <w:bookmarkEnd w:id="146"/>
    <w:bookmarkEnd w:id="147"/>
    <w:bookmarkEnd w:id="148"/>
    <w:p>
      <w:pPr>
        <w:spacing w:line="500" w:lineRule="atLeast"/>
        <w:ind w:firstLine="480"/>
        <w:rPr>
          <w:rFonts w:hint="eastAsia" w:cs="Times New Roman"/>
          <w:snapToGrid w:val="0"/>
          <w:color w:val="auto"/>
          <w:kern w:val="0"/>
        </w:rPr>
      </w:pPr>
      <w:bookmarkStart w:id="149" w:name="_Toc182895622"/>
      <w:r>
        <w:rPr>
          <w:rFonts w:hint="eastAsia" w:cs="Times New Roman"/>
          <w:snapToGrid w:val="0"/>
          <w:color w:val="auto"/>
          <w:kern w:val="0"/>
        </w:rPr>
        <w:t>该区内岩浆活动单一，矿区内仅见白垩系上统西格木组安山岩（K1x），因风化剥蚀形成残山低丘。</w:t>
      </w:r>
      <w:bookmarkEnd w:id="149"/>
      <w:bookmarkStart w:id="150" w:name="_Toc164390882"/>
    </w:p>
    <w:p>
      <w:pPr>
        <w:pStyle w:val="2"/>
        <w:rPr>
          <w:color w:val="auto"/>
        </w:rPr>
      </w:pPr>
      <w:r>
        <w:rPr>
          <w:rFonts w:hint="eastAsia"/>
          <w:color w:val="auto"/>
          <w:lang w:val="en-US" w:eastAsia="zh-CN"/>
        </w:rPr>
        <w:t>4.1.5.2</w:t>
      </w:r>
      <w:r>
        <w:rPr>
          <w:color w:val="auto"/>
        </w:rPr>
        <w:t>地质构造</w:t>
      </w:r>
    </w:p>
    <w:p>
      <w:pPr>
        <w:spacing w:line="500" w:lineRule="atLeast"/>
        <w:ind w:firstLine="480"/>
        <w:rPr>
          <w:rFonts w:hint="eastAsia" w:cs="Times New Roman"/>
          <w:snapToGrid w:val="0"/>
          <w:color w:val="auto"/>
          <w:kern w:val="0"/>
        </w:rPr>
      </w:pPr>
      <w:r>
        <w:rPr>
          <w:rFonts w:hint="eastAsia" w:cs="Times New Roman"/>
          <w:snapToGrid w:val="0"/>
          <w:color w:val="auto"/>
          <w:kern w:val="0"/>
        </w:rPr>
        <w:t>矿区位于兴凯湖—布利亚山地块区老爷岭地块，佳木斯隆起带中部三江新断陷盆地西缘，松花江断裂南缘处。</w:t>
      </w:r>
    </w:p>
    <w:p>
      <w:pPr>
        <w:pStyle w:val="2"/>
        <w:rPr>
          <w:color w:val="auto"/>
        </w:rPr>
      </w:pPr>
      <w:bookmarkStart w:id="151" w:name="_Toc527660900"/>
      <w:bookmarkStart w:id="152" w:name="_Toc137639016"/>
      <w:bookmarkStart w:id="153" w:name="_Toc182895623"/>
      <w:r>
        <w:rPr>
          <w:rFonts w:hint="eastAsia"/>
          <w:color w:val="auto"/>
          <w:lang w:val="en-US" w:eastAsia="zh-CN"/>
        </w:rPr>
        <w:t>4.1.5.3</w:t>
      </w:r>
      <w:r>
        <w:rPr>
          <w:rFonts w:hint="eastAsia"/>
          <w:color w:val="auto"/>
          <w:lang w:eastAsia="zh-CN"/>
        </w:rPr>
        <w:t>矿区</w:t>
      </w:r>
      <w:r>
        <w:rPr>
          <w:color w:val="auto"/>
        </w:rPr>
        <w:t>水文地质条件</w:t>
      </w:r>
      <w:bookmarkEnd w:id="150"/>
      <w:bookmarkEnd w:id="151"/>
      <w:bookmarkEnd w:id="152"/>
      <w:bookmarkEnd w:id="153"/>
    </w:p>
    <w:p>
      <w:pPr>
        <w:spacing w:line="500" w:lineRule="atLeast"/>
        <w:ind w:firstLine="480"/>
        <w:rPr>
          <w:rFonts w:hint="eastAsia" w:cs="Times New Roman"/>
          <w:snapToGrid w:val="0"/>
          <w:color w:val="auto"/>
          <w:kern w:val="0"/>
        </w:rPr>
      </w:pPr>
      <w:bookmarkStart w:id="154" w:name="_Toc157918346"/>
      <w:r>
        <w:rPr>
          <w:rFonts w:cs="Times New Roman"/>
          <w:snapToGrid w:val="0"/>
          <w:color w:val="auto"/>
          <w:kern w:val="0"/>
          <w:lang w:val="en-US" w:eastAsia="zh-CN"/>
        </w:rPr>
        <w:t>矿床为露天开采，矿区地形较高，最低开采标高位于当地侵蚀基准面之上，地形有利于排水，本矿床本身含水性较弱，且受大气降水渗入补给，属水文地质条件</w:t>
      </w:r>
      <w:r>
        <w:rPr>
          <w:rFonts w:cs="Times New Roman"/>
          <w:snapToGrid w:val="0"/>
          <w:color w:val="auto"/>
          <w:kern w:val="0"/>
        </w:rPr>
        <w:t>简单矿床。</w:t>
      </w:r>
    </w:p>
    <w:p>
      <w:pPr>
        <w:spacing w:line="500" w:lineRule="atLeast"/>
        <w:ind w:firstLine="480"/>
        <w:rPr>
          <w:rFonts w:cs="Times New Roman"/>
          <w:snapToGrid w:val="0"/>
          <w:color w:val="auto"/>
          <w:kern w:val="0"/>
        </w:rPr>
      </w:pPr>
      <w:r>
        <w:rPr>
          <w:rFonts w:cs="Times New Roman"/>
          <w:snapToGrid w:val="0"/>
          <w:color w:val="auto"/>
          <w:kern w:val="0"/>
        </w:rPr>
        <w:t>矿山开采深度内未见地下水，对矿山开采无不良影响。</w:t>
      </w:r>
    </w:p>
    <w:p>
      <w:pPr>
        <w:pStyle w:val="2"/>
        <w:rPr>
          <w:color w:val="auto"/>
        </w:rPr>
      </w:pPr>
      <w:bookmarkStart w:id="155" w:name="_Toc137639017"/>
      <w:bookmarkStart w:id="156" w:name="_Toc527660901"/>
      <w:r>
        <w:rPr>
          <w:rFonts w:hint="eastAsia"/>
          <w:color w:val="auto"/>
          <w:lang w:val="en-US" w:eastAsia="zh-CN"/>
        </w:rPr>
        <w:t>4.1.5.4</w:t>
      </w:r>
      <w:r>
        <w:rPr>
          <w:rFonts w:hint="eastAsia"/>
          <w:color w:val="auto"/>
        </w:rPr>
        <w:t>岩土体工程地质条件</w:t>
      </w:r>
      <w:bookmarkEnd w:id="155"/>
      <w:bookmarkEnd w:id="156"/>
    </w:p>
    <w:bookmarkEnd w:id="154"/>
    <w:p>
      <w:pPr>
        <w:spacing w:line="500" w:lineRule="atLeast"/>
        <w:ind w:firstLine="480"/>
        <w:rPr>
          <w:rFonts w:hint="eastAsia" w:cs="Times New Roman"/>
          <w:snapToGrid w:val="0"/>
          <w:color w:val="auto"/>
          <w:kern w:val="0"/>
        </w:rPr>
      </w:pPr>
      <w:r>
        <w:rPr>
          <w:rFonts w:cs="Times New Roman"/>
          <w:snapToGrid w:val="0"/>
          <w:color w:val="auto"/>
          <w:kern w:val="0"/>
        </w:rPr>
        <w:t>矿区内地表</w:t>
      </w:r>
      <w:r>
        <w:rPr>
          <w:rFonts w:hint="eastAsia" w:cs="Times New Roman"/>
          <w:snapToGrid w:val="0"/>
          <w:color w:val="auto"/>
          <w:kern w:val="0"/>
        </w:rPr>
        <w:t>0</w:t>
      </w:r>
      <w:r>
        <w:rPr>
          <w:rFonts w:cs="Times New Roman"/>
          <w:snapToGrid w:val="0"/>
          <w:color w:val="auto"/>
          <w:kern w:val="0"/>
        </w:rPr>
        <w:t>－</w:t>
      </w:r>
      <w:r>
        <w:rPr>
          <w:rFonts w:hint="eastAsia" w:cs="Times New Roman"/>
          <w:snapToGrid w:val="0"/>
          <w:color w:val="auto"/>
          <w:kern w:val="0"/>
        </w:rPr>
        <w:t>0.5</w:t>
      </w:r>
      <w:r>
        <w:rPr>
          <w:rFonts w:cs="Times New Roman"/>
          <w:snapToGrid w:val="0"/>
          <w:color w:val="auto"/>
          <w:kern w:val="0"/>
        </w:rPr>
        <w:t>m为腐植土及残坡积、风化层，下部为坚硬的基岩，</w:t>
      </w:r>
      <w:r>
        <w:rPr>
          <w:rFonts w:hint="eastAsia" w:cs="Times New Roman"/>
          <w:snapToGrid w:val="0"/>
          <w:color w:val="auto"/>
          <w:kern w:val="0"/>
        </w:rPr>
        <w:t>矿体内矿石致密，较稳定。开采深度浅，基本不会造成坍塌和滑坡现象的发生</w:t>
      </w:r>
      <w:r>
        <w:rPr>
          <w:rFonts w:cs="Times New Roman"/>
          <w:snapToGrid w:val="0"/>
          <w:color w:val="auto"/>
          <w:kern w:val="0"/>
        </w:rPr>
        <w:t>。</w:t>
      </w:r>
      <w:r>
        <w:rPr>
          <w:rFonts w:hint="eastAsia" w:cs="Times New Roman"/>
          <w:snapToGrid w:val="0"/>
          <w:color w:val="auto"/>
          <w:kern w:val="0"/>
        </w:rPr>
        <w:t>工程地质条件较好。</w:t>
      </w:r>
    </w:p>
    <w:p>
      <w:pPr>
        <w:pStyle w:val="2"/>
        <w:rPr>
          <w:rFonts w:hint="eastAsia"/>
          <w:color w:val="auto"/>
        </w:rPr>
      </w:pPr>
      <w:bookmarkStart w:id="157" w:name="_Toc182895624"/>
      <w:bookmarkStart w:id="158" w:name="_Toc164390884"/>
      <w:bookmarkStart w:id="159" w:name="_Toc137639018"/>
      <w:bookmarkStart w:id="160" w:name="_Toc527660902"/>
      <w:r>
        <w:rPr>
          <w:rFonts w:hint="eastAsia"/>
          <w:color w:val="auto"/>
          <w:lang w:val="en-US" w:eastAsia="zh-CN"/>
        </w:rPr>
        <w:t>4.1.5.5</w:t>
      </w:r>
      <w:r>
        <w:rPr>
          <w:color w:val="auto"/>
        </w:rPr>
        <w:t>矿体特征</w:t>
      </w:r>
      <w:bookmarkEnd w:id="157"/>
      <w:bookmarkEnd w:id="158"/>
      <w:bookmarkEnd w:id="159"/>
      <w:bookmarkEnd w:id="160"/>
    </w:p>
    <w:p>
      <w:pPr>
        <w:spacing w:line="500" w:lineRule="atLeast"/>
        <w:ind w:firstLine="480"/>
        <w:rPr>
          <w:rFonts w:hint="eastAsia" w:cs="Times New Roman"/>
          <w:snapToGrid w:val="0"/>
          <w:color w:val="auto"/>
          <w:kern w:val="0"/>
        </w:rPr>
      </w:pPr>
      <w:r>
        <w:rPr>
          <w:rFonts w:hint="eastAsia" w:cs="Times New Roman"/>
          <w:snapToGrid w:val="0"/>
          <w:color w:val="auto"/>
          <w:kern w:val="0"/>
        </w:rPr>
        <w:t>矿体为白垩系上统西格木组安山岩，</w:t>
      </w:r>
      <w:r>
        <w:rPr>
          <w:rFonts w:cs="Times New Roman"/>
          <w:snapToGrid w:val="0"/>
          <w:color w:val="auto"/>
          <w:kern w:val="0"/>
        </w:rPr>
        <w:t>本次储量检测</w:t>
      </w:r>
      <w:r>
        <w:rPr>
          <w:rFonts w:hint="eastAsia" w:cs="Times New Roman"/>
          <w:snapToGrid w:val="0"/>
          <w:color w:val="auto"/>
          <w:kern w:val="0"/>
        </w:rPr>
        <w:t>矿区</w:t>
      </w:r>
      <w:r>
        <w:rPr>
          <w:rFonts w:cs="Times New Roman"/>
          <w:snapToGrid w:val="0"/>
          <w:color w:val="auto"/>
          <w:kern w:val="0"/>
        </w:rPr>
        <w:t>矿体为近</w:t>
      </w:r>
      <w:r>
        <w:rPr>
          <w:rFonts w:hint="eastAsia" w:cs="Times New Roman"/>
          <w:snapToGrid w:val="0"/>
          <w:color w:val="auto"/>
          <w:kern w:val="0"/>
        </w:rPr>
        <w:t>六面体</w:t>
      </w:r>
      <w:r>
        <w:rPr>
          <w:rFonts w:cs="Times New Roman"/>
          <w:snapToGrid w:val="0"/>
          <w:color w:val="auto"/>
          <w:kern w:val="0"/>
        </w:rPr>
        <w:t>，</w:t>
      </w:r>
      <w:r>
        <w:rPr>
          <w:rFonts w:hint="eastAsia" w:cs="Times New Roman"/>
          <w:snapToGrid w:val="0"/>
          <w:color w:val="auto"/>
          <w:kern w:val="0"/>
        </w:rPr>
        <w:t>矿</w:t>
      </w:r>
      <w:r>
        <w:rPr>
          <w:rFonts w:cs="Times New Roman"/>
          <w:snapToGrid w:val="0"/>
          <w:color w:val="auto"/>
          <w:kern w:val="0"/>
        </w:rPr>
        <w:t>石为</w:t>
      </w:r>
      <w:r>
        <w:rPr>
          <w:rFonts w:hint="eastAsia" w:cs="Times New Roman"/>
          <w:snapToGrid w:val="0"/>
          <w:color w:val="auto"/>
          <w:kern w:val="0"/>
        </w:rPr>
        <w:t>微风化安山岩</w:t>
      </w:r>
      <w:r>
        <w:rPr>
          <w:rFonts w:cs="Times New Roman"/>
          <w:snapToGrid w:val="0"/>
          <w:color w:val="auto"/>
          <w:kern w:val="0"/>
        </w:rPr>
        <w:t>，</w:t>
      </w:r>
      <w:r>
        <w:rPr>
          <w:rFonts w:hint="eastAsia" w:cs="Times New Roman"/>
          <w:snapToGrid w:val="0"/>
          <w:color w:val="auto"/>
          <w:kern w:val="0"/>
        </w:rPr>
        <w:t>岩石锤击声较清脆，有回弹，属较硬岩。岩石风化面深灰色，新鲜面灰色，斑状结构，块状构造，矿物成分主要为斜长石，石英等。</w:t>
      </w:r>
      <w:r>
        <w:rPr>
          <w:rFonts w:cs="Times New Roman"/>
          <w:snapToGrid w:val="0"/>
          <w:color w:val="auto"/>
          <w:kern w:val="0"/>
        </w:rPr>
        <w:t>矿石</w:t>
      </w:r>
      <w:r>
        <w:rPr>
          <w:rFonts w:hint="eastAsia" w:cs="Times New Roman"/>
          <w:snapToGrid w:val="0"/>
          <w:color w:val="auto"/>
          <w:kern w:val="0"/>
        </w:rPr>
        <w:t>呈板柱状，节理平均间距0.3~0.6m，结构面组合较好，岩石较完整。</w:t>
      </w:r>
    </w:p>
    <w:p>
      <w:pPr>
        <w:spacing w:line="500" w:lineRule="atLeast"/>
        <w:ind w:firstLine="480"/>
        <w:rPr>
          <w:rFonts w:cs="Times New Roman"/>
          <w:snapToGrid w:val="0"/>
          <w:color w:val="auto"/>
          <w:kern w:val="0"/>
        </w:rPr>
      </w:pPr>
      <w:r>
        <w:rPr>
          <w:rFonts w:hint="eastAsia" w:cs="Times New Roman"/>
          <w:snapToGrid w:val="0"/>
          <w:color w:val="auto"/>
          <w:kern w:val="0"/>
        </w:rPr>
        <w:t>安山岩</w:t>
      </w:r>
      <w:r>
        <w:rPr>
          <w:rFonts w:cs="Times New Roman"/>
          <w:snapToGrid w:val="0"/>
          <w:color w:val="auto"/>
          <w:kern w:val="0"/>
        </w:rPr>
        <w:t>岩石完整，物理力学性质好，节理较发育，对露天开采有利。矿区内最低</w:t>
      </w:r>
      <w:r>
        <w:rPr>
          <w:rFonts w:hint="eastAsia" w:cs="Times New Roman"/>
          <w:snapToGrid w:val="0"/>
          <w:color w:val="auto"/>
          <w:kern w:val="0"/>
        </w:rPr>
        <w:t>开采面高于最低</w:t>
      </w:r>
      <w:r>
        <w:rPr>
          <w:rFonts w:cs="Times New Roman"/>
          <w:snapToGrid w:val="0"/>
          <w:color w:val="auto"/>
          <w:kern w:val="0"/>
        </w:rPr>
        <w:t>侵蚀基准面，露天开采可自然排水。</w:t>
      </w:r>
    </w:p>
    <w:p>
      <w:pPr>
        <w:pStyle w:val="2"/>
        <w:rPr>
          <w:rFonts w:hint="eastAsia"/>
          <w:color w:val="auto"/>
        </w:rPr>
      </w:pPr>
      <w:bookmarkStart w:id="161" w:name="_Toc527660903"/>
      <w:bookmarkStart w:id="162" w:name="_Toc137639019"/>
      <w:r>
        <w:rPr>
          <w:rFonts w:hint="eastAsia"/>
          <w:color w:val="auto"/>
          <w:lang w:val="en-US" w:eastAsia="zh-CN"/>
        </w:rPr>
        <w:t>4.1.5.6</w:t>
      </w:r>
      <w:r>
        <w:rPr>
          <w:color w:val="auto"/>
        </w:rPr>
        <w:t>矿</w:t>
      </w:r>
      <w:r>
        <w:rPr>
          <w:rFonts w:hint="eastAsia"/>
          <w:color w:val="auto"/>
        </w:rPr>
        <w:t>石</w:t>
      </w:r>
      <w:r>
        <w:rPr>
          <w:color w:val="auto"/>
        </w:rPr>
        <w:t>特征</w:t>
      </w:r>
      <w:bookmarkEnd w:id="161"/>
      <w:bookmarkEnd w:id="162"/>
    </w:p>
    <w:p>
      <w:pPr>
        <w:spacing w:line="500" w:lineRule="atLeast"/>
        <w:ind w:firstLine="480"/>
        <w:rPr>
          <w:rFonts w:cs="Times New Roman"/>
          <w:snapToGrid w:val="0"/>
          <w:color w:val="auto"/>
          <w:kern w:val="0"/>
        </w:rPr>
      </w:pPr>
      <w:r>
        <w:rPr>
          <w:rFonts w:hint="eastAsia" w:cs="Times New Roman"/>
          <w:snapToGrid w:val="0"/>
          <w:color w:val="auto"/>
          <w:kern w:val="0"/>
        </w:rPr>
        <w:t>矿</w:t>
      </w:r>
      <w:r>
        <w:rPr>
          <w:rFonts w:cs="Times New Roman"/>
          <w:snapToGrid w:val="0"/>
          <w:color w:val="auto"/>
          <w:kern w:val="0"/>
        </w:rPr>
        <w:t>石为</w:t>
      </w:r>
      <w:r>
        <w:rPr>
          <w:rFonts w:hint="eastAsia" w:cs="Times New Roman"/>
          <w:snapToGrid w:val="0"/>
          <w:color w:val="auto"/>
          <w:kern w:val="0"/>
        </w:rPr>
        <w:t>微风化安山岩</w:t>
      </w:r>
      <w:r>
        <w:rPr>
          <w:rFonts w:cs="Times New Roman"/>
          <w:snapToGrid w:val="0"/>
          <w:color w:val="auto"/>
          <w:kern w:val="0"/>
        </w:rPr>
        <w:t>，</w:t>
      </w:r>
      <w:r>
        <w:rPr>
          <w:rFonts w:hint="eastAsia" w:cs="Times New Roman"/>
          <w:snapToGrid w:val="0"/>
          <w:color w:val="auto"/>
          <w:kern w:val="0"/>
        </w:rPr>
        <w:t>岩石锤击声较清脆，有回弹，属较硬岩。岩石风化面深灰色，新鲜面灰色，斑状结构，块状构造，矿物成分主要为斜长石，石英等。</w:t>
      </w:r>
    </w:p>
    <w:p>
      <w:pPr>
        <w:pStyle w:val="238"/>
        <w:rPr>
          <w:rFonts w:hAnsi="Times New Roman" w:eastAsiaTheme="minorEastAsia"/>
          <w:color w:val="auto"/>
        </w:rPr>
      </w:pPr>
      <w:bookmarkStart w:id="163" w:name="_Toc519693572"/>
      <w:r>
        <w:rPr>
          <w:rFonts w:hAnsi="Times New Roman" w:eastAsiaTheme="minorEastAsia"/>
          <w:color w:val="auto"/>
        </w:rPr>
        <w:t>4.2环境保护目标调查</w:t>
      </w:r>
      <w:bookmarkEnd w:id="163"/>
    </w:p>
    <w:p>
      <w:pPr>
        <w:pStyle w:val="276"/>
        <w:rPr>
          <w:rFonts w:eastAsiaTheme="minorEastAsia"/>
          <w:color w:val="auto"/>
        </w:rPr>
      </w:pPr>
      <w:r>
        <w:rPr>
          <w:rFonts w:eastAsiaTheme="minorEastAsia"/>
          <w:color w:val="auto"/>
        </w:rPr>
        <w:t>本项目建设在</w:t>
      </w:r>
      <w:r>
        <w:rPr>
          <w:rFonts w:hint="eastAsia" w:eastAsiaTheme="minorEastAsia"/>
          <w:color w:val="auto"/>
          <w:lang w:eastAsia="zh-CN"/>
        </w:rPr>
        <w:t>佳木斯市郊区沿江乡新华村南约450m处</w:t>
      </w:r>
      <w:r>
        <w:rPr>
          <w:rFonts w:eastAsiaTheme="minorEastAsia"/>
          <w:color w:val="auto"/>
        </w:rPr>
        <w:t>，评价范围内无珍稀名胜古迹和自然保护区，厂界距离最近的环境敏感目标</w:t>
      </w:r>
      <w:r>
        <w:rPr>
          <w:rFonts w:hint="eastAsia" w:eastAsiaTheme="minorEastAsia"/>
          <w:color w:val="auto"/>
          <w:lang w:eastAsia="zh-CN"/>
        </w:rPr>
        <w:t>新华村</w:t>
      </w:r>
      <w:r>
        <w:rPr>
          <w:rFonts w:eastAsiaTheme="minorEastAsia"/>
          <w:color w:val="auto"/>
        </w:rPr>
        <w:t>距离为</w:t>
      </w:r>
      <w:r>
        <w:rPr>
          <w:rFonts w:hint="eastAsia" w:eastAsiaTheme="minorEastAsia"/>
          <w:color w:val="auto"/>
          <w:lang w:eastAsia="zh-CN"/>
        </w:rPr>
        <w:t>450m</w:t>
      </w:r>
      <w:r>
        <w:rPr>
          <w:rFonts w:eastAsiaTheme="minorEastAsia"/>
          <w:color w:val="auto"/>
        </w:rPr>
        <w:t>，具体调查区域内主要环境保护目标见表2-5-2。</w:t>
      </w:r>
      <w:r>
        <w:rPr>
          <w:rFonts w:eastAsiaTheme="minorEastAsia"/>
          <w:snapToGrid w:val="0"/>
          <w:color w:val="auto"/>
        </w:rPr>
        <w:t>环境空气、声环境的保护目标为评价范围内的村庄，服务功能为村民居住地，保护对象为村民，保护要求为各个村庄环境空气、声环境达到相应的质量标准。地表水的保护目标为</w:t>
      </w:r>
      <w:r>
        <w:rPr>
          <w:rFonts w:hint="eastAsia" w:eastAsiaTheme="minorEastAsia"/>
          <w:snapToGrid w:val="0"/>
          <w:color w:val="auto"/>
          <w:lang w:eastAsia="zh-CN"/>
        </w:rPr>
        <w:t>松花江</w:t>
      </w:r>
      <w:r>
        <w:rPr>
          <w:rFonts w:eastAsiaTheme="minorEastAsia"/>
          <w:color w:val="auto"/>
        </w:rPr>
        <w:t>。</w:t>
      </w:r>
    </w:p>
    <w:p>
      <w:pPr>
        <w:pStyle w:val="238"/>
        <w:rPr>
          <w:rFonts w:hAnsi="Times New Roman" w:eastAsiaTheme="minorEastAsia"/>
          <w:color w:val="auto"/>
        </w:rPr>
      </w:pPr>
      <w:bookmarkStart w:id="164" w:name="_Toc519693573"/>
      <w:bookmarkStart w:id="165" w:name="_Toc376768379"/>
      <w:bookmarkStart w:id="166" w:name="_Toc440973743"/>
      <w:bookmarkStart w:id="167" w:name="_Toc440973477"/>
      <w:r>
        <w:rPr>
          <w:rFonts w:hAnsi="Times New Roman" w:eastAsiaTheme="minorEastAsia"/>
          <w:color w:val="auto"/>
        </w:rPr>
        <w:t>4.3环境空气质量现状评价</w:t>
      </w:r>
      <w:bookmarkEnd w:id="164"/>
      <w:bookmarkEnd w:id="165"/>
      <w:bookmarkEnd w:id="166"/>
      <w:bookmarkEnd w:id="167"/>
    </w:p>
    <w:p>
      <w:pPr>
        <w:pStyle w:val="18"/>
        <w:keepNext w:val="0"/>
        <w:keepLines w:val="0"/>
        <w:pageBreakBefore w:val="0"/>
        <w:widowControl w:val="0"/>
        <w:kinsoku/>
        <w:wordWrap/>
        <w:overflowPunct/>
        <w:topLinePunct w:val="0"/>
        <w:autoSpaceDE/>
        <w:autoSpaceDN/>
        <w:bidi w:val="0"/>
        <w:adjustRightInd/>
        <w:snapToGrid/>
        <w:spacing w:before="120" w:line="500" w:lineRule="exact"/>
        <w:ind w:firstLine="480" w:firstLineChars="200"/>
        <w:jc w:val="both"/>
        <w:textAlignment w:val="auto"/>
        <w:outlineLvl w:val="9"/>
        <w:rPr>
          <w:rFonts w:hint="eastAsia" w:ascii="仿宋_GB2312"/>
          <w:color w:val="auto"/>
          <w:sz w:val="24"/>
          <w:szCs w:val="24"/>
        </w:rPr>
      </w:pPr>
      <w:r>
        <w:rPr>
          <w:rFonts w:hint="eastAsia" w:ascii="仿宋_GB2312"/>
          <w:color w:val="auto"/>
          <w:sz w:val="24"/>
          <w:szCs w:val="24"/>
        </w:rPr>
        <w:t>项目所在地属环境空气质量功能区划中的二类区。本报告引用《2017年佳木斯市环境质量简报》</w:t>
      </w:r>
      <w:r>
        <w:rPr>
          <w:rFonts w:hint="eastAsia" w:ascii="仿宋_GB2312" w:hAnsi="宋体" w:cs="宋体"/>
          <w:color w:val="auto"/>
          <w:sz w:val="24"/>
          <w:szCs w:val="24"/>
        </w:rPr>
        <w:t>中的数据。</w:t>
      </w:r>
      <w:r>
        <w:rPr>
          <w:rFonts w:hint="eastAsia" w:ascii="仿宋_GB2312"/>
          <w:color w:val="auto"/>
          <w:sz w:val="24"/>
          <w:szCs w:val="24"/>
        </w:rPr>
        <w:t>2017年佳木斯市区环境空气质量指数AQI达到和好于二级的优良天数为324天，达标比例为88.8%；污染天数为41天，其中轻度污染为21天，中度污染为8天，重度污染为8天，严重污染为4天。佳木斯市环境空气中，首要污染物主要为细颗粒物（PM2.5）、其次为O3-8h。从综合污染指数看，采暖期综合指数明显高于非采暖期，表明佳木斯市采暖期空气污染重于非采暖期。各项污染物年均值除细颗粒物（PM2.5）超标外，其余项目均不超标，细颗粒物（PM2.5）年均值为38μg /m</w:t>
      </w:r>
      <w:r>
        <w:rPr>
          <w:rFonts w:hint="eastAsia" w:ascii="仿宋_GB2312"/>
          <w:color w:val="auto"/>
          <w:sz w:val="24"/>
          <w:szCs w:val="24"/>
          <w:vertAlign w:val="superscript"/>
        </w:rPr>
        <w:t>3</w:t>
      </w:r>
      <w:r>
        <w:rPr>
          <w:rFonts w:hint="eastAsia" w:ascii="仿宋_GB2312"/>
          <w:color w:val="auto"/>
          <w:sz w:val="24"/>
          <w:szCs w:val="24"/>
        </w:rPr>
        <w:t>，超标0.09倍；可吸入颗粒物（PM10）、细颗粒物（PM2.5）、二氧化氮、臭氧日均值均有超标现象</w:t>
      </w:r>
      <w:r>
        <w:rPr>
          <w:rFonts w:hint="eastAsia" w:ascii="仿宋_GB2312"/>
          <w:color w:val="auto"/>
          <w:sz w:val="24"/>
          <w:szCs w:val="24"/>
          <w:lang w:eastAsia="zh-CN"/>
        </w:rPr>
        <w:t>，不能满足</w:t>
      </w:r>
      <w:r>
        <w:rPr>
          <w:rFonts w:hint="eastAsia" w:ascii="仿宋_GB2312"/>
          <w:color w:val="auto"/>
          <w:sz w:val="24"/>
          <w:szCs w:val="24"/>
        </w:rPr>
        <w:t>《环境空气质量标准》(GB3095-2012)中二级标准</w:t>
      </w:r>
      <w:r>
        <w:rPr>
          <w:rFonts w:hint="eastAsia" w:ascii="仿宋_GB2312"/>
          <w:color w:val="auto"/>
          <w:sz w:val="24"/>
          <w:szCs w:val="24"/>
          <w:lang w:eastAsia="zh-CN"/>
        </w:rPr>
        <w:t>要求</w:t>
      </w:r>
      <w:r>
        <w:rPr>
          <w:rFonts w:hint="eastAsia" w:ascii="仿宋_GB2312"/>
          <w:color w:val="auto"/>
          <w:sz w:val="24"/>
          <w:szCs w:val="24"/>
        </w:rPr>
        <w:t>。</w:t>
      </w:r>
    </w:p>
    <w:p>
      <w:pPr>
        <w:rPr>
          <w:rFonts w:hint="eastAsia" w:ascii="仿宋_GB2312"/>
          <w:color w:val="auto"/>
          <w:sz w:val="24"/>
          <w:szCs w:val="24"/>
        </w:rPr>
      </w:pPr>
    </w:p>
    <w:p>
      <w:pPr>
        <w:pStyle w:val="55"/>
        <w:rPr>
          <w:color w:val="auto"/>
          <w:lang w:val="en-US"/>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pPr>
        <w:pStyle w:val="238"/>
        <w:rPr>
          <w:rFonts w:hAnsi="Times New Roman" w:eastAsiaTheme="minorEastAsia"/>
          <w:color w:val="auto"/>
        </w:rPr>
      </w:pPr>
      <w:bookmarkStart w:id="168" w:name="_Toc419096879"/>
      <w:bookmarkStart w:id="169" w:name="_Toc421089011"/>
      <w:bookmarkStart w:id="170" w:name="_Toc440973746"/>
      <w:bookmarkStart w:id="171" w:name="_Toc519693574"/>
      <w:bookmarkStart w:id="172" w:name="_Toc440973480"/>
      <w:r>
        <w:rPr>
          <w:rFonts w:hAnsi="Times New Roman" w:eastAsiaTheme="minorEastAsia"/>
          <w:color w:val="auto"/>
        </w:rPr>
        <w:t>4.4地表水环境质量现状评价</w:t>
      </w:r>
      <w:bookmarkEnd w:id="168"/>
      <w:bookmarkEnd w:id="169"/>
      <w:bookmarkEnd w:id="170"/>
      <w:bookmarkEnd w:id="171"/>
      <w:bookmarkEnd w:id="172"/>
    </w:p>
    <w:p>
      <w:pPr>
        <w:pStyle w:val="240"/>
        <w:rPr>
          <w:rFonts w:ascii="Times New Roman" w:hAnsi="Times New Roman" w:cs="Times New Roman" w:eastAsiaTheme="minorEastAsia"/>
          <w:color w:val="auto"/>
        </w:rPr>
      </w:pPr>
      <w:bookmarkStart w:id="173" w:name="_Toc525827482"/>
      <w:bookmarkStart w:id="174" w:name="_Toc440973486"/>
      <w:bookmarkStart w:id="175" w:name="_Toc440973752"/>
      <w:bookmarkStart w:id="176" w:name="_Toc421089013"/>
      <w:bookmarkStart w:id="177" w:name="_Toc419096886"/>
      <w:r>
        <w:rPr>
          <w:rFonts w:ascii="Times New Roman" w:hAnsi="Times New Roman" w:cs="Times New Roman" w:eastAsiaTheme="minorEastAsia"/>
          <w:color w:val="auto"/>
        </w:rPr>
        <w:t>4.4.1地表水环境现状监测</w:t>
      </w:r>
      <w:bookmarkEnd w:id="173"/>
    </w:p>
    <w:p>
      <w:pPr>
        <w:ind w:firstLine="480"/>
        <w:rPr>
          <w:rFonts w:cs="Times New Roman"/>
          <w:color w:val="auto"/>
        </w:rPr>
      </w:pPr>
      <w:r>
        <w:rPr>
          <w:rFonts w:hint="eastAsia" w:cs="Times New Roman"/>
          <w:color w:val="auto"/>
        </w:rPr>
        <w:t>1、监测数据来源</w:t>
      </w:r>
    </w:p>
    <w:p>
      <w:pPr>
        <w:ind w:firstLine="480"/>
        <w:rPr>
          <w:rFonts w:hint="eastAsia" w:eastAsia="宋体" w:cs="Times New Roman"/>
          <w:color w:val="auto"/>
          <w:lang w:eastAsia="zh-CN"/>
        </w:rPr>
      </w:pPr>
      <w:r>
        <w:rPr>
          <w:rFonts w:cs="Times New Roman"/>
          <w:color w:val="auto"/>
        </w:rPr>
        <w:t>本项目地表水环境现状引用《</w:t>
      </w:r>
      <w:r>
        <w:rPr>
          <w:rFonts w:hint="eastAsia" w:cs="Times New Roman"/>
          <w:color w:val="auto"/>
        </w:rPr>
        <w:t>佳木斯江北工业园区总体规划环境影响报告书</w:t>
      </w:r>
      <w:r>
        <w:rPr>
          <w:rFonts w:cs="Times New Roman"/>
          <w:color w:val="auto"/>
        </w:rPr>
        <w:t>》中监测数据</w:t>
      </w:r>
      <w:r>
        <w:rPr>
          <w:rFonts w:hint="eastAsia" w:cs="Times New Roman"/>
          <w:color w:val="auto"/>
          <w:lang w:eastAsia="zh-CN"/>
        </w:rPr>
        <w:t>。</w:t>
      </w:r>
    </w:p>
    <w:p>
      <w:pPr>
        <w:pStyle w:val="39"/>
        <w:ind w:left="0" w:leftChars="0" w:firstLine="0" w:firstLineChars="0"/>
        <w:rPr>
          <w:color w:val="auto"/>
        </w:rPr>
      </w:pPr>
      <w:r>
        <w:rPr>
          <w:rFonts w:hint="eastAsia"/>
          <w:color w:val="auto"/>
        </w:rPr>
        <w:t xml:space="preserve">    </w:t>
      </w:r>
      <w:r>
        <w:rPr>
          <w:rFonts w:hint="eastAsia" w:ascii="Times New Roman" w:hAnsi="Times New Roman" w:eastAsia="宋体" w:cs="Times New Roman"/>
          <w:smallCaps w:val="0"/>
          <w:color w:val="auto"/>
          <w:kern w:val="2"/>
          <w:sz w:val="24"/>
          <w:szCs w:val="22"/>
          <w:lang w:val="en-US" w:eastAsia="zh-CN" w:bidi="ar-SA"/>
        </w:rPr>
        <w:t>2、监测断面布设</w:t>
      </w:r>
    </w:p>
    <w:p>
      <w:pPr>
        <w:wordWrap w:val="0"/>
        <w:spacing w:line="360" w:lineRule="auto"/>
        <w:ind w:firstLine="480"/>
        <w:jc w:val="left"/>
        <w:rPr>
          <w:rFonts w:cs="Times New Roman"/>
          <w:color w:val="auto"/>
        </w:rPr>
      </w:pPr>
      <w:r>
        <w:rPr>
          <w:rFonts w:cs="Times New Roman"/>
          <w:color w:val="auto"/>
        </w:rPr>
        <w:t>监测</w:t>
      </w:r>
      <w:r>
        <w:rPr>
          <w:rFonts w:hint="eastAsia" w:cs="Times New Roman"/>
          <w:color w:val="auto"/>
          <w:lang w:eastAsia="zh-CN"/>
        </w:rPr>
        <w:t>断面为</w:t>
      </w:r>
      <w:r>
        <w:rPr>
          <w:rFonts w:hint="eastAsia"/>
          <w:bCs/>
          <w:color w:val="auto"/>
          <w:szCs w:val="24"/>
        </w:rPr>
        <w:t>1#佳木斯江北园区污水处理厂排污口上游500m、2#佳木斯江北园区污水处理厂排污口下游1000m、3#佳木斯宏力村断面</w:t>
      </w:r>
      <w:r>
        <w:rPr>
          <w:rFonts w:cs="Times New Roman"/>
          <w:color w:val="auto"/>
        </w:rPr>
        <w:t>。</w:t>
      </w:r>
    </w:p>
    <w:p>
      <w:pPr>
        <w:spacing w:line="360" w:lineRule="auto"/>
        <w:ind w:firstLine="560"/>
        <w:jc w:val="center"/>
        <w:rPr>
          <w:rFonts w:hint="eastAsia" w:eastAsia="仿宋_GB2312" w:cs="Times New Roman"/>
          <w:color w:val="auto"/>
          <w:sz w:val="28"/>
          <w:lang w:eastAsia="zh-CN"/>
        </w:rPr>
      </w:pPr>
      <w:r>
        <w:rPr>
          <w:rFonts w:eastAsia="仿宋_GB2312" w:cs="Times New Roman"/>
          <w:color w:val="auto"/>
          <w:sz w:val="28"/>
        </w:rPr>
        <mc:AlternateContent>
          <mc:Choice Requires="wps">
            <w:drawing>
              <wp:anchor distT="0" distB="0" distL="114300" distR="114300" simplePos="0" relativeHeight="270345216" behindDoc="0" locked="0" layoutInCell="1" allowOverlap="1">
                <wp:simplePos x="0" y="0"/>
                <wp:positionH relativeFrom="column">
                  <wp:posOffset>1578610</wp:posOffset>
                </wp:positionH>
                <wp:positionV relativeFrom="paragraph">
                  <wp:posOffset>2982595</wp:posOffset>
                </wp:positionV>
                <wp:extent cx="962025" cy="280670"/>
                <wp:effectExtent l="393065" t="4445" r="16510" b="19685"/>
                <wp:wrapNone/>
                <wp:docPr id="86" name="矩形标注 86"/>
                <wp:cNvGraphicFramePr/>
                <a:graphic xmlns:a="http://schemas.openxmlformats.org/drawingml/2006/main">
                  <a:graphicData uri="http://schemas.microsoft.com/office/word/2010/wordprocessingShape">
                    <wps:wsp>
                      <wps:cNvSpPr/>
                      <wps:spPr>
                        <a:xfrm>
                          <a:off x="0" y="0"/>
                          <a:ext cx="962025" cy="280670"/>
                        </a:xfrm>
                        <a:prstGeom prst="wedgeRectCallout">
                          <a:avLst>
                            <a:gd name="adj1" fmla="val -86897"/>
                            <a:gd name="adj2" fmla="val -16924"/>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0" w:firstLineChars="0"/>
                              <w:rPr>
                                <w:rFonts w:hint="eastAsia" w:eastAsia="宋体"/>
                                <w:sz w:val="11"/>
                                <w:szCs w:val="18"/>
                                <w:lang w:eastAsia="zh-CN"/>
                              </w:rPr>
                            </w:pPr>
                            <w:r>
                              <w:rPr>
                                <w:rFonts w:hint="eastAsia"/>
                                <w:sz w:val="18"/>
                                <w:lang w:eastAsia="zh-CN"/>
                              </w:rPr>
                              <w:t>本</w:t>
                            </w:r>
                            <w:r>
                              <w:rPr>
                                <w:rFonts w:hint="eastAsia"/>
                                <w:sz w:val="18"/>
                              </w:rPr>
                              <w:t>项目</w:t>
                            </w:r>
                            <w:r>
                              <w:rPr>
                                <w:rFonts w:hint="eastAsia"/>
                                <w:sz w:val="18"/>
                                <w:lang w:eastAsia="zh-CN"/>
                              </w:rPr>
                              <w:t>所在地</w:t>
                            </w:r>
                          </w:p>
                        </w:txbxContent>
                      </wps:txbx>
                      <wps:bodyPr upright="1"/>
                    </wps:wsp>
                  </a:graphicData>
                </a:graphic>
              </wp:anchor>
            </w:drawing>
          </mc:Choice>
          <mc:Fallback>
            <w:pict>
              <v:shape id="_x0000_s1026" o:spid="_x0000_s1026" o:spt="61" type="#_x0000_t61" style="position:absolute;left:0pt;margin-left:124.3pt;margin-top:234.85pt;height:22.1pt;width:75.75pt;z-index:270345216;mso-width-relative:page;mso-height-relative:page;" fillcolor="#FFFFFF" filled="t" stroked="t" coordsize="21600,21600" o:gfxdata="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w8zhg2gAA&#10;AAsBAAAPAAAAAAAAAAEAIAAAACIAAABkcnMvZG93bnJldi54bWxQSwECFAAUAAAACACHTuJAg+kl&#10;nBwCAABBBAAADgAAAAAAAAABACAAAAApAQAAZHJzL2Uyb0RvYy54bWxQSwUGAAAAAAYABgBZAQAA&#10;twUAAAAA&#10;" adj="-7970,7144">
                <v:fill on="t" focussize="0,0"/>
                <v:stroke color="#000000" joinstyle="miter"/>
                <v:imagedata o:title=""/>
                <o:lock v:ext="edit" aspectratio="f"/>
                <v:textbox>
                  <w:txbxContent>
                    <w:p>
                      <w:pPr>
                        <w:spacing w:line="240" w:lineRule="auto"/>
                        <w:ind w:firstLine="0" w:firstLineChars="0"/>
                        <w:rPr>
                          <w:rFonts w:hint="eastAsia" w:eastAsia="宋体"/>
                          <w:sz w:val="11"/>
                          <w:szCs w:val="18"/>
                          <w:lang w:eastAsia="zh-CN"/>
                        </w:rPr>
                      </w:pPr>
                      <w:r>
                        <w:rPr>
                          <w:rFonts w:hint="eastAsia"/>
                          <w:sz w:val="18"/>
                          <w:lang w:eastAsia="zh-CN"/>
                        </w:rPr>
                        <w:t>本</w:t>
                      </w:r>
                      <w:r>
                        <w:rPr>
                          <w:rFonts w:hint="eastAsia"/>
                          <w:sz w:val="18"/>
                        </w:rPr>
                        <w:t>项目</w:t>
                      </w:r>
                      <w:r>
                        <w:rPr>
                          <w:rFonts w:hint="eastAsia"/>
                          <w:sz w:val="18"/>
                          <w:lang w:eastAsia="zh-CN"/>
                        </w:rPr>
                        <w:t>所在地</w:t>
                      </w:r>
                    </w:p>
                  </w:txbxContent>
                </v:textbox>
              </v:shape>
            </w:pict>
          </mc:Fallback>
        </mc:AlternateContent>
      </w:r>
      <w:r>
        <w:rPr>
          <w:rFonts w:eastAsia="仿宋_GB2312" w:cs="Times New Roman"/>
          <w:color w:val="auto"/>
          <w:sz w:val="28"/>
        </w:rPr>
        <mc:AlternateContent>
          <mc:Choice Requires="wps">
            <w:drawing>
              <wp:anchor distT="0" distB="0" distL="114300" distR="114300" simplePos="0" relativeHeight="270344192" behindDoc="0" locked="0" layoutInCell="1" allowOverlap="1">
                <wp:simplePos x="0" y="0"/>
                <wp:positionH relativeFrom="column">
                  <wp:posOffset>1083310</wp:posOffset>
                </wp:positionH>
                <wp:positionV relativeFrom="paragraph">
                  <wp:posOffset>3037840</wp:posOffset>
                </wp:positionV>
                <wp:extent cx="90805" cy="90805"/>
                <wp:effectExtent l="4445" t="4445" r="19050" b="19050"/>
                <wp:wrapNone/>
                <wp:docPr id="91" name="矩形 91"/>
                <wp:cNvGraphicFramePr/>
                <a:graphic xmlns:a="http://schemas.openxmlformats.org/drawingml/2006/main">
                  <a:graphicData uri="http://schemas.microsoft.com/office/word/2010/wordprocessingShape">
                    <wps:wsp>
                      <wps:cNvSpPr/>
                      <wps:spPr>
                        <a:xfrm>
                          <a:off x="0" y="0"/>
                          <a:ext cx="90805" cy="90805"/>
                        </a:xfrm>
                        <a:prstGeom prst="rect">
                          <a:avLst/>
                        </a:prstGeom>
                        <a:solidFill>
                          <a:srgbClr val="FF0000"/>
                        </a:solidFill>
                        <a:ln w="9525" cap="flat" cmpd="sng">
                          <a:solidFill>
                            <a:srgbClr val="FF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5.3pt;margin-top:239.2pt;height:7.15pt;width:7.15pt;z-index:270344192;mso-width-relative:page;mso-height-relative:page;" fillcolor="#FF0000" filled="t" stroked="t" coordsize="21600,21600" o:gfxdata="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CcLE8LbAAAACwEAAA8AAAAA&#10;AAAAAQAgAAAAIgAAAGRycy9kb3ducmV2LnhtbFBLAQIUABQAAAAIAIdO4kDDN57m2AEAAM8DAAAO&#10;AAAAAAAAAAEAIAAAACoBAABkcnMvZTJvRG9jLnhtbFBLBQYAAAAABgAGAFkBAAB0BQAAAAA=&#10;">
                <v:fill on="t" focussize="0,0"/>
                <v:stroke color="#FF0000" joinstyle="miter"/>
                <v:imagedata o:title=""/>
                <o:lock v:ext="edit" aspectratio="f"/>
              </v:rect>
            </w:pict>
          </mc:Fallback>
        </mc:AlternateContent>
      </w:r>
      <w:r>
        <w:rPr>
          <w:color w:val="auto"/>
        </w:rPr>
        <w:drawing>
          <wp:anchor distT="0" distB="0" distL="114300" distR="114300" simplePos="0" relativeHeight="270369792" behindDoc="0" locked="0" layoutInCell="1" allowOverlap="1">
            <wp:simplePos x="0" y="0"/>
            <wp:positionH relativeFrom="column">
              <wp:posOffset>4344035</wp:posOffset>
            </wp:positionH>
            <wp:positionV relativeFrom="paragraph">
              <wp:posOffset>3611880</wp:posOffset>
            </wp:positionV>
            <wp:extent cx="1292225" cy="681355"/>
            <wp:effectExtent l="0" t="0" r="3175" b="4445"/>
            <wp:wrapNone/>
            <wp:docPr id="88"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12"/>
                    <pic:cNvPicPr>
                      <a:picLocks noChangeAspect="1"/>
                    </pic:cNvPicPr>
                  </pic:nvPicPr>
                  <pic:blipFill>
                    <a:blip r:embed="rId33"/>
                    <a:stretch>
                      <a:fillRect/>
                    </a:stretch>
                  </pic:blipFill>
                  <pic:spPr>
                    <a:xfrm>
                      <a:off x="0" y="0"/>
                      <a:ext cx="1292225" cy="681355"/>
                    </a:xfrm>
                    <a:prstGeom prst="rect">
                      <a:avLst/>
                    </a:prstGeom>
                    <a:noFill/>
                    <a:ln w="9525">
                      <a:noFill/>
                    </a:ln>
                  </pic:spPr>
                </pic:pic>
              </a:graphicData>
            </a:graphic>
          </wp:anchor>
        </w:drawing>
      </w:r>
      <w:r>
        <w:rPr>
          <w:rFonts w:eastAsia="仿宋_GB2312" w:cs="Times New Roman"/>
          <w:color w:val="auto"/>
          <w:sz w:val="28"/>
        </w:rPr>
        <mc:AlternateContent>
          <mc:Choice Requires="wps">
            <w:drawing>
              <wp:anchor distT="0" distB="0" distL="114300" distR="114300" simplePos="0" relativeHeight="270343168" behindDoc="0" locked="0" layoutInCell="1" allowOverlap="1">
                <wp:simplePos x="0" y="0"/>
                <wp:positionH relativeFrom="column">
                  <wp:posOffset>4897120</wp:posOffset>
                </wp:positionH>
                <wp:positionV relativeFrom="paragraph">
                  <wp:posOffset>1277620</wp:posOffset>
                </wp:positionV>
                <wp:extent cx="323850" cy="236220"/>
                <wp:effectExtent l="0" t="0" r="0" b="0"/>
                <wp:wrapNone/>
                <wp:docPr id="82" name="矩形 82"/>
                <wp:cNvGraphicFramePr/>
                <a:graphic xmlns:a="http://schemas.openxmlformats.org/drawingml/2006/main">
                  <a:graphicData uri="http://schemas.microsoft.com/office/word/2010/wordprocessingShape">
                    <wps:wsp>
                      <wps:cNvSpPr/>
                      <wps:spPr>
                        <a:xfrm>
                          <a:off x="0" y="0"/>
                          <a:ext cx="323850" cy="236220"/>
                        </a:xfrm>
                        <a:prstGeom prst="rect">
                          <a:avLst/>
                        </a:prstGeom>
                        <a:noFill/>
                        <a:ln w="9525">
                          <a:noFill/>
                        </a:ln>
                      </wps:spPr>
                      <wps:txbx>
                        <w:txbxContent>
                          <w:p>
                            <w:pPr>
                              <w:spacing w:line="240" w:lineRule="auto"/>
                              <w:ind w:firstLine="0" w:firstLineChars="0"/>
                              <w:rPr>
                                <w:b/>
                                <w:color w:val="0000FF"/>
                                <w:sz w:val="18"/>
                                <w:szCs w:val="18"/>
                              </w:rPr>
                            </w:pPr>
                            <w:r>
                              <w:rPr>
                                <w:rFonts w:hint="eastAsia"/>
                                <w:b/>
                                <w:color w:val="0000FF"/>
                                <w:sz w:val="18"/>
                                <w:szCs w:val="18"/>
                              </w:rPr>
                              <w:t>3#</w:t>
                            </w:r>
                          </w:p>
                        </w:txbxContent>
                      </wps:txbx>
                      <wps:bodyPr upright="1"/>
                    </wps:wsp>
                  </a:graphicData>
                </a:graphic>
              </wp:anchor>
            </w:drawing>
          </mc:Choice>
          <mc:Fallback>
            <w:pict>
              <v:rect id="_x0000_s1026" o:spid="_x0000_s1026" o:spt="1" style="position:absolute;left:0pt;margin-left:385.6pt;margin-top:100.6pt;height:18.6pt;width:25.5pt;z-index:270343168;mso-width-relative:page;mso-height-relative:page;" filled="f" stroked="f" coordsize="21600,21600" o:gfxdata="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">
                <v:fill on="f" focussize="0,0"/>
                <v:stroke on="f"/>
                <v:imagedata o:title=""/>
                <o:lock v:ext="edit" aspectratio="f"/>
                <v:textbox>
                  <w:txbxContent>
                    <w:p>
                      <w:pPr>
                        <w:spacing w:line="240" w:lineRule="auto"/>
                        <w:ind w:firstLine="0" w:firstLineChars="0"/>
                        <w:rPr>
                          <w:b/>
                          <w:color w:val="0000FF"/>
                          <w:sz w:val="18"/>
                          <w:szCs w:val="18"/>
                        </w:rPr>
                      </w:pPr>
                      <w:r>
                        <w:rPr>
                          <w:rFonts w:hint="eastAsia"/>
                          <w:b/>
                          <w:color w:val="0000FF"/>
                          <w:sz w:val="18"/>
                          <w:szCs w:val="18"/>
                        </w:rPr>
                        <w:t>3#</w:t>
                      </w:r>
                    </w:p>
                  </w:txbxContent>
                </v:textbox>
              </v:rect>
            </w:pict>
          </mc:Fallback>
        </mc:AlternateContent>
      </w:r>
      <w:r>
        <w:rPr>
          <w:rFonts w:eastAsia="仿宋_GB2312" w:cs="Times New Roman"/>
          <w:color w:val="auto"/>
          <w:sz w:val="28"/>
        </w:rPr>
        <mc:AlternateContent>
          <mc:Choice Requires="wps">
            <w:drawing>
              <wp:anchor distT="0" distB="0" distL="114300" distR="114300" simplePos="0" relativeHeight="270342144" behindDoc="0" locked="0" layoutInCell="1" allowOverlap="1">
                <wp:simplePos x="0" y="0"/>
                <wp:positionH relativeFrom="column">
                  <wp:posOffset>1369060</wp:posOffset>
                </wp:positionH>
                <wp:positionV relativeFrom="paragraph">
                  <wp:posOffset>1918335</wp:posOffset>
                </wp:positionV>
                <wp:extent cx="323850" cy="236220"/>
                <wp:effectExtent l="0" t="0" r="0" b="0"/>
                <wp:wrapNone/>
                <wp:docPr id="81" name="矩形 81"/>
                <wp:cNvGraphicFramePr/>
                <a:graphic xmlns:a="http://schemas.openxmlformats.org/drawingml/2006/main">
                  <a:graphicData uri="http://schemas.microsoft.com/office/word/2010/wordprocessingShape">
                    <wps:wsp>
                      <wps:cNvSpPr/>
                      <wps:spPr>
                        <a:xfrm>
                          <a:off x="0" y="0"/>
                          <a:ext cx="323850" cy="236220"/>
                        </a:xfrm>
                        <a:prstGeom prst="rect">
                          <a:avLst/>
                        </a:prstGeom>
                        <a:noFill/>
                        <a:ln w="9525">
                          <a:noFill/>
                        </a:ln>
                      </wps:spPr>
                      <wps:txbx>
                        <w:txbxContent>
                          <w:p>
                            <w:pPr>
                              <w:spacing w:line="240" w:lineRule="auto"/>
                              <w:ind w:firstLine="0" w:firstLineChars="0"/>
                              <w:rPr>
                                <w:b/>
                                <w:color w:val="0000FF"/>
                                <w:sz w:val="18"/>
                                <w:szCs w:val="18"/>
                              </w:rPr>
                            </w:pPr>
                            <w:r>
                              <w:rPr>
                                <w:rFonts w:hint="eastAsia"/>
                                <w:b/>
                                <w:color w:val="0000FF"/>
                                <w:sz w:val="18"/>
                                <w:szCs w:val="18"/>
                              </w:rPr>
                              <w:t>2#</w:t>
                            </w:r>
                          </w:p>
                        </w:txbxContent>
                      </wps:txbx>
                      <wps:bodyPr upright="1"/>
                    </wps:wsp>
                  </a:graphicData>
                </a:graphic>
              </wp:anchor>
            </w:drawing>
          </mc:Choice>
          <mc:Fallback>
            <w:pict>
              <v:rect id="_x0000_s1026" o:spid="_x0000_s1026" o:spt="1" style="position:absolute;left:0pt;margin-left:107.8pt;margin-top:151.05pt;height:18.6pt;width:25.5pt;z-index:270342144;mso-width-relative:page;mso-height-relative:page;" filled="f" stroked="f" coordsize="21600,21600" o:gfxdata="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">
                <v:fill on="f" focussize="0,0"/>
                <v:stroke on="f"/>
                <v:imagedata o:title=""/>
                <o:lock v:ext="edit" aspectratio="f"/>
                <v:textbox>
                  <w:txbxContent>
                    <w:p>
                      <w:pPr>
                        <w:spacing w:line="240" w:lineRule="auto"/>
                        <w:ind w:firstLine="0" w:firstLineChars="0"/>
                        <w:rPr>
                          <w:b/>
                          <w:color w:val="0000FF"/>
                          <w:sz w:val="18"/>
                          <w:szCs w:val="18"/>
                        </w:rPr>
                      </w:pPr>
                      <w:r>
                        <w:rPr>
                          <w:rFonts w:hint="eastAsia"/>
                          <w:b/>
                          <w:color w:val="0000FF"/>
                          <w:sz w:val="18"/>
                          <w:szCs w:val="18"/>
                        </w:rPr>
                        <w:t>2#</w:t>
                      </w:r>
                    </w:p>
                  </w:txbxContent>
                </v:textbox>
              </v:rect>
            </w:pict>
          </mc:Fallback>
        </mc:AlternateContent>
      </w:r>
      <w:r>
        <w:rPr>
          <w:rFonts w:eastAsia="仿宋_GB2312" w:cs="Times New Roman"/>
          <w:color w:val="auto"/>
          <w:sz w:val="28"/>
        </w:rPr>
        <mc:AlternateContent>
          <mc:Choice Requires="wps">
            <w:drawing>
              <wp:anchor distT="0" distB="0" distL="114300" distR="114300" simplePos="0" relativeHeight="270341120" behindDoc="0" locked="0" layoutInCell="1" allowOverlap="1">
                <wp:simplePos x="0" y="0"/>
                <wp:positionH relativeFrom="column">
                  <wp:posOffset>915670</wp:posOffset>
                </wp:positionH>
                <wp:positionV relativeFrom="paragraph">
                  <wp:posOffset>1841500</wp:posOffset>
                </wp:positionV>
                <wp:extent cx="323850" cy="236220"/>
                <wp:effectExtent l="0" t="0" r="0" b="0"/>
                <wp:wrapNone/>
                <wp:docPr id="79" name="矩形 79"/>
                <wp:cNvGraphicFramePr/>
                <a:graphic xmlns:a="http://schemas.openxmlformats.org/drawingml/2006/main">
                  <a:graphicData uri="http://schemas.microsoft.com/office/word/2010/wordprocessingShape">
                    <wps:wsp>
                      <wps:cNvSpPr/>
                      <wps:spPr>
                        <a:xfrm>
                          <a:off x="0" y="0"/>
                          <a:ext cx="323850" cy="236220"/>
                        </a:xfrm>
                        <a:prstGeom prst="rect">
                          <a:avLst/>
                        </a:prstGeom>
                        <a:noFill/>
                        <a:ln w="9525">
                          <a:noFill/>
                        </a:ln>
                      </wps:spPr>
                      <wps:txbx>
                        <w:txbxContent>
                          <w:p>
                            <w:pPr>
                              <w:spacing w:line="240" w:lineRule="auto"/>
                              <w:ind w:firstLine="0" w:firstLineChars="0"/>
                              <w:rPr>
                                <w:b/>
                                <w:color w:val="0000FF"/>
                                <w:sz w:val="18"/>
                                <w:szCs w:val="18"/>
                              </w:rPr>
                            </w:pPr>
                            <w:r>
                              <w:rPr>
                                <w:rFonts w:hint="eastAsia"/>
                                <w:b/>
                                <w:color w:val="0000FF"/>
                                <w:sz w:val="18"/>
                                <w:szCs w:val="18"/>
                              </w:rPr>
                              <w:t>1#</w:t>
                            </w:r>
                          </w:p>
                        </w:txbxContent>
                      </wps:txbx>
                      <wps:bodyPr upright="1"/>
                    </wps:wsp>
                  </a:graphicData>
                </a:graphic>
              </wp:anchor>
            </w:drawing>
          </mc:Choice>
          <mc:Fallback>
            <w:pict>
              <v:rect id="_x0000_s1026" o:spid="_x0000_s1026" o:spt="1" style="position:absolute;left:0pt;margin-left:72.1pt;margin-top:145pt;height:18.6pt;width:25.5pt;z-index:270341120;mso-width-relative:page;mso-height-relative:page;" filled="f" stroked="f" coordsize="21600,21600" o:gfxdata="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">
                <v:fill on="f" focussize="0,0"/>
                <v:stroke on="f"/>
                <v:imagedata o:title=""/>
                <o:lock v:ext="edit" aspectratio="f"/>
                <v:textbox>
                  <w:txbxContent>
                    <w:p>
                      <w:pPr>
                        <w:spacing w:line="240" w:lineRule="auto"/>
                        <w:ind w:firstLine="0" w:firstLineChars="0"/>
                        <w:rPr>
                          <w:b/>
                          <w:color w:val="0000FF"/>
                          <w:sz w:val="18"/>
                          <w:szCs w:val="18"/>
                        </w:rPr>
                      </w:pPr>
                      <w:r>
                        <w:rPr>
                          <w:rFonts w:hint="eastAsia"/>
                          <w:b/>
                          <w:color w:val="0000FF"/>
                          <w:sz w:val="18"/>
                          <w:szCs w:val="18"/>
                        </w:rPr>
                        <w:t>1#</w:t>
                      </w:r>
                    </w:p>
                  </w:txbxContent>
                </v:textbox>
              </v:rect>
            </w:pict>
          </mc:Fallback>
        </mc:AlternateContent>
      </w:r>
      <w:r>
        <w:rPr>
          <w:rFonts w:eastAsia="仿宋_GB2312" w:cs="Times New Roman"/>
          <w:color w:val="auto"/>
          <w:sz w:val="28"/>
        </w:rPr>
        <mc:AlternateContent>
          <mc:Choice Requires="wps">
            <w:drawing>
              <wp:anchor distT="0" distB="0" distL="114300" distR="114300" simplePos="0" relativeHeight="270340096" behindDoc="0" locked="0" layoutInCell="1" allowOverlap="1">
                <wp:simplePos x="0" y="0"/>
                <wp:positionH relativeFrom="column">
                  <wp:posOffset>3760470</wp:posOffset>
                </wp:positionH>
                <wp:positionV relativeFrom="paragraph">
                  <wp:posOffset>751840</wp:posOffset>
                </wp:positionV>
                <wp:extent cx="329565" cy="240030"/>
                <wp:effectExtent l="0" t="0" r="0" b="0"/>
                <wp:wrapNone/>
                <wp:docPr id="76" name="矩形 76"/>
                <wp:cNvGraphicFramePr/>
                <a:graphic xmlns:a="http://schemas.openxmlformats.org/drawingml/2006/main">
                  <a:graphicData uri="http://schemas.microsoft.com/office/word/2010/wordprocessingShape">
                    <wps:wsp>
                      <wps:cNvSpPr/>
                      <wps:spPr>
                        <a:xfrm>
                          <a:off x="0" y="0"/>
                          <a:ext cx="329565" cy="240030"/>
                        </a:xfrm>
                        <a:prstGeom prst="rect">
                          <a:avLst/>
                        </a:prstGeom>
                        <a:noFill/>
                        <a:ln w="9525">
                          <a:noFill/>
                        </a:ln>
                      </wps:spPr>
                      <wps:txbx>
                        <w:txbxContent>
                          <w:p>
                            <w:pPr>
                              <w:ind w:firstLine="482"/>
                              <w:rPr>
                                <w:b/>
                                <w:color w:val="FF0000"/>
                              </w:rPr>
                            </w:pPr>
                            <w:r>
                              <w:rPr>
                                <w:rFonts w:hint="eastAsia"/>
                                <w:b/>
                                <w:color w:val="FF0000"/>
                              </w:rPr>
                              <w:t>3#</w:t>
                            </w:r>
                          </w:p>
                        </w:txbxContent>
                      </wps:txbx>
                      <wps:bodyPr upright="1"/>
                    </wps:wsp>
                  </a:graphicData>
                </a:graphic>
              </wp:anchor>
            </w:drawing>
          </mc:Choice>
          <mc:Fallback>
            <w:pict>
              <v:rect id="_x0000_s1026" o:spid="_x0000_s1026" o:spt="1" style="position:absolute;left:0pt;margin-left:296.1pt;margin-top:59.2pt;height:18.9pt;width:25.95pt;z-index:270340096;mso-width-relative:page;mso-height-relative:page;" filled="f" stroked="f" coordsize="21600,21600" o:gfxdata="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">
                <v:fill on="f" focussize="0,0"/>
                <v:stroke on="f"/>
                <v:imagedata o:title=""/>
                <o:lock v:ext="edit" aspectratio="f"/>
                <v:textbox>
                  <w:txbxContent>
                    <w:p>
                      <w:pPr>
                        <w:ind w:firstLine="482"/>
                        <w:rPr>
                          <w:b/>
                          <w:color w:val="FF0000"/>
                        </w:rPr>
                      </w:pPr>
                      <w:r>
                        <w:rPr>
                          <w:rFonts w:hint="eastAsia"/>
                          <w:b/>
                          <w:color w:val="FF0000"/>
                        </w:rPr>
                        <w:t>3#</w:t>
                      </w:r>
                    </w:p>
                  </w:txbxContent>
                </v:textbox>
              </v:rect>
            </w:pict>
          </mc:Fallback>
        </mc:AlternateContent>
      </w:r>
      <w:r>
        <w:rPr>
          <w:rFonts w:eastAsia="仿宋_GB2312" w:cs="Times New Roman"/>
          <w:color w:val="auto"/>
          <w:sz w:val="28"/>
        </w:rPr>
        <mc:AlternateContent>
          <mc:Choice Requires="wps">
            <w:drawing>
              <wp:anchor distT="0" distB="0" distL="114300" distR="114300" simplePos="0" relativeHeight="270339072" behindDoc="0" locked="0" layoutInCell="1" allowOverlap="1">
                <wp:simplePos x="0" y="0"/>
                <wp:positionH relativeFrom="column">
                  <wp:posOffset>2042160</wp:posOffset>
                </wp:positionH>
                <wp:positionV relativeFrom="paragraph">
                  <wp:posOffset>2030095</wp:posOffset>
                </wp:positionV>
                <wp:extent cx="329565" cy="240030"/>
                <wp:effectExtent l="0" t="0" r="0" b="0"/>
                <wp:wrapNone/>
                <wp:docPr id="80" name="矩形 80"/>
                <wp:cNvGraphicFramePr/>
                <a:graphic xmlns:a="http://schemas.openxmlformats.org/drawingml/2006/main">
                  <a:graphicData uri="http://schemas.microsoft.com/office/word/2010/wordprocessingShape">
                    <wps:wsp>
                      <wps:cNvSpPr/>
                      <wps:spPr>
                        <a:xfrm>
                          <a:off x="0" y="0"/>
                          <a:ext cx="329565" cy="240030"/>
                        </a:xfrm>
                        <a:prstGeom prst="rect">
                          <a:avLst/>
                        </a:prstGeom>
                        <a:noFill/>
                        <a:ln w="9525">
                          <a:noFill/>
                        </a:ln>
                      </wps:spPr>
                      <wps:txbx>
                        <w:txbxContent>
                          <w:p>
                            <w:pPr>
                              <w:ind w:firstLine="482"/>
                              <w:rPr>
                                <w:b/>
                                <w:color w:val="FF0000"/>
                              </w:rPr>
                            </w:pPr>
                            <w:r>
                              <w:rPr>
                                <w:rFonts w:hint="eastAsia"/>
                                <w:b/>
                                <w:color w:val="FF0000"/>
                              </w:rPr>
                              <w:t>2#</w:t>
                            </w:r>
                          </w:p>
                        </w:txbxContent>
                      </wps:txbx>
                      <wps:bodyPr upright="1"/>
                    </wps:wsp>
                  </a:graphicData>
                </a:graphic>
              </wp:anchor>
            </w:drawing>
          </mc:Choice>
          <mc:Fallback>
            <w:pict>
              <v:rect id="_x0000_s1026" o:spid="_x0000_s1026" o:spt="1" style="position:absolute;left:0pt;margin-left:160.8pt;margin-top:159.85pt;height:18.9pt;width:25.95pt;z-index:270339072;mso-width-relative:page;mso-height-relative:page;" filled="f" stroked="f" coordsize="21600,21600" o:gfxdata="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">
                <v:fill on="f" focussize="0,0"/>
                <v:stroke on="f"/>
                <v:imagedata o:title=""/>
                <o:lock v:ext="edit" aspectratio="f"/>
                <v:textbox>
                  <w:txbxContent>
                    <w:p>
                      <w:pPr>
                        <w:ind w:firstLine="482"/>
                        <w:rPr>
                          <w:b/>
                          <w:color w:val="FF0000"/>
                        </w:rPr>
                      </w:pPr>
                      <w:r>
                        <w:rPr>
                          <w:rFonts w:hint="eastAsia"/>
                          <w:b/>
                          <w:color w:val="FF0000"/>
                        </w:rPr>
                        <w:t>2#</w:t>
                      </w:r>
                    </w:p>
                  </w:txbxContent>
                </v:textbox>
              </v:rect>
            </w:pict>
          </mc:Fallback>
        </mc:AlternateContent>
      </w:r>
      <w:r>
        <w:rPr>
          <w:rFonts w:eastAsia="仿宋_GB2312" w:cs="Times New Roman"/>
          <w:color w:val="auto"/>
          <w:sz w:val="28"/>
        </w:rPr>
        <mc:AlternateContent>
          <mc:Choice Requires="wps">
            <w:drawing>
              <wp:anchor distT="0" distB="0" distL="114300" distR="114300" simplePos="0" relativeHeight="270338048" behindDoc="0" locked="0" layoutInCell="1" allowOverlap="1">
                <wp:simplePos x="0" y="0"/>
                <wp:positionH relativeFrom="column">
                  <wp:posOffset>1718310</wp:posOffset>
                </wp:positionH>
                <wp:positionV relativeFrom="paragraph">
                  <wp:posOffset>2106295</wp:posOffset>
                </wp:positionV>
                <wp:extent cx="323850" cy="236220"/>
                <wp:effectExtent l="0" t="0" r="0" b="0"/>
                <wp:wrapNone/>
                <wp:docPr id="75" name="矩形 75"/>
                <wp:cNvGraphicFramePr/>
                <a:graphic xmlns:a="http://schemas.openxmlformats.org/drawingml/2006/main">
                  <a:graphicData uri="http://schemas.microsoft.com/office/word/2010/wordprocessingShape">
                    <wps:wsp>
                      <wps:cNvSpPr/>
                      <wps:spPr>
                        <a:xfrm>
                          <a:off x="0" y="0"/>
                          <a:ext cx="323850" cy="236220"/>
                        </a:xfrm>
                        <a:prstGeom prst="rect">
                          <a:avLst/>
                        </a:prstGeom>
                        <a:noFill/>
                        <a:ln w="9525">
                          <a:noFill/>
                        </a:ln>
                      </wps:spPr>
                      <wps:txbx>
                        <w:txbxContent>
                          <w:p>
                            <w:pPr>
                              <w:ind w:firstLine="482"/>
                              <w:rPr>
                                <w:b/>
                                <w:color w:val="FF0000"/>
                              </w:rPr>
                            </w:pPr>
                            <w:r>
                              <w:rPr>
                                <w:rFonts w:hint="eastAsia"/>
                                <w:b/>
                                <w:color w:val="FF0000"/>
                              </w:rPr>
                              <w:t>1#</w:t>
                            </w:r>
                          </w:p>
                        </w:txbxContent>
                      </wps:txbx>
                      <wps:bodyPr upright="1"/>
                    </wps:wsp>
                  </a:graphicData>
                </a:graphic>
              </wp:anchor>
            </w:drawing>
          </mc:Choice>
          <mc:Fallback>
            <w:pict>
              <v:rect id="_x0000_s1026" o:spid="_x0000_s1026" o:spt="1" style="position:absolute;left:0pt;margin-left:135.3pt;margin-top:165.85pt;height:18.6pt;width:25.5pt;z-index:270338048;mso-width-relative:page;mso-height-relative:page;" filled="f" stroked="f" coordsize="21600,21600" o:gfxdata="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">
                <v:fill on="f" focussize="0,0"/>
                <v:stroke on="f"/>
                <v:imagedata o:title=""/>
                <o:lock v:ext="edit" aspectratio="f"/>
                <v:textbox>
                  <w:txbxContent>
                    <w:p>
                      <w:pPr>
                        <w:ind w:firstLine="482"/>
                        <w:rPr>
                          <w:b/>
                          <w:color w:val="FF0000"/>
                        </w:rPr>
                      </w:pPr>
                      <w:r>
                        <w:rPr>
                          <w:rFonts w:hint="eastAsia"/>
                          <w:b/>
                          <w:color w:val="FF0000"/>
                        </w:rPr>
                        <w:t>1#</w:t>
                      </w:r>
                    </w:p>
                  </w:txbxContent>
                </v:textbox>
              </v:rect>
            </w:pict>
          </mc:Fallback>
        </mc:AlternateContent>
      </w:r>
      <w:r>
        <w:rPr>
          <w:rFonts w:hint="eastAsia" w:eastAsia="仿宋_GB2312" w:cs="Times New Roman"/>
          <w:color w:val="auto"/>
          <w:sz w:val="28"/>
          <w:lang w:eastAsia="zh-CN"/>
        </w:rPr>
        <w:drawing>
          <wp:inline distT="0" distB="0" distL="114300" distR="114300">
            <wp:extent cx="5273675" cy="4253230"/>
            <wp:effectExtent l="0" t="0" r="3175" b="13970"/>
            <wp:docPr id="93" name="图片 93" descr="44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descr="44444"/>
                    <pic:cNvPicPr>
                      <a:picLocks noChangeAspect="1"/>
                    </pic:cNvPicPr>
                  </pic:nvPicPr>
                  <pic:blipFill>
                    <a:blip r:embed="rId34"/>
                    <a:stretch>
                      <a:fillRect/>
                    </a:stretch>
                  </pic:blipFill>
                  <pic:spPr>
                    <a:xfrm>
                      <a:off x="0" y="0"/>
                      <a:ext cx="5273675" cy="4253230"/>
                    </a:xfrm>
                    <a:prstGeom prst="rect">
                      <a:avLst/>
                    </a:prstGeom>
                  </pic:spPr>
                </pic:pic>
              </a:graphicData>
            </a:graphic>
          </wp:inline>
        </w:drawing>
      </w:r>
    </w:p>
    <w:p>
      <w:pPr>
        <w:spacing w:line="500" w:lineRule="exact"/>
        <w:ind w:firstLine="482"/>
        <w:jc w:val="center"/>
        <w:rPr>
          <w:rFonts w:cs="Times New Roman"/>
          <w:b/>
          <w:color w:val="auto"/>
          <w:szCs w:val="21"/>
        </w:rPr>
      </w:pPr>
      <w:r>
        <w:rPr>
          <w:rFonts w:cs="Times New Roman"/>
          <w:b/>
          <w:color w:val="auto"/>
          <w:szCs w:val="21"/>
        </w:rPr>
        <w:t>图4.</w:t>
      </w:r>
      <w:r>
        <w:rPr>
          <w:rFonts w:hint="eastAsia" w:cs="Times New Roman"/>
          <w:b/>
          <w:color w:val="auto"/>
          <w:szCs w:val="21"/>
        </w:rPr>
        <w:t>4</w:t>
      </w:r>
      <w:r>
        <w:rPr>
          <w:rFonts w:cs="Times New Roman"/>
          <w:b/>
          <w:color w:val="auto"/>
          <w:szCs w:val="21"/>
        </w:rPr>
        <w:t>-1  地表水监测段面布设图</w:t>
      </w:r>
    </w:p>
    <w:p>
      <w:pPr>
        <w:ind w:firstLine="480"/>
        <w:rPr>
          <w:rFonts w:hint="eastAsia" w:cs="Times New Roman"/>
          <w:color w:val="auto"/>
        </w:rPr>
      </w:pPr>
      <w:r>
        <w:rPr>
          <w:rFonts w:hint="eastAsia" w:cs="Times New Roman"/>
          <w:color w:val="auto"/>
        </w:rPr>
        <w:t xml:space="preserve">    3、监测时间及频率</w:t>
      </w:r>
    </w:p>
    <w:p>
      <w:pPr>
        <w:adjustRightInd w:val="0"/>
        <w:snapToGrid w:val="0"/>
        <w:spacing w:line="500" w:lineRule="exact"/>
        <w:ind w:firstLine="480"/>
        <w:rPr>
          <w:rFonts w:cs="Times New Roman"/>
          <w:color w:val="auto"/>
        </w:rPr>
      </w:pPr>
      <w:r>
        <w:rPr>
          <w:bCs/>
          <w:color w:val="auto"/>
          <w:szCs w:val="24"/>
        </w:rPr>
        <w:t>监测时间为201</w:t>
      </w:r>
      <w:r>
        <w:rPr>
          <w:rFonts w:hint="eastAsia"/>
          <w:bCs/>
          <w:color w:val="auto"/>
          <w:szCs w:val="24"/>
        </w:rPr>
        <w:t>7</w:t>
      </w:r>
      <w:r>
        <w:rPr>
          <w:bCs/>
          <w:color w:val="auto"/>
          <w:szCs w:val="24"/>
        </w:rPr>
        <w:t>年</w:t>
      </w:r>
      <w:r>
        <w:rPr>
          <w:rFonts w:hint="eastAsia"/>
          <w:bCs/>
          <w:color w:val="auto"/>
          <w:szCs w:val="24"/>
        </w:rPr>
        <w:t>11</w:t>
      </w:r>
      <w:r>
        <w:rPr>
          <w:bCs/>
          <w:color w:val="auto"/>
          <w:szCs w:val="24"/>
        </w:rPr>
        <w:t>月</w:t>
      </w:r>
      <w:r>
        <w:rPr>
          <w:rFonts w:hint="eastAsia"/>
          <w:bCs/>
          <w:color w:val="auto"/>
          <w:szCs w:val="24"/>
        </w:rPr>
        <w:t>11</w:t>
      </w:r>
      <w:r>
        <w:rPr>
          <w:bCs/>
          <w:color w:val="auto"/>
          <w:szCs w:val="24"/>
        </w:rPr>
        <w:t>日-201</w:t>
      </w:r>
      <w:r>
        <w:rPr>
          <w:rFonts w:hint="eastAsia"/>
          <w:bCs/>
          <w:color w:val="auto"/>
          <w:szCs w:val="24"/>
        </w:rPr>
        <w:t>7</w:t>
      </w:r>
      <w:r>
        <w:rPr>
          <w:bCs/>
          <w:color w:val="auto"/>
          <w:szCs w:val="24"/>
        </w:rPr>
        <w:t>年</w:t>
      </w:r>
      <w:r>
        <w:rPr>
          <w:rFonts w:hint="eastAsia"/>
          <w:bCs/>
          <w:color w:val="auto"/>
          <w:szCs w:val="24"/>
        </w:rPr>
        <w:t>11</w:t>
      </w:r>
      <w:r>
        <w:rPr>
          <w:bCs/>
          <w:color w:val="auto"/>
          <w:szCs w:val="24"/>
        </w:rPr>
        <w:t>月</w:t>
      </w:r>
      <w:r>
        <w:rPr>
          <w:rFonts w:hint="eastAsia"/>
          <w:bCs/>
          <w:color w:val="auto"/>
          <w:szCs w:val="24"/>
        </w:rPr>
        <w:t>12</w:t>
      </w:r>
      <w:r>
        <w:rPr>
          <w:bCs/>
          <w:color w:val="auto"/>
          <w:szCs w:val="24"/>
        </w:rPr>
        <w:t>日，各监测点连续监测</w:t>
      </w:r>
      <w:r>
        <w:rPr>
          <w:rFonts w:hint="eastAsia"/>
          <w:bCs/>
          <w:color w:val="auto"/>
          <w:szCs w:val="24"/>
        </w:rPr>
        <w:t>两</w:t>
      </w:r>
      <w:r>
        <w:rPr>
          <w:bCs/>
          <w:color w:val="auto"/>
          <w:szCs w:val="24"/>
        </w:rPr>
        <w:t>天，每天监测两次</w:t>
      </w:r>
      <w:r>
        <w:rPr>
          <w:rFonts w:cs="Times New Roman"/>
          <w:color w:val="auto"/>
        </w:rPr>
        <w:t>。</w:t>
      </w:r>
    </w:p>
    <w:p>
      <w:pPr>
        <w:ind w:firstLine="480"/>
        <w:rPr>
          <w:rFonts w:hint="eastAsia" w:cs="Times New Roman"/>
          <w:color w:val="auto"/>
        </w:rPr>
      </w:pPr>
      <w:r>
        <w:rPr>
          <w:rFonts w:hint="eastAsia" w:cs="Times New Roman"/>
          <w:color w:val="auto"/>
        </w:rPr>
        <w:t xml:space="preserve">    4、监测项目及分析方法</w:t>
      </w:r>
    </w:p>
    <w:p>
      <w:pPr>
        <w:adjustRightInd w:val="0"/>
        <w:snapToGrid w:val="0"/>
        <w:spacing w:line="500" w:lineRule="exact"/>
        <w:ind w:firstLine="480"/>
        <w:jc w:val="left"/>
        <w:rPr>
          <w:rFonts w:eastAsia="仿宋_GB2312" w:cs="Times New Roman"/>
          <w:color w:val="auto"/>
        </w:rPr>
      </w:pPr>
      <w:r>
        <w:rPr>
          <w:bCs/>
          <w:color w:val="auto"/>
          <w:szCs w:val="24"/>
        </w:rPr>
        <w:t>监测</w:t>
      </w:r>
      <w:r>
        <w:rPr>
          <w:rFonts w:hint="eastAsia"/>
          <w:bCs/>
          <w:color w:val="auto"/>
          <w:szCs w:val="24"/>
          <w:lang w:eastAsia="zh-CN"/>
        </w:rPr>
        <w:t>项目</w:t>
      </w:r>
      <w:r>
        <w:rPr>
          <w:bCs/>
          <w:color w:val="auto"/>
          <w:szCs w:val="24"/>
        </w:rPr>
        <w:t>为：</w:t>
      </w:r>
      <w:r>
        <w:rPr>
          <w:rFonts w:hint="eastAsia"/>
          <w:bCs/>
          <w:color w:val="auto"/>
          <w:szCs w:val="24"/>
        </w:rPr>
        <w:t>pH、DO、COD、BOD</w:t>
      </w:r>
      <w:r>
        <w:rPr>
          <w:rFonts w:hint="eastAsia"/>
          <w:bCs/>
          <w:color w:val="auto"/>
          <w:szCs w:val="24"/>
          <w:vertAlign w:val="subscript"/>
        </w:rPr>
        <w:t>5</w:t>
      </w:r>
      <w:r>
        <w:rPr>
          <w:rFonts w:hint="eastAsia"/>
          <w:bCs/>
          <w:color w:val="auto"/>
          <w:szCs w:val="24"/>
        </w:rPr>
        <w:t>、氨氮、石油类、总磷、总氮</w:t>
      </w:r>
      <w:r>
        <w:rPr>
          <w:rFonts w:cs="Times New Roman"/>
          <w:color w:val="auto"/>
        </w:rPr>
        <w:t>。</w:t>
      </w:r>
    </w:p>
    <w:p>
      <w:pPr>
        <w:ind w:firstLine="2238" w:firstLineChars="929"/>
        <w:rPr>
          <w:rFonts w:cs="Times New Roman"/>
          <w:b/>
          <w:color w:val="auto"/>
          <w:szCs w:val="21"/>
        </w:rPr>
      </w:pPr>
      <w:r>
        <w:rPr>
          <w:rFonts w:cs="Times New Roman"/>
          <w:b/>
          <w:color w:val="auto"/>
          <w:szCs w:val="21"/>
        </w:rPr>
        <w:t>表4.</w:t>
      </w:r>
      <w:r>
        <w:rPr>
          <w:rFonts w:hint="eastAsia" w:cs="Times New Roman"/>
          <w:b/>
          <w:color w:val="auto"/>
          <w:szCs w:val="21"/>
        </w:rPr>
        <w:t>4-</w:t>
      </w:r>
      <w:r>
        <w:rPr>
          <w:rFonts w:cs="Times New Roman"/>
          <w:b/>
          <w:color w:val="auto"/>
          <w:szCs w:val="21"/>
        </w:rPr>
        <w:t>2    地表水分析方法及来源</w:t>
      </w:r>
    </w:p>
    <w:tbl>
      <w:tblPr>
        <w:tblStyle w:val="53"/>
        <w:tblW w:w="8522"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23"/>
        <w:gridCol w:w="3425"/>
        <w:gridCol w:w="1475"/>
        <w:gridCol w:w="219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jc w:val="center"/>
        </w:trPr>
        <w:tc>
          <w:tcPr>
            <w:tcW w:w="1423" w:type="dxa"/>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项目</w:t>
            </w:r>
          </w:p>
        </w:tc>
        <w:tc>
          <w:tcPr>
            <w:tcW w:w="3425" w:type="dxa"/>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标准方法</w:t>
            </w:r>
          </w:p>
        </w:tc>
        <w:tc>
          <w:tcPr>
            <w:tcW w:w="1475" w:type="dxa"/>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仪器名称</w:t>
            </w:r>
          </w:p>
        </w:tc>
        <w:tc>
          <w:tcPr>
            <w:tcW w:w="2199" w:type="dxa"/>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型号/编号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jc w:val="center"/>
        </w:trPr>
        <w:tc>
          <w:tcPr>
            <w:tcW w:w="1423" w:type="dxa"/>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化学需氧量</w:t>
            </w:r>
          </w:p>
        </w:tc>
        <w:tc>
          <w:tcPr>
            <w:tcW w:w="3425" w:type="dxa"/>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 xml:space="preserve">水质 化学需氧量的测定 重铬酸盐法 </w:t>
            </w:r>
          </w:p>
          <w:p>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HJ 828-2017</w:t>
            </w:r>
          </w:p>
        </w:tc>
        <w:tc>
          <w:tcPr>
            <w:tcW w:w="1475" w:type="dxa"/>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滴定管</w:t>
            </w:r>
          </w:p>
        </w:tc>
        <w:tc>
          <w:tcPr>
            <w:tcW w:w="2199" w:type="dxa"/>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50mL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1423" w:type="dxa"/>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五日</w:t>
            </w:r>
          </w:p>
          <w:p>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生化需氧量</w:t>
            </w:r>
          </w:p>
        </w:tc>
        <w:tc>
          <w:tcPr>
            <w:tcW w:w="3425" w:type="dxa"/>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 xml:space="preserve">水质 五日生化需氧量（BOD5）的测定 </w:t>
            </w:r>
          </w:p>
          <w:p>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稀释与接种法 HJ 505-2009</w:t>
            </w:r>
          </w:p>
        </w:tc>
        <w:tc>
          <w:tcPr>
            <w:tcW w:w="1475" w:type="dxa"/>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生化培养箱</w:t>
            </w:r>
          </w:p>
        </w:tc>
        <w:tc>
          <w:tcPr>
            <w:tcW w:w="2199" w:type="dxa"/>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SPX-250B-Z/DF009-2015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1423" w:type="dxa"/>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溶解氧</w:t>
            </w:r>
          </w:p>
        </w:tc>
        <w:tc>
          <w:tcPr>
            <w:tcW w:w="3425" w:type="dxa"/>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 xml:space="preserve">水质 溶解氧的测定 碘量法 </w:t>
            </w:r>
          </w:p>
          <w:p>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GB/T 7489-1987</w:t>
            </w:r>
          </w:p>
        </w:tc>
        <w:tc>
          <w:tcPr>
            <w:tcW w:w="1475" w:type="dxa"/>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滴定管</w:t>
            </w:r>
          </w:p>
        </w:tc>
        <w:tc>
          <w:tcPr>
            <w:tcW w:w="2199" w:type="dxa"/>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50mL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21" w:hRule="atLeast"/>
          <w:jc w:val="center"/>
        </w:trPr>
        <w:tc>
          <w:tcPr>
            <w:tcW w:w="1423" w:type="dxa"/>
            <w:vMerge w:val="restart"/>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氨氮</w:t>
            </w:r>
          </w:p>
        </w:tc>
        <w:tc>
          <w:tcPr>
            <w:tcW w:w="3425" w:type="dxa"/>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水质 氨氮的测定 纳氏试剂分光光度法 HJ 535-2009</w:t>
            </w:r>
          </w:p>
        </w:tc>
        <w:tc>
          <w:tcPr>
            <w:tcW w:w="1475" w:type="dxa"/>
            <w:vMerge w:val="restart"/>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紫外可见</w:t>
            </w:r>
          </w:p>
          <w:p>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分光光度计</w:t>
            </w:r>
          </w:p>
        </w:tc>
        <w:tc>
          <w:tcPr>
            <w:tcW w:w="2199" w:type="dxa"/>
            <w:vMerge w:val="restart"/>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SP-756/DF004-2015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78" w:hRule="atLeast"/>
          <w:jc w:val="center"/>
        </w:trPr>
        <w:tc>
          <w:tcPr>
            <w:tcW w:w="1423" w:type="dxa"/>
            <w:vMerge w:val="continue"/>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p>
        </w:tc>
        <w:tc>
          <w:tcPr>
            <w:tcW w:w="3425" w:type="dxa"/>
            <w:tcBorders>
              <w:tl2br w:val="nil"/>
              <w:tr2bl w:val="nil"/>
            </w:tcBorders>
            <w:noWrap w:val="0"/>
            <w:vAlign w:val="center"/>
          </w:tcPr>
          <w:p>
            <w:pPr>
              <w:adjustRightInd w:val="0"/>
              <w:snapToGrid w:val="0"/>
              <w:spacing w:line="240" w:lineRule="auto"/>
              <w:ind w:firstLine="0" w:firstLineChars="0"/>
              <w:jc w:val="center"/>
              <w:rPr>
                <w:rFonts w:cs="Times New Roman"/>
                <w:color w:val="auto"/>
                <w:sz w:val="21"/>
                <w:szCs w:val="21"/>
                <w:lang w:val="en-US" w:eastAsia="zh-CN"/>
              </w:rPr>
            </w:pPr>
            <w:r>
              <w:rPr>
                <w:rFonts w:cs="Times New Roman"/>
                <w:color w:val="auto"/>
                <w:sz w:val="21"/>
                <w:szCs w:val="21"/>
                <w:lang w:val="en-US" w:eastAsia="zh-CN"/>
              </w:rPr>
              <w:t>生活饮用水标准检验方法  无机非金属指标 (9.1纳氏试剂分光光度法)</w:t>
            </w:r>
          </w:p>
          <w:p>
            <w:pPr>
              <w:adjustRightInd w:val="0"/>
              <w:snapToGrid w:val="0"/>
              <w:spacing w:line="240" w:lineRule="auto"/>
              <w:ind w:firstLine="0" w:firstLineChars="0"/>
              <w:jc w:val="center"/>
              <w:rPr>
                <w:rFonts w:hint="eastAsia" w:cs="Times New Roman"/>
                <w:color w:val="auto"/>
                <w:sz w:val="21"/>
                <w:szCs w:val="21"/>
                <w:lang w:val="en-US" w:eastAsia="zh-CN"/>
              </w:rPr>
            </w:pPr>
            <w:r>
              <w:rPr>
                <w:rFonts w:cs="Times New Roman"/>
                <w:color w:val="auto"/>
                <w:sz w:val="21"/>
                <w:szCs w:val="21"/>
                <w:lang w:val="en-US" w:eastAsia="zh-CN"/>
              </w:rPr>
              <w:t>GB/T 5750.5-2006</w:t>
            </w:r>
          </w:p>
        </w:tc>
        <w:tc>
          <w:tcPr>
            <w:tcW w:w="1475" w:type="dxa"/>
            <w:vMerge w:val="continue"/>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p>
        </w:tc>
        <w:tc>
          <w:tcPr>
            <w:tcW w:w="2199" w:type="dxa"/>
            <w:vMerge w:val="continue"/>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5" w:hRule="atLeast"/>
          <w:jc w:val="center"/>
        </w:trPr>
        <w:tc>
          <w:tcPr>
            <w:tcW w:w="1423" w:type="dxa"/>
            <w:vMerge w:val="restart"/>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pH</w:t>
            </w:r>
          </w:p>
        </w:tc>
        <w:tc>
          <w:tcPr>
            <w:tcW w:w="3425" w:type="dxa"/>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 xml:space="preserve">水质 pH值的测定 玻璃电极法 </w:t>
            </w:r>
          </w:p>
          <w:p>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GB/T 6920-1986</w:t>
            </w:r>
          </w:p>
        </w:tc>
        <w:tc>
          <w:tcPr>
            <w:tcW w:w="1475" w:type="dxa"/>
            <w:vMerge w:val="restart"/>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pH计</w:t>
            </w:r>
          </w:p>
        </w:tc>
        <w:tc>
          <w:tcPr>
            <w:tcW w:w="2199" w:type="dxa"/>
            <w:vMerge w:val="restart"/>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PHS-3C/DF017-2015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99" w:hRule="atLeast"/>
          <w:jc w:val="center"/>
        </w:trPr>
        <w:tc>
          <w:tcPr>
            <w:tcW w:w="1423" w:type="dxa"/>
            <w:vMerge w:val="continue"/>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p>
        </w:tc>
        <w:tc>
          <w:tcPr>
            <w:tcW w:w="3425" w:type="dxa"/>
            <w:tcBorders>
              <w:tl2br w:val="nil"/>
              <w:tr2bl w:val="nil"/>
            </w:tcBorders>
            <w:noWrap w:val="0"/>
            <w:vAlign w:val="center"/>
          </w:tcPr>
          <w:p>
            <w:pPr>
              <w:adjustRightInd w:val="0"/>
              <w:snapToGrid w:val="0"/>
              <w:spacing w:line="240" w:lineRule="auto"/>
              <w:ind w:firstLine="0" w:firstLineChars="0"/>
              <w:jc w:val="center"/>
              <w:rPr>
                <w:rFonts w:cs="Times New Roman"/>
                <w:color w:val="auto"/>
                <w:sz w:val="21"/>
                <w:szCs w:val="21"/>
                <w:lang w:val="en-US" w:eastAsia="zh-CN"/>
              </w:rPr>
            </w:pPr>
            <w:r>
              <w:rPr>
                <w:rFonts w:cs="Times New Roman"/>
                <w:color w:val="auto"/>
                <w:sz w:val="21"/>
                <w:szCs w:val="21"/>
                <w:lang w:val="en-US" w:eastAsia="zh-CN"/>
              </w:rPr>
              <w:t>生活饮用水标准检验方法  感官性状和物理指标  (5.1玻璃电极法)</w:t>
            </w:r>
          </w:p>
          <w:p>
            <w:pPr>
              <w:adjustRightInd w:val="0"/>
              <w:snapToGrid w:val="0"/>
              <w:spacing w:line="240" w:lineRule="auto"/>
              <w:ind w:firstLine="0" w:firstLineChars="0"/>
              <w:jc w:val="center"/>
              <w:rPr>
                <w:rFonts w:hint="eastAsia" w:cs="Times New Roman"/>
                <w:color w:val="auto"/>
                <w:sz w:val="21"/>
                <w:szCs w:val="21"/>
                <w:lang w:val="en-US" w:eastAsia="zh-CN"/>
              </w:rPr>
            </w:pPr>
            <w:r>
              <w:rPr>
                <w:rFonts w:cs="Times New Roman"/>
                <w:color w:val="auto"/>
                <w:sz w:val="21"/>
                <w:szCs w:val="21"/>
                <w:lang w:val="en-US" w:eastAsia="zh-CN"/>
              </w:rPr>
              <w:t>GB/T 5750.4-2006</w:t>
            </w:r>
          </w:p>
        </w:tc>
        <w:tc>
          <w:tcPr>
            <w:tcW w:w="1475" w:type="dxa"/>
            <w:vMerge w:val="continue"/>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p>
        </w:tc>
        <w:tc>
          <w:tcPr>
            <w:tcW w:w="2199" w:type="dxa"/>
            <w:vMerge w:val="continue"/>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423" w:type="dxa"/>
            <w:vMerge w:val="continue"/>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p>
        </w:tc>
        <w:tc>
          <w:tcPr>
            <w:tcW w:w="3425" w:type="dxa"/>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玻璃电极法《土壤元素的近代分析方法》中国环境监测总站（1992年）第六章6.10</w:t>
            </w:r>
          </w:p>
        </w:tc>
        <w:tc>
          <w:tcPr>
            <w:tcW w:w="1475" w:type="dxa"/>
            <w:vMerge w:val="continue"/>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p>
        </w:tc>
        <w:tc>
          <w:tcPr>
            <w:tcW w:w="2199" w:type="dxa"/>
            <w:vMerge w:val="continue"/>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1423" w:type="dxa"/>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石油类</w:t>
            </w:r>
          </w:p>
        </w:tc>
        <w:tc>
          <w:tcPr>
            <w:tcW w:w="3425" w:type="dxa"/>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水质 石油类和动植物油类的测定 红外分光光度法 HJ 637-2012</w:t>
            </w:r>
          </w:p>
        </w:tc>
        <w:tc>
          <w:tcPr>
            <w:tcW w:w="1475" w:type="dxa"/>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红外测油仪</w:t>
            </w:r>
          </w:p>
        </w:tc>
        <w:tc>
          <w:tcPr>
            <w:tcW w:w="2199" w:type="dxa"/>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F2000-IIK/DF008-2015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1423" w:type="dxa"/>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总磷</w:t>
            </w:r>
          </w:p>
        </w:tc>
        <w:tc>
          <w:tcPr>
            <w:tcW w:w="3425" w:type="dxa"/>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水质 总磷的测定 钼酸铵分光光度法 GB/T 11893-1989</w:t>
            </w:r>
          </w:p>
        </w:tc>
        <w:tc>
          <w:tcPr>
            <w:tcW w:w="1475" w:type="dxa"/>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紫外可见</w:t>
            </w:r>
          </w:p>
          <w:p>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分光光度计</w:t>
            </w:r>
          </w:p>
        </w:tc>
        <w:tc>
          <w:tcPr>
            <w:tcW w:w="2199" w:type="dxa"/>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SP-756/DF004-2015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1423" w:type="dxa"/>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总氮</w:t>
            </w:r>
          </w:p>
        </w:tc>
        <w:tc>
          <w:tcPr>
            <w:tcW w:w="3425" w:type="dxa"/>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r>
              <w:rPr>
                <w:rFonts w:cs="Times New Roman"/>
                <w:color w:val="auto"/>
                <w:sz w:val="21"/>
                <w:szCs w:val="21"/>
                <w:lang w:val="en-US" w:eastAsia="zh-CN"/>
              </w:rPr>
              <w:t>水质 总氮的测定 碱性过硫酸钾消解紫外分光光度法HJ 636-2012</w:t>
            </w:r>
          </w:p>
        </w:tc>
        <w:tc>
          <w:tcPr>
            <w:tcW w:w="1475" w:type="dxa"/>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紫外可见</w:t>
            </w:r>
          </w:p>
          <w:p>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分光光度计</w:t>
            </w:r>
          </w:p>
        </w:tc>
        <w:tc>
          <w:tcPr>
            <w:tcW w:w="2199" w:type="dxa"/>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SP-756/DF004-2015</w:t>
            </w:r>
          </w:p>
        </w:tc>
      </w:tr>
    </w:tbl>
    <w:p>
      <w:pPr>
        <w:ind w:firstLine="480"/>
        <w:rPr>
          <w:rFonts w:hint="eastAsia" w:cs="Times New Roman"/>
          <w:color w:val="auto"/>
        </w:rPr>
      </w:pPr>
      <w:r>
        <w:rPr>
          <w:rFonts w:hint="eastAsia" w:cs="Times New Roman"/>
          <w:color w:val="auto"/>
        </w:rPr>
        <w:t>5、监测结果</w:t>
      </w:r>
    </w:p>
    <w:p>
      <w:pPr>
        <w:spacing w:line="360" w:lineRule="auto"/>
        <w:ind w:firstLine="360" w:firstLineChars="150"/>
        <w:rPr>
          <w:rFonts w:eastAsia="仿宋_GB2312" w:cs="Times New Roman"/>
          <w:color w:val="auto"/>
        </w:rPr>
      </w:pPr>
      <w:r>
        <w:rPr>
          <w:rFonts w:cs="Times New Roman"/>
          <w:color w:val="auto"/>
        </w:rPr>
        <w:t>地表水环境质量现状监测数据统计结果见表4.</w:t>
      </w:r>
      <w:r>
        <w:rPr>
          <w:rFonts w:hint="eastAsia" w:cs="Times New Roman"/>
          <w:color w:val="auto"/>
        </w:rPr>
        <w:t>4</w:t>
      </w:r>
      <w:r>
        <w:rPr>
          <w:rFonts w:cs="Times New Roman"/>
          <w:color w:val="auto"/>
        </w:rPr>
        <w:t>-3。</w:t>
      </w:r>
    </w:p>
    <w:p>
      <w:pPr>
        <w:ind w:firstLine="2238" w:firstLineChars="929"/>
        <w:rPr>
          <w:rFonts w:cs="Times New Roman"/>
          <w:b/>
          <w:color w:val="auto"/>
          <w:szCs w:val="21"/>
        </w:rPr>
      </w:pPr>
      <w:r>
        <w:rPr>
          <w:rFonts w:cs="Times New Roman"/>
          <w:b/>
          <w:color w:val="auto"/>
          <w:szCs w:val="21"/>
        </w:rPr>
        <w:t>表4.</w:t>
      </w:r>
      <w:r>
        <w:rPr>
          <w:rFonts w:hint="eastAsia" w:cs="Times New Roman"/>
          <w:b/>
          <w:color w:val="auto"/>
          <w:szCs w:val="21"/>
        </w:rPr>
        <w:t>4</w:t>
      </w:r>
      <w:r>
        <w:rPr>
          <w:rFonts w:cs="Times New Roman"/>
          <w:b/>
          <w:color w:val="auto"/>
          <w:szCs w:val="21"/>
        </w:rPr>
        <w:t>-3  地表水水质现状监测结果</w:t>
      </w:r>
      <w:r>
        <w:rPr>
          <w:rFonts w:hint="eastAsia" w:cs="Times New Roman"/>
          <w:b/>
          <w:bCs w:val="0"/>
          <w:color w:val="auto"/>
          <w:szCs w:val="21"/>
          <w:lang w:val="en-US" w:eastAsia="zh-CN"/>
        </w:rPr>
        <w:t xml:space="preserve">  </w:t>
      </w:r>
      <w:r>
        <w:rPr>
          <w:rFonts w:cs="Times New Roman"/>
          <w:b/>
          <w:bCs w:val="0"/>
          <w:color w:val="auto"/>
          <w:szCs w:val="21"/>
        </w:rPr>
        <w:t>单位：mg/L</w:t>
      </w:r>
    </w:p>
    <w:tbl>
      <w:tblPr>
        <w:tblStyle w:val="53"/>
        <w:tblW w:w="8522"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46"/>
        <w:gridCol w:w="1213"/>
        <w:gridCol w:w="1212"/>
        <w:gridCol w:w="1212"/>
        <w:gridCol w:w="1214"/>
        <w:gridCol w:w="1211"/>
        <w:gridCol w:w="121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blHeader/>
          <w:jc w:val="center"/>
        </w:trPr>
        <w:tc>
          <w:tcPr>
            <w:tcW w:w="8522" w:type="dxa"/>
            <w:gridSpan w:val="7"/>
            <w:tcBorders>
              <w:tl2br w:val="nil"/>
              <w:tr2bl w:val="nil"/>
            </w:tcBorders>
            <w:noWrap w:val="0"/>
            <w:vAlign w:val="center"/>
          </w:tcPr>
          <w:p>
            <w:pPr>
              <w:pStyle w:val="307"/>
              <w:rPr>
                <w:rFonts w:hint="eastAsia"/>
                <w:color w:val="auto"/>
                <w:lang w:val="en-US" w:eastAsia="zh-CN"/>
              </w:rPr>
            </w:pPr>
            <w:bookmarkStart w:id="178" w:name="_Toc472326845"/>
            <w:bookmarkStart w:id="179" w:name="_Toc525827483"/>
            <w:r>
              <w:rPr>
                <w:rFonts w:hint="eastAsia"/>
                <w:color w:val="auto"/>
                <w:lang w:val="en-US" w:eastAsia="zh-CN"/>
              </w:rPr>
              <w:t>检测结果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blHeader/>
          <w:jc w:val="center"/>
        </w:trPr>
        <w:tc>
          <w:tcPr>
            <w:tcW w:w="1246"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采样点位</w:t>
            </w:r>
          </w:p>
        </w:tc>
        <w:tc>
          <w:tcPr>
            <w:tcW w:w="2425" w:type="dxa"/>
            <w:gridSpan w:val="2"/>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1#佳木斯江北园区污水处理厂排污口上游500m</w:t>
            </w:r>
          </w:p>
        </w:tc>
        <w:tc>
          <w:tcPr>
            <w:tcW w:w="2426" w:type="dxa"/>
            <w:gridSpan w:val="2"/>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2#佳木斯江北园区污水处理厂排污口下游1000m</w:t>
            </w:r>
          </w:p>
        </w:tc>
        <w:tc>
          <w:tcPr>
            <w:tcW w:w="2425" w:type="dxa"/>
            <w:gridSpan w:val="2"/>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3#佳木斯宏力村断面</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blHeader/>
          <w:jc w:val="center"/>
        </w:trPr>
        <w:tc>
          <w:tcPr>
            <w:tcW w:w="1246"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采样时间</w:t>
            </w:r>
          </w:p>
          <w:p>
            <w:pPr>
              <w:pStyle w:val="307"/>
              <w:rPr>
                <w:rFonts w:hint="eastAsia"/>
                <w:color w:val="auto"/>
                <w:lang w:val="en-US" w:eastAsia="zh-CN"/>
              </w:rPr>
            </w:pPr>
            <w:r>
              <w:rPr>
                <w:rFonts w:hint="eastAsia"/>
                <w:color w:val="auto"/>
                <w:lang w:val="en-US" w:eastAsia="zh-CN"/>
              </w:rPr>
              <w:t>2017年</w:t>
            </w:r>
          </w:p>
        </w:tc>
        <w:tc>
          <w:tcPr>
            <w:tcW w:w="1213"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11.11</w:t>
            </w:r>
          </w:p>
        </w:tc>
        <w:tc>
          <w:tcPr>
            <w:tcW w:w="1212"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11.12</w:t>
            </w:r>
          </w:p>
        </w:tc>
        <w:tc>
          <w:tcPr>
            <w:tcW w:w="1212"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11.11</w:t>
            </w:r>
          </w:p>
        </w:tc>
        <w:tc>
          <w:tcPr>
            <w:tcW w:w="1214"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11.12</w:t>
            </w:r>
          </w:p>
        </w:tc>
        <w:tc>
          <w:tcPr>
            <w:tcW w:w="1211"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11.11</w:t>
            </w:r>
          </w:p>
        </w:tc>
        <w:tc>
          <w:tcPr>
            <w:tcW w:w="1214"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11.12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246"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pH值</w:t>
            </w:r>
          </w:p>
        </w:tc>
        <w:tc>
          <w:tcPr>
            <w:tcW w:w="1213"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7.57</w:t>
            </w:r>
          </w:p>
        </w:tc>
        <w:tc>
          <w:tcPr>
            <w:tcW w:w="1212"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7.52</w:t>
            </w:r>
          </w:p>
        </w:tc>
        <w:tc>
          <w:tcPr>
            <w:tcW w:w="1212"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7.71</w:t>
            </w:r>
          </w:p>
        </w:tc>
        <w:tc>
          <w:tcPr>
            <w:tcW w:w="1214"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7.69</w:t>
            </w:r>
          </w:p>
        </w:tc>
        <w:tc>
          <w:tcPr>
            <w:tcW w:w="1211"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7.82</w:t>
            </w:r>
          </w:p>
        </w:tc>
        <w:tc>
          <w:tcPr>
            <w:tcW w:w="1214"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7.84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246"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化学</w:t>
            </w:r>
          </w:p>
          <w:p>
            <w:pPr>
              <w:pStyle w:val="307"/>
              <w:rPr>
                <w:rFonts w:hint="eastAsia"/>
                <w:color w:val="auto"/>
                <w:lang w:val="en-US" w:eastAsia="zh-CN"/>
              </w:rPr>
            </w:pPr>
            <w:r>
              <w:rPr>
                <w:rFonts w:hint="eastAsia"/>
                <w:color w:val="auto"/>
                <w:lang w:val="en-US" w:eastAsia="zh-CN"/>
              </w:rPr>
              <w:t>需氧量</w:t>
            </w:r>
          </w:p>
        </w:tc>
        <w:tc>
          <w:tcPr>
            <w:tcW w:w="1213"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18</w:t>
            </w:r>
          </w:p>
        </w:tc>
        <w:tc>
          <w:tcPr>
            <w:tcW w:w="1212"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19</w:t>
            </w:r>
          </w:p>
        </w:tc>
        <w:tc>
          <w:tcPr>
            <w:tcW w:w="1212"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17</w:t>
            </w:r>
          </w:p>
        </w:tc>
        <w:tc>
          <w:tcPr>
            <w:tcW w:w="1214"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17</w:t>
            </w:r>
          </w:p>
        </w:tc>
        <w:tc>
          <w:tcPr>
            <w:tcW w:w="1211"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19</w:t>
            </w:r>
          </w:p>
        </w:tc>
        <w:tc>
          <w:tcPr>
            <w:tcW w:w="1214"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246"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五日生化需氧量</w:t>
            </w:r>
          </w:p>
        </w:tc>
        <w:tc>
          <w:tcPr>
            <w:tcW w:w="1213"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4.8</w:t>
            </w:r>
          </w:p>
        </w:tc>
        <w:tc>
          <w:tcPr>
            <w:tcW w:w="1212"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4.5</w:t>
            </w:r>
          </w:p>
        </w:tc>
        <w:tc>
          <w:tcPr>
            <w:tcW w:w="1212"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4.8</w:t>
            </w:r>
          </w:p>
        </w:tc>
        <w:tc>
          <w:tcPr>
            <w:tcW w:w="1214"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5.2</w:t>
            </w:r>
          </w:p>
        </w:tc>
        <w:tc>
          <w:tcPr>
            <w:tcW w:w="1211"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4.9</w:t>
            </w:r>
          </w:p>
        </w:tc>
        <w:tc>
          <w:tcPr>
            <w:tcW w:w="1214"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5.4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246" w:type="dxa"/>
            <w:tcBorders>
              <w:tl2br w:val="nil"/>
              <w:tr2bl w:val="nil"/>
            </w:tcBorders>
            <w:noWrap w:val="0"/>
            <w:vAlign w:val="center"/>
          </w:tcPr>
          <w:p>
            <w:pPr>
              <w:pStyle w:val="307"/>
              <w:ind w:firstLine="0" w:firstLineChars="0"/>
              <w:rPr>
                <w:rFonts w:hint="eastAsia"/>
                <w:color w:val="auto"/>
                <w:lang w:val="en-US" w:eastAsia="zh-CN"/>
              </w:rPr>
            </w:pPr>
            <w:r>
              <w:rPr>
                <w:rFonts w:hint="eastAsia"/>
                <w:color w:val="auto"/>
                <w:lang w:eastAsia="zh-CN"/>
              </w:rPr>
              <w:t>溶解氧</w:t>
            </w:r>
          </w:p>
        </w:tc>
        <w:tc>
          <w:tcPr>
            <w:tcW w:w="1213" w:type="dxa"/>
            <w:tcBorders>
              <w:tl2br w:val="nil"/>
              <w:tr2bl w:val="nil"/>
            </w:tcBorders>
            <w:noWrap w:val="0"/>
            <w:vAlign w:val="center"/>
          </w:tcPr>
          <w:p>
            <w:pPr>
              <w:pStyle w:val="307"/>
              <w:ind w:firstLine="0" w:firstLineChars="0"/>
              <w:rPr>
                <w:rFonts w:hint="eastAsia"/>
                <w:color w:val="auto"/>
                <w:lang w:val="en-US" w:eastAsia="zh-CN"/>
              </w:rPr>
            </w:pPr>
            <w:r>
              <w:rPr>
                <w:rFonts w:hint="eastAsia"/>
                <w:color w:val="auto"/>
                <w:lang w:val="en-US" w:eastAsia="zh-CN"/>
              </w:rPr>
              <w:t>10.3</w:t>
            </w:r>
          </w:p>
        </w:tc>
        <w:tc>
          <w:tcPr>
            <w:tcW w:w="1212" w:type="dxa"/>
            <w:tcBorders>
              <w:tl2br w:val="nil"/>
              <w:tr2bl w:val="nil"/>
            </w:tcBorders>
            <w:noWrap w:val="0"/>
            <w:vAlign w:val="center"/>
          </w:tcPr>
          <w:p>
            <w:pPr>
              <w:pStyle w:val="307"/>
              <w:ind w:firstLine="0" w:firstLineChars="0"/>
              <w:rPr>
                <w:rFonts w:hint="eastAsia"/>
                <w:color w:val="auto"/>
                <w:lang w:val="en-US" w:eastAsia="zh-CN"/>
              </w:rPr>
            </w:pPr>
            <w:r>
              <w:rPr>
                <w:rFonts w:hint="eastAsia"/>
                <w:color w:val="auto"/>
                <w:lang w:val="en-US" w:eastAsia="zh-CN"/>
              </w:rPr>
              <w:t>10.1</w:t>
            </w:r>
          </w:p>
        </w:tc>
        <w:tc>
          <w:tcPr>
            <w:tcW w:w="1212" w:type="dxa"/>
            <w:tcBorders>
              <w:tl2br w:val="nil"/>
              <w:tr2bl w:val="nil"/>
            </w:tcBorders>
            <w:noWrap w:val="0"/>
            <w:vAlign w:val="center"/>
          </w:tcPr>
          <w:p>
            <w:pPr>
              <w:pStyle w:val="307"/>
              <w:ind w:firstLine="0" w:firstLineChars="0"/>
              <w:rPr>
                <w:rFonts w:hint="eastAsia"/>
                <w:color w:val="auto"/>
                <w:lang w:val="en-US" w:eastAsia="zh-CN"/>
              </w:rPr>
            </w:pPr>
            <w:r>
              <w:rPr>
                <w:rFonts w:hint="eastAsia"/>
                <w:color w:val="auto"/>
                <w:lang w:val="en-US" w:eastAsia="zh-CN"/>
              </w:rPr>
              <w:t>10.8</w:t>
            </w:r>
          </w:p>
        </w:tc>
        <w:tc>
          <w:tcPr>
            <w:tcW w:w="1214" w:type="dxa"/>
            <w:tcBorders>
              <w:tl2br w:val="nil"/>
              <w:tr2bl w:val="nil"/>
            </w:tcBorders>
            <w:noWrap w:val="0"/>
            <w:vAlign w:val="center"/>
          </w:tcPr>
          <w:p>
            <w:pPr>
              <w:pStyle w:val="307"/>
              <w:ind w:firstLine="0" w:firstLineChars="0"/>
              <w:rPr>
                <w:rFonts w:hint="eastAsia"/>
                <w:color w:val="auto"/>
                <w:lang w:val="en-US" w:eastAsia="zh-CN"/>
              </w:rPr>
            </w:pPr>
            <w:r>
              <w:rPr>
                <w:rFonts w:hint="eastAsia"/>
                <w:color w:val="auto"/>
                <w:lang w:val="en-US" w:eastAsia="zh-CN"/>
              </w:rPr>
              <w:t>11.1</w:t>
            </w:r>
          </w:p>
        </w:tc>
        <w:tc>
          <w:tcPr>
            <w:tcW w:w="1211" w:type="dxa"/>
            <w:tcBorders>
              <w:tl2br w:val="nil"/>
              <w:tr2bl w:val="nil"/>
            </w:tcBorders>
            <w:noWrap w:val="0"/>
            <w:vAlign w:val="center"/>
          </w:tcPr>
          <w:p>
            <w:pPr>
              <w:pStyle w:val="307"/>
              <w:ind w:firstLine="0" w:firstLineChars="0"/>
              <w:rPr>
                <w:rFonts w:hint="eastAsia"/>
                <w:color w:val="auto"/>
                <w:lang w:val="en-US" w:eastAsia="zh-CN"/>
              </w:rPr>
            </w:pPr>
            <w:r>
              <w:rPr>
                <w:rFonts w:hint="eastAsia"/>
                <w:color w:val="auto"/>
                <w:lang w:val="en-US" w:eastAsia="zh-CN"/>
              </w:rPr>
              <w:t>10.8</w:t>
            </w:r>
          </w:p>
        </w:tc>
        <w:tc>
          <w:tcPr>
            <w:tcW w:w="1214" w:type="dxa"/>
            <w:tcBorders>
              <w:tl2br w:val="nil"/>
              <w:tr2bl w:val="nil"/>
            </w:tcBorders>
            <w:noWrap w:val="0"/>
            <w:vAlign w:val="center"/>
          </w:tcPr>
          <w:p>
            <w:pPr>
              <w:pStyle w:val="307"/>
              <w:ind w:firstLine="0" w:firstLineChars="0"/>
              <w:rPr>
                <w:rFonts w:hint="eastAsia"/>
                <w:color w:val="auto"/>
                <w:lang w:val="en-US" w:eastAsia="zh-CN"/>
              </w:rPr>
            </w:pPr>
            <w:r>
              <w:rPr>
                <w:rFonts w:hint="eastAsia"/>
                <w:color w:val="auto"/>
                <w:lang w:val="en-US" w:eastAsia="zh-CN"/>
              </w:rPr>
              <w:t>10.5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246"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氨氮</w:t>
            </w:r>
          </w:p>
        </w:tc>
        <w:tc>
          <w:tcPr>
            <w:tcW w:w="1213"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0.307</w:t>
            </w:r>
          </w:p>
        </w:tc>
        <w:tc>
          <w:tcPr>
            <w:tcW w:w="1212"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0.314</w:t>
            </w:r>
          </w:p>
        </w:tc>
        <w:tc>
          <w:tcPr>
            <w:tcW w:w="1212"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0.230</w:t>
            </w:r>
          </w:p>
        </w:tc>
        <w:tc>
          <w:tcPr>
            <w:tcW w:w="1214"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0.224</w:t>
            </w:r>
          </w:p>
        </w:tc>
        <w:tc>
          <w:tcPr>
            <w:tcW w:w="1211"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0.295</w:t>
            </w:r>
          </w:p>
        </w:tc>
        <w:tc>
          <w:tcPr>
            <w:tcW w:w="1214"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0.295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246"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总磷</w:t>
            </w:r>
          </w:p>
        </w:tc>
        <w:tc>
          <w:tcPr>
            <w:tcW w:w="1213"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0.03</w:t>
            </w:r>
          </w:p>
        </w:tc>
        <w:tc>
          <w:tcPr>
            <w:tcW w:w="1212"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0.02</w:t>
            </w:r>
          </w:p>
        </w:tc>
        <w:tc>
          <w:tcPr>
            <w:tcW w:w="1212"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0.03</w:t>
            </w:r>
          </w:p>
        </w:tc>
        <w:tc>
          <w:tcPr>
            <w:tcW w:w="1214"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0.03</w:t>
            </w:r>
          </w:p>
        </w:tc>
        <w:tc>
          <w:tcPr>
            <w:tcW w:w="1211"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0.04</w:t>
            </w:r>
          </w:p>
        </w:tc>
        <w:tc>
          <w:tcPr>
            <w:tcW w:w="1214"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0.06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246" w:type="dxa"/>
            <w:tcBorders>
              <w:tl2br w:val="nil"/>
              <w:tr2bl w:val="nil"/>
            </w:tcBorders>
            <w:noWrap w:val="0"/>
            <w:vAlign w:val="center"/>
          </w:tcPr>
          <w:p>
            <w:pPr>
              <w:pStyle w:val="307"/>
              <w:rPr>
                <w:color w:val="auto"/>
                <w:lang w:val="en-US" w:eastAsia="zh-CN"/>
              </w:rPr>
            </w:pPr>
            <w:r>
              <w:rPr>
                <w:rFonts w:hint="eastAsia"/>
                <w:color w:val="auto"/>
                <w:lang w:val="en-US" w:eastAsia="zh-CN"/>
              </w:rPr>
              <w:t>总氮</w:t>
            </w:r>
          </w:p>
        </w:tc>
        <w:tc>
          <w:tcPr>
            <w:tcW w:w="1213"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1.44</w:t>
            </w:r>
          </w:p>
        </w:tc>
        <w:tc>
          <w:tcPr>
            <w:tcW w:w="1212"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1.43</w:t>
            </w:r>
          </w:p>
        </w:tc>
        <w:tc>
          <w:tcPr>
            <w:tcW w:w="1212"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1.31</w:t>
            </w:r>
          </w:p>
        </w:tc>
        <w:tc>
          <w:tcPr>
            <w:tcW w:w="1214"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1.32</w:t>
            </w:r>
          </w:p>
        </w:tc>
        <w:tc>
          <w:tcPr>
            <w:tcW w:w="1211"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1.48</w:t>
            </w:r>
          </w:p>
        </w:tc>
        <w:tc>
          <w:tcPr>
            <w:tcW w:w="1214"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1.49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246"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石油类</w:t>
            </w:r>
          </w:p>
        </w:tc>
        <w:tc>
          <w:tcPr>
            <w:tcW w:w="1213"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0.02</w:t>
            </w:r>
          </w:p>
        </w:tc>
        <w:tc>
          <w:tcPr>
            <w:tcW w:w="1212"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0.02</w:t>
            </w:r>
          </w:p>
        </w:tc>
        <w:tc>
          <w:tcPr>
            <w:tcW w:w="1212"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0.01L</w:t>
            </w:r>
          </w:p>
        </w:tc>
        <w:tc>
          <w:tcPr>
            <w:tcW w:w="1214"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0.01L</w:t>
            </w:r>
          </w:p>
        </w:tc>
        <w:tc>
          <w:tcPr>
            <w:tcW w:w="1211"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0.01L</w:t>
            </w:r>
          </w:p>
        </w:tc>
        <w:tc>
          <w:tcPr>
            <w:tcW w:w="1214" w:type="dxa"/>
            <w:tcBorders>
              <w:tl2br w:val="nil"/>
              <w:tr2bl w:val="nil"/>
            </w:tcBorders>
            <w:noWrap w:val="0"/>
            <w:vAlign w:val="center"/>
          </w:tcPr>
          <w:p>
            <w:pPr>
              <w:pStyle w:val="307"/>
              <w:rPr>
                <w:rFonts w:hint="eastAsia"/>
                <w:color w:val="auto"/>
                <w:lang w:val="en-US" w:eastAsia="zh-CN"/>
              </w:rPr>
            </w:pPr>
            <w:r>
              <w:rPr>
                <w:rFonts w:hint="eastAsia"/>
                <w:color w:val="auto"/>
                <w:lang w:val="en-US" w:eastAsia="zh-CN"/>
              </w:rPr>
              <w:t>0.01L</w:t>
            </w:r>
          </w:p>
        </w:tc>
      </w:tr>
    </w:tbl>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4.</w:t>
      </w:r>
      <w:r>
        <w:rPr>
          <w:rFonts w:hint="eastAsia" w:ascii="Times New Roman" w:hAnsi="Times New Roman" w:cs="Times New Roman" w:eastAsiaTheme="minorEastAsia"/>
          <w:color w:val="auto"/>
        </w:rPr>
        <w:t>4</w:t>
      </w:r>
      <w:r>
        <w:rPr>
          <w:rFonts w:ascii="Times New Roman" w:hAnsi="Times New Roman" w:cs="Times New Roman" w:eastAsiaTheme="minorEastAsia"/>
          <w:color w:val="auto"/>
        </w:rPr>
        <w:t>.2 地表水环境现状评价</w:t>
      </w:r>
      <w:bookmarkEnd w:id="178"/>
      <w:bookmarkEnd w:id="179"/>
    </w:p>
    <w:p>
      <w:pPr>
        <w:wordWrap w:val="0"/>
        <w:spacing w:line="360" w:lineRule="auto"/>
        <w:ind w:firstLine="480"/>
        <w:jc w:val="left"/>
        <w:rPr>
          <w:rFonts w:cs="Times New Roman"/>
          <w:color w:val="auto"/>
        </w:rPr>
      </w:pPr>
      <w:r>
        <w:rPr>
          <w:rFonts w:cs="Times New Roman"/>
          <w:color w:val="auto"/>
        </w:rPr>
        <w:t>（1）评价范围</w:t>
      </w:r>
    </w:p>
    <w:p>
      <w:pPr>
        <w:wordWrap w:val="0"/>
        <w:spacing w:line="360" w:lineRule="auto"/>
        <w:ind w:firstLine="480"/>
        <w:jc w:val="left"/>
        <w:rPr>
          <w:rFonts w:cs="Times New Roman"/>
          <w:color w:val="auto"/>
        </w:rPr>
      </w:pPr>
      <w:r>
        <w:rPr>
          <w:rFonts w:cs="Times New Roman"/>
          <w:color w:val="auto"/>
        </w:rPr>
        <w:t>同现状监测范围。</w:t>
      </w:r>
    </w:p>
    <w:p>
      <w:pPr>
        <w:wordWrap w:val="0"/>
        <w:spacing w:line="360" w:lineRule="auto"/>
        <w:ind w:firstLine="480"/>
        <w:jc w:val="left"/>
        <w:rPr>
          <w:rFonts w:cs="Times New Roman"/>
          <w:color w:val="auto"/>
        </w:rPr>
      </w:pPr>
      <w:r>
        <w:rPr>
          <w:rFonts w:cs="Times New Roman"/>
          <w:color w:val="auto"/>
        </w:rPr>
        <w:t>（2）评价参数</w:t>
      </w:r>
    </w:p>
    <w:p>
      <w:pPr>
        <w:wordWrap w:val="0"/>
        <w:spacing w:line="360" w:lineRule="auto"/>
        <w:ind w:firstLine="480"/>
        <w:jc w:val="left"/>
        <w:rPr>
          <w:rFonts w:cs="Times New Roman"/>
          <w:color w:val="auto"/>
        </w:rPr>
      </w:pPr>
      <w:r>
        <w:rPr>
          <w:rFonts w:cs="Times New Roman"/>
          <w:color w:val="auto"/>
        </w:rPr>
        <w:t>根据地表水的使用功能及水质特点，为全面反映地表水水质现状，</w:t>
      </w:r>
      <w:r>
        <w:rPr>
          <w:rFonts w:hint="eastAsia" w:cs="Times New Roman"/>
          <w:color w:val="auto"/>
          <w:lang w:val="en-US" w:eastAsia="zh-CN"/>
        </w:rPr>
        <w:t>8</w:t>
      </w:r>
      <w:r>
        <w:rPr>
          <w:rFonts w:cs="Times New Roman"/>
          <w:color w:val="auto"/>
        </w:rPr>
        <w:t>项监测参数均作为评价参数。</w:t>
      </w:r>
    </w:p>
    <w:p>
      <w:pPr>
        <w:ind w:firstLine="480"/>
        <w:rPr>
          <w:rFonts w:hint="eastAsia" w:cs="Times New Roman"/>
          <w:color w:val="auto"/>
        </w:rPr>
      </w:pPr>
      <w:r>
        <w:rPr>
          <w:rFonts w:hint="eastAsia" w:cs="Times New Roman"/>
          <w:color w:val="auto"/>
        </w:rPr>
        <w:t>（3）评价标准</w:t>
      </w:r>
    </w:p>
    <w:p>
      <w:pPr>
        <w:spacing w:line="360" w:lineRule="auto"/>
        <w:ind w:firstLine="480"/>
        <w:rPr>
          <w:rFonts w:cs="Times New Roman"/>
          <w:color w:val="auto"/>
        </w:rPr>
      </w:pPr>
      <w:r>
        <w:rPr>
          <w:rFonts w:cs="Times New Roman"/>
          <w:color w:val="auto"/>
        </w:rPr>
        <w:t>根据《黑龙江省地面水环境质量功能区划分和水环境质量补充标准》（DB23/485-1998），因此采用（GB3838-2002）《地表水环境质量标准》中</w:t>
      </w:r>
      <w:r>
        <w:rPr>
          <w:rFonts w:hint="eastAsia" w:ascii="宋体" w:hAnsi="宋体" w:cs="宋体"/>
          <w:color w:val="auto"/>
        </w:rPr>
        <w:t>Ⅳ</w:t>
      </w:r>
      <w:r>
        <w:rPr>
          <w:rFonts w:cs="Times New Roman"/>
          <w:color w:val="auto"/>
        </w:rPr>
        <w:t>类标准。见表4.</w:t>
      </w:r>
      <w:r>
        <w:rPr>
          <w:rFonts w:hint="eastAsia" w:cs="Times New Roman"/>
          <w:color w:val="auto"/>
        </w:rPr>
        <w:t>4</w:t>
      </w:r>
      <w:r>
        <w:rPr>
          <w:rFonts w:cs="Times New Roman"/>
          <w:color w:val="auto"/>
        </w:rPr>
        <w:t>-4。</w:t>
      </w:r>
    </w:p>
    <w:p>
      <w:pPr>
        <w:ind w:firstLine="482"/>
        <w:jc w:val="center"/>
        <w:rPr>
          <w:rFonts w:cs="Times New Roman"/>
          <w:b/>
          <w:color w:val="auto"/>
          <w:szCs w:val="21"/>
        </w:rPr>
      </w:pPr>
      <w:r>
        <w:rPr>
          <w:rFonts w:cs="Times New Roman"/>
          <w:b/>
          <w:color w:val="auto"/>
          <w:szCs w:val="21"/>
        </w:rPr>
        <w:t>表4.4-4地表水环境质量标准（mg/L,pH无量纲）</w:t>
      </w:r>
    </w:p>
    <w:tbl>
      <w:tblPr>
        <w:tblStyle w:val="53"/>
        <w:tblW w:w="8277" w:type="dxa"/>
        <w:jc w:val="center"/>
        <w:tblInd w:w="0" w:type="dxa"/>
        <w:tblBorders>
          <w:top w:val="single" w:color="000000" w:sz="12" w:space="0"/>
          <w:left w:val="none" w:color="auto" w:sz="0" w:space="0"/>
          <w:bottom w:val="single" w:color="000000" w:sz="12" w:space="0"/>
          <w:right w:val="none" w:color="auto" w:sz="0" w:space="0"/>
          <w:insideH w:val="single" w:color="000000" w:sz="6" w:space="0"/>
          <w:insideV w:val="none" w:color="auto" w:sz="0" w:space="0"/>
        </w:tblBorders>
        <w:tblLayout w:type="fixed"/>
        <w:tblCellMar>
          <w:top w:w="0" w:type="dxa"/>
          <w:left w:w="108" w:type="dxa"/>
          <w:bottom w:w="0" w:type="dxa"/>
          <w:right w:w="108" w:type="dxa"/>
        </w:tblCellMar>
      </w:tblPr>
      <w:tblGrid>
        <w:gridCol w:w="1256"/>
        <w:gridCol w:w="1140"/>
        <w:gridCol w:w="709"/>
        <w:gridCol w:w="850"/>
        <w:gridCol w:w="709"/>
        <w:gridCol w:w="851"/>
        <w:gridCol w:w="850"/>
        <w:gridCol w:w="1912"/>
      </w:tblGrid>
      <w:tr>
        <w:tblPrEx>
          <w:tblBorders>
            <w:top w:val="single" w:color="000000" w:sz="12" w:space="0"/>
            <w:left w:val="none" w:color="auto" w:sz="0" w:space="0"/>
            <w:bottom w:val="single" w:color="000000" w:sz="12" w:space="0"/>
            <w:right w:val="none" w:color="auto" w:sz="0" w:space="0"/>
            <w:insideH w:val="single" w:color="000000" w:sz="6" w:space="0"/>
            <w:insideV w:val="none" w:color="auto" w:sz="0" w:space="0"/>
          </w:tblBorders>
          <w:tblLayout w:type="fixed"/>
          <w:tblCellMar>
            <w:top w:w="0" w:type="dxa"/>
            <w:left w:w="108" w:type="dxa"/>
            <w:bottom w:w="0" w:type="dxa"/>
            <w:right w:w="108" w:type="dxa"/>
          </w:tblCellMar>
        </w:tblPrEx>
        <w:trPr>
          <w:trHeight w:val="452" w:hRule="atLeast"/>
          <w:jc w:val="center"/>
        </w:trPr>
        <w:tc>
          <w:tcPr>
            <w:tcW w:w="1256" w:type="dxa"/>
            <w:tcBorders>
              <w:bottom w:val="single" w:color="auto" w:sz="2" w:space="0"/>
              <w:right w:val="single" w:color="auto" w:sz="6" w:space="0"/>
            </w:tcBorders>
            <w:noWrap w:val="0"/>
            <w:tcMar>
              <w:left w:w="0" w:type="dxa"/>
              <w:right w:w="0" w:type="dxa"/>
            </w:tcMar>
            <w:vAlign w:val="center"/>
          </w:tcPr>
          <w:p>
            <w:pPr>
              <w:pStyle w:val="21"/>
              <w:adjustRightInd w:val="0"/>
              <w:snapToGrid w:val="0"/>
              <w:spacing w:after="0" w:line="240" w:lineRule="auto"/>
              <w:ind w:left="0" w:leftChars="0" w:firstLine="0" w:firstLineChars="0"/>
              <w:jc w:val="center"/>
              <w:rPr>
                <w:rFonts w:cs="Times New Roman"/>
                <w:bCs/>
                <w:color w:val="auto"/>
                <w:sz w:val="21"/>
                <w:szCs w:val="21"/>
              </w:rPr>
            </w:pPr>
            <w:r>
              <w:rPr>
                <w:rFonts w:cs="Times New Roman"/>
                <w:bCs/>
                <w:color w:val="auto"/>
                <w:sz w:val="21"/>
                <w:szCs w:val="21"/>
              </w:rPr>
              <w:t>评价参数</w:t>
            </w:r>
          </w:p>
        </w:tc>
        <w:tc>
          <w:tcPr>
            <w:tcW w:w="1140" w:type="dxa"/>
            <w:tcBorders>
              <w:bottom w:val="single" w:color="auto" w:sz="2" w:space="0"/>
              <w:right w:val="single" w:color="auto" w:sz="6" w:space="0"/>
            </w:tcBorders>
            <w:noWrap w:val="0"/>
            <w:tcMar>
              <w:left w:w="0" w:type="dxa"/>
              <w:right w:w="0" w:type="dxa"/>
            </w:tcMar>
            <w:vAlign w:val="center"/>
          </w:tcPr>
          <w:p>
            <w:pPr>
              <w:pStyle w:val="21"/>
              <w:adjustRightInd w:val="0"/>
              <w:snapToGrid w:val="0"/>
              <w:spacing w:after="0" w:line="240" w:lineRule="auto"/>
              <w:ind w:left="0" w:leftChars="0" w:firstLine="0" w:firstLineChars="0"/>
              <w:jc w:val="center"/>
              <w:rPr>
                <w:rFonts w:cs="Times New Roman"/>
                <w:bCs/>
                <w:color w:val="auto"/>
                <w:sz w:val="21"/>
                <w:szCs w:val="21"/>
              </w:rPr>
            </w:pPr>
            <w:r>
              <w:rPr>
                <w:rFonts w:cs="Times New Roman"/>
                <w:bCs/>
                <w:color w:val="auto"/>
                <w:sz w:val="21"/>
                <w:szCs w:val="21"/>
              </w:rPr>
              <w:t>pH（无量纲）</w:t>
            </w:r>
          </w:p>
        </w:tc>
        <w:tc>
          <w:tcPr>
            <w:tcW w:w="709" w:type="dxa"/>
            <w:tcBorders>
              <w:bottom w:val="single" w:color="auto" w:sz="2" w:space="0"/>
              <w:right w:val="single" w:color="auto" w:sz="6" w:space="0"/>
            </w:tcBorders>
            <w:noWrap w:val="0"/>
            <w:tcMar>
              <w:left w:w="0" w:type="dxa"/>
              <w:right w:w="0" w:type="dxa"/>
            </w:tcMar>
            <w:vAlign w:val="center"/>
          </w:tcPr>
          <w:p>
            <w:pPr>
              <w:pStyle w:val="21"/>
              <w:adjustRightInd w:val="0"/>
              <w:snapToGrid w:val="0"/>
              <w:spacing w:after="0" w:line="240" w:lineRule="auto"/>
              <w:ind w:left="0" w:leftChars="0" w:firstLine="0" w:firstLineChars="0"/>
              <w:jc w:val="center"/>
              <w:rPr>
                <w:rFonts w:cs="Times New Roman"/>
                <w:bCs/>
                <w:color w:val="auto"/>
                <w:sz w:val="21"/>
                <w:szCs w:val="21"/>
              </w:rPr>
            </w:pPr>
            <w:r>
              <w:rPr>
                <w:rFonts w:cs="Times New Roman"/>
                <w:bCs/>
                <w:color w:val="auto"/>
                <w:sz w:val="21"/>
                <w:szCs w:val="21"/>
              </w:rPr>
              <w:t>DO</w:t>
            </w:r>
          </w:p>
        </w:tc>
        <w:tc>
          <w:tcPr>
            <w:tcW w:w="850" w:type="dxa"/>
            <w:tcBorders>
              <w:left w:val="single" w:color="auto" w:sz="6" w:space="0"/>
              <w:bottom w:val="single" w:color="auto" w:sz="2" w:space="0"/>
              <w:right w:val="single" w:color="auto" w:sz="6" w:space="0"/>
            </w:tcBorders>
            <w:noWrap w:val="0"/>
            <w:tcMar>
              <w:left w:w="0" w:type="dxa"/>
              <w:right w:w="0" w:type="dxa"/>
            </w:tcMar>
            <w:vAlign w:val="center"/>
          </w:tcPr>
          <w:p>
            <w:pPr>
              <w:pStyle w:val="21"/>
              <w:adjustRightInd w:val="0"/>
              <w:snapToGrid w:val="0"/>
              <w:spacing w:after="0" w:line="240" w:lineRule="auto"/>
              <w:ind w:left="0" w:leftChars="0" w:firstLine="0" w:firstLineChars="0"/>
              <w:jc w:val="center"/>
              <w:rPr>
                <w:rFonts w:cs="Times New Roman"/>
                <w:bCs/>
                <w:color w:val="auto"/>
                <w:sz w:val="21"/>
                <w:szCs w:val="21"/>
              </w:rPr>
            </w:pPr>
            <w:r>
              <w:rPr>
                <w:rFonts w:cs="Times New Roman"/>
                <w:bCs/>
                <w:color w:val="auto"/>
                <w:sz w:val="21"/>
                <w:szCs w:val="21"/>
              </w:rPr>
              <w:t>COD</w:t>
            </w:r>
          </w:p>
        </w:tc>
        <w:tc>
          <w:tcPr>
            <w:tcW w:w="709" w:type="dxa"/>
            <w:tcBorders>
              <w:left w:val="single" w:color="auto" w:sz="6" w:space="0"/>
              <w:bottom w:val="single" w:color="auto" w:sz="2" w:space="0"/>
              <w:right w:val="single" w:color="auto" w:sz="6" w:space="0"/>
            </w:tcBorders>
            <w:noWrap w:val="0"/>
            <w:tcMar>
              <w:left w:w="0" w:type="dxa"/>
              <w:right w:w="0" w:type="dxa"/>
            </w:tcMar>
            <w:vAlign w:val="center"/>
          </w:tcPr>
          <w:p>
            <w:pPr>
              <w:pStyle w:val="21"/>
              <w:adjustRightInd w:val="0"/>
              <w:snapToGrid w:val="0"/>
              <w:spacing w:after="0" w:line="240" w:lineRule="auto"/>
              <w:ind w:left="0" w:leftChars="0" w:firstLine="0" w:firstLineChars="0"/>
              <w:jc w:val="center"/>
              <w:rPr>
                <w:rFonts w:cs="Times New Roman"/>
                <w:bCs/>
                <w:color w:val="auto"/>
                <w:sz w:val="21"/>
                <w:szCs w:val="21"/>
                <w:vertAlign w:val="subscript"/>
              </w:rPr>
            </w:pPr>
            <w:r>
              <w:rPr>
                <w:rFonts w:cs="Times New Roman"/>
                <w:bCs/>
                <w:color w:val="auto"/>
                <w:sz w:val="21"/>
                <w:szCs w:val="21"/>
              </w:rPr>
              <w:t>BOD</w:t>
            </w:r>
            <w:r>
              <w:rPr>
                <w:rFonts w:cs="Times New Roman"/>
                <w:bCs/>
                <w:color w:val="auto"/>
                <w:sz w:val="21"/>
                <w:szCs w:val="21"/>
                <w:vertAlign w:val="subscript"/>
              </w:rPr>
              <w:t>5</w:t>
            </w:r>
          </w:p>
        </w:tc>
        <w:tc>
          <w:tcPr>
            <w:tcW w:w="851" w:type="dxa"/>
            <w:tcBorders>
              <w:left w:val="single" w:color="auto" w:sz="6" w:space="0"/>
              <w:bottom w:val="single" w:color="auto" w:sz="2" w:space="0"/>
              <w:right w:val="single" w:color="auto" w:sz="6" w:space="0"/>
            </w:tcBorders>
            <w:noWrap w:val="0"/>
            <w:tcMar>
              <w:left w:w="0" w:type="dxa"/>
              <w:right w:w="0" w:type="dxa"/>
            </w:tcMar>
            <w:vAlign w:val="center"/>
          </w:tcPr>
          <w:p>
            <w:pPr>
              <w:pStyle w:val="21"/>
              <w:adjustRightInd w:val="0"/>
              <w:snapToGrid w:val="0"/>
              <w:spacing w:after="0" w:line="240" w:lineRule="auto"/>
              <w:ind w:left="0" w:leftChars="0" w:firstLine="0" w:firstLineChars="0"/>
              <w:jc w:val="center"/>
              <w:rPr>
                <w:rFonts w:cs="Times New Roman"/>
                <w:bCs/>
                <w:color w:val="auto"/>
                <w:sz w:val="21"/>
                <w:szCs w:val="21"/>
              </w:rPr>
            </w:pPr>
            <w:r>
              <w:rPr>
                <w:rFonts w:cs="Times New Roman"/>
                <w:bCs/>
                <w:color w:val="auto"/>
                <w:sz w:val="21"/>
                <w:szCs w:val="21"/>
              </w:rPr>
              <w:t>石油类</w:t>
            </w:r>
          </w:p>
        </w:tc>
        <w:tc>
          <w:tcPr>
            <w:tcW w:w="850" w:type="dxa"/>
            <w:tcBorders>
              <w:left w:val="single" w:color="auto" w:sz="6" w:space="0"/>
              <w:bottom w:val="single" w:color="auto" w:sz="2" w:space="0"/>
              <w:right w:val="single" w:color="auto" w:sz="6" w:space="0"/>
            </w:tcBorders>
            <w:noWrap w:val="0"/>
            <w:tcMar>
              <w:left w:w="0" w:type="dxa"/>
              <w:right w:w="0" w:type="dxa"/>
            </w:tcMar>
            <w:vAlign w:val="center"/>
          </w:tcPr>
          <w:p>
            <w:pPr>
              <w:pStyle w:val="21"/>
              <w:adjustRightInd w:val="0"/>
              <w:snapToGrid w:val="0"/>
              <w:spacing w:after="0" w:line="240" w:lineRule="auto"/>
              <w:ind w:left="0" w:leftChars="0" w:firstLine="0" w:firstLineChars="0"/>
              <w:jc w:val="center"/>
              <w:rPr>
                <w:rFonts w:cs="Times New Roman"/>
                <w:bCs/>
                <w:color w:val="auto"/>
                <w:sz w:val="21"/>
                <w:szCs w:val="21"/>
              </w:rPr>
            </w:pPr>
            <w:r>
              <w:rPr>
                <w:rFonts w:cs="Times New Roman"/>
                <w:bCs/>
                <w:color w:val="auto"/>
                <w:sz w:val="21"/>
                <w:szCs w:val="21"/>
              </w:rPr>
              <w:t>氨氮</w:t>
            </w:r>
          </w:p>
        </w:tc>
        <w:tc>
          <w:tcPr>
            <w:tcW w:w="1912" w:type="dxa"/>
            <w:tcBorders>
              <w:left w:val="single" w:color="auto" w:sz="6" w:space="0"/>
              <w:bottom w:val="single" w:color="auto" w:sz="2" w:space="0"/>
            </w:tcBorders>
            <w:noWrap w:val="0"/>
            <w:tcMar>
              <w:left w:w="0" w:type="dxa"/>
              <w:right w:w="0" w:type="dxa"/>
            </w:tcMar>
            <w:vAlign w:val="center"/>
          </w:tcPr>
          <w:p>
            <w:pPr>
              <w:pStyle w:val="21"/>
              <w:adjustRightInd w:val="0"/>
              <w:snapToGrid w:val="0"/>
              <w:spacing w:after="0" w:line="240" w:lineRule="auto"/>
              <w:ind w:left="0" w:leftChars="0" w:firstLine="0" w:firstLineChars="0"/>
              <w:jc w:val="center"/>
              <w:rPr>
                <w:rFonts w:cs="Times New Roman"/>
                <w:bCs/>
                <w:color w:val="auto"/>
                <w:sz w:val="21"/>
                <w:szCs w:val="21"/>
              </w:rPr>
            </w:pPr>
            <w:r>
              <w:rPr>
                <w:rFonts w:cs="Times New Roman"/>
                <w:bCs/>
                <w:color w:val="auto"/>
                <w:sz w:val="21"/>
                <w:szCs w:val="21"/>
              </w:rPr>
              <w:t>粪大肠菌群（个/L）</w:t>
            </w:r>
          </w:p>
        </w:tc>
      </w:tr>
      <w:tr>
        <w:tblPrEx>
          <w:tblBorders>
            <w:top w:val="single" w:color="000000" w:sz="12" w:space="0"/>
            <w:left w:val="none" w:color="auto" w:sz="0" w:space="0"/>
            <w:bottom w:val="single" w:color="000000" w:sz="12" w:space="0"/>
            <w:right w:val="none" w:color="auto" w:sz="0" w:space="0"/>
            <w:insideH w:val="single" w:color="000000" w:sz="6" w:space="0"/>
            <w:insideV w:val="none" w:color="auto" w:sz="0" w:space="0"/>
          </w:tblBorders>
          <w:tblLayout w:type="fixed"/>
          <w:tblCellMar>
            <w:top w:w="0" w:type="dxa"/>
            <w:left w:w="108" w:type="dxa"/>
            <w:bottom w:w="0" w:type="dxa"/>
            <w:right w:w="108" w:type="dxa"/>
          </w:tblCellMar>
        </w:tblPrEx>
        <w:trPr>
          <w:trHeight w:val="414" w:hRule="atLeast"/>
          <w:jc w:val="center"/>
        </w:trPr>
        <w:tc>
          <w:tcPr>
            <w:tcW w:w="1256" w:type="dxa"/>
            <w:tcBorders>
              <w:top w:val="single" w:color="auto" w:sz="2" w:space="0"/>
              <w:right w:val="single" w:color="auto" w:sz="6" w:space="0"/>
            </w:tcBorders>
            <w:noWrap w:val="0"/>
            <w:tcMar>
              <w:left w:w="0" w:type="dxa"/>
              <w:right w:w="0" w:type="dxa"/>
            </w:tcMar>
            <w:vAlign w:val="center"/>
          </w:tcPr>
          <w:p>
            <w:pPr>
              <w:pStyle w:val="21"/>
              <w:adjustRightInd w:val="0"/>
              <w:snapToGrid w:val="0"/>
              <w:spacing w:after="0" w:line="240" w:lineRule="auto"/>
              <w:ind w:left="0" w:leftChars="0" w:firstLine="0" w:firstLineChars="0"/>
              <w:jc w:val="center"/>
              <w:rPr>
                <w:rFonts w:cs="Times New Roman"/>
                <w:color w:val="auto"/>
                <w:sz w:val="21"/>
                <w:szCs w:val="21"/>
              </w:rPr>
            </w:pPr>
            <w:r>
              <w:rPr>
                <w:rFonts w:cs="Times New Roman"/>
                <w:color w:val="auto"/>
                <w:sz w:val="21"/>
                <w:szCs w:val="21"/>
              </w:rPr>
              <w:t>评价标准</w:t>
            </w:r>
          </w:p>
        </w:tc>
        <w:tc>
          <w:tcPr>
            <w:tcW w:w="1140" w:type="dxa"/>
            <w:tcBorders>
              <w:top w:val="single" w:color="auto" w:sz="2" w:space="0"/>
              <w:right w:val="single" w:color="auto" w:sz="6" w:space="0"/>
            </w:tcBorders>
            <w:noWrap w:val="0"/>
            <w:tcMar>
              <w:left w:w="0" w:type="dxa"/>
              <w:right w:w="0" w:type="dxa"/>
            </w:tcMar>
            <w:vAlign w:val="center"/>
          </w:tcPr>
          <w:p>
            <w:pPr>
              <w:pStyle w:val="21"/>
              <w:adjustRightInd w:val="0"/>
              <w:snapToGrid w:val="0"/>
              <w:spacing w:after="0" w:line="240" w:lineRule="auto"/>
              <w:ind w:left="0" w:leftChars="0" w:firstLine="0" w:firstLineChars="0"/>
              <w:jc w:val="center"/>
              <w:rPr>
                <w:rFonts w:cs="Times New Roman"/>
                <w:color w:val="auto"/>
                <w:sz w:val="21"/>
                <w:szCs w:val="21"/>
              </w:rPr>
            </w:pPr>
            <w:r>
              <w:rPr>
                <w:rFonts w:cs="Times New Roman"/>
                <w:color w:val="auto"/>
                <w:sz w:val="21"/>
                <w:szCs w:val="21"/>
              </w:rPr>
              <w:t>6～9</w:t>
            </w:r>
          </w:p>
        </w:tc>
        <w:tc>
          <w:tcPr>
            <w:tcW w:w="709" w:type="dxa"/>
            <w:tcBorders>
              <w:top w:val="single" w:color="auto" w:sz="2" w:space="0"/>
              <w:right w:val="single" w:color="auto" w:sz="6" w:space="0"/>
            </w:tcBorders>
            <w:noWrap w:val="0"/>
            <w:tcMar>
              <w:left w:w="0" w:type="dxa"/>
              <w:right w:w="0" w:type="dxa"/>
            </w:tcMar>
            <w:vAlign w:val="center"/>
          </w:tcPr>
          <w:p>
            <w:pPr>
              <w:pStyle w:val="21"/>
              <w:adjustRightInd w:val="0"/>
              <w:snapToGrid w:val="0"/>
              <w:spacing w:after="0" w:line="240" w:lineRule="auto"/>
              <w:ind w:left="0" w:leftChars="0" w:firstLine="0" w:firstLineChars="0"/>
              <w:jc w:val="center"/>
              <w:rPr>
                <w:rFonts w:cs="Times New Roman"/>
                <w:color w:val="auto"/>
                <w:sz w:val="21"/>
                <w:szCs w:val="21"/>
              </w:rPr>
            </w:pPr>
            <w:r>
              <w:rPr>
                <w:rFonts w:cs="Times New Roman"/>
                <w:color w:val="auto"/>
                <w:sz w:val="21"/>
                <w:szCs w:val="21"/>
              </w:rPr>
              <w:t>≥3</w:t>
            </w:r>
          </w:p>
        </w:tc>
        <w:tc>
          <w:tcPr>
            <w:tcW w:w="850" w:type="dxa"/>
            <w:tcBorders>
              <w:top w:val="single" w:color="auto" w:sz="2" w:space="0"/>
              <w:left w:val="single" w:color="auto" w:sz="6" w:space="0"/>
              <w:right w:val="single" w:color="auto" w:sz="6" w:space="0"/>
            </w:tcBorders>
            <w:noWrap w:val="0"/>
            <w:tcMar>
              <w:left w:w="0" w:type="dxa"/>
              <w:right w:w="0" w:type="dxa"/>
            </w:tcMar>
            <w:vAlign w:val="center"/>
          </w:tcPr>
          <w:p>
            <w:pPr>
              <w:pStyle w:val="21"/>
              <w:adjustRightInd w:val="0"/>
              <w:snapToGrid w:val="0"/>
              <w:spacing w:after="0" w:line="240" w:lineRule="auto"/>
              <w:ind w:left="0" w:leftChars="0" w:firstLine="0" w:firstLineChars="0"/>
              <w:jc w:val="center"/>
              <w:rPr>
                <w:rFonts w:cs="Times New Roman"/>
                <w:color w:val="auto"/>
                <w:sz w:val="21"/>
                <w:szCs w:val="21"/>
              </w:rPr>
            </w:pPr>
            <w:r>
              <w:rPr>
                <w:rFonts w:cs="Times New Roman"/>
                <w:color w:val="auto"/>
                <w:sz w:val="21"/>
                <w:szCs w:val="21"/>
              </w:rPr>
              <w:t>≤30</w:t>
            </w:r>
          </w:p>
        </w:tc>
        <w:tc>
          <w:tcPr>
            <w:tcW w:w="709" w:type="dxa"/>
            <w:tcBorders>
              <w:top w:val="single" w:color="auto" w:sz="2" w:space="0"/>
              <w:left w:val="single" w:color="auto" w:sz="6" w:space="0"/>
              <w:right w:val="single" w:color="auto" w:sz="6" w:space="0"/>
            </w:tcBorders>
            <w:noWrap w:val="0"/>
            <w:tcMar>
              <w:left w:w="0" w:type="dxa"/>
              <w:right w:w="0" w:type="dxa"/>
            </w:tcMar>
            <w:vAlign w:val="center"/>
          </w:tcPr>
          <w:p>
            <w:pPr>
              <w:pStyle w:val="21"/>
              <w:adjustRightInd w:val="0"/>
              <w:snapToGrid w:val="0"/>
              <w:spacing w:after="0" w:line="240" w:lineRule="auto"/>
              <w:ind w:left="0" w:leftChars="0" w:firstLine="0" w:firstLineChars="0"/>
              <w:jc w:val="center"/>
              <w:rPr>
                <w:rFonts w:cs="Times New Roman"/>
                <w:color w:val="auto"/>
                <w:sz w:val="21"/>
                <w:szCs w:val="21"/>
              </w:rPr>
            </w:pPr>
            <w:r>
              <w:rPr>
                <w:rFonts w:cs="Times New Roman"/>
                <w:color w:val="auto"/>
                <w:sz w:val="21"/>
                <w:szCs w:val="21"/>
              </w:rPr>
              <w:t>≤6</w:t>
            </w:r>
          </w:p>
        </w:tc>
        <w:tc>
          <w:tcPr>
            <w:tcW w:w="851" w:type="dxa"/>
            <w:tcBorders>
              <w:top w:val="single" w:color="auto" w:sz="2" w:space="0"/>
              <w:left w:val="single" w:color="auto" w:sz="6" w:space="0"/>
              <w:right w:val="single" w:color="auto" w:sz="6" w:space="0"/>
            </w:tcBorders>
            <w:noWrap w:val="0"/>
            <w:tcMar>
              <w:left w:w="0" w:type="dxa"/>
              <w:right w:w="0" w:type="dxa"/>
            </w:tcMar>
            <w:vAlign w:val="center"/>
          </w:tcPr>
          <w:p>
            <w:pPr>
              <w:pStyle w:val="21"/>
              <w:adjustRightInd w:val="0"/>
              <w:snapToGrid w:val="0"/>
              <w:spacing w:after="0" w:line="240" w:lineRule="auto"/>
              <w:ind w:left="0" w:leftChars="0" w:firstLine="0" w:firstLineChars="0"/>
              <w:jc w:val="center"/>
              <w:rPr>
                <w:rFonts w:cs="Times New Roman"/>
                <w:color w:val="auto"/>
                <w:sz w:val="21"/>
                <w:szCs w:val="21"/>
              </w:rPr>
            </w:pPr>
            <w:r>
              <w:rPr>
                <w:rFonts w:cs="Times New Roman"/>
                <w:color w:val="auto"/>
                <w:sz w:val="21"/>
                <w:szCs w:val="21"/>
              </w:rPr>
              <w:t>≤0.5</w:t>
            </w:r>
          </w:p>
        </w:tc>
        <w:tc>
          <w:tcPr>
            <w:tcW w:w="850" w:type="dxa"/>
            <w:tcBorders>
              <w:top w:val="single" w:color="auto" w:sz="2" w:space="0"/>
              <w:left w:val="single" w:color="auto" w:sz="6" w:space="0"/>
              <w:right w:val="single" w:color="auto" w:sz="6" w:space="0"/>
            </w:tcBorders>
            <w:noWrap w:val="0"/>
            <w:tcMar>
              <w:left w:w="0" w:type="dxa"/>
              <w:right w:w="0" w:type="dxa"/>
            </w:tcMar>
            <w:vAlign w:val="center"/>
          </w:tcPr>
          <w:p>
            <w:pPr>
              <w:pStyle w:val="21"/>
              <w:adjustRightInd w:val="0"/>
              <w:snapToGrid w:val="0"/>
              <w:spacing w:after="0" w:line="240" w:lineRule="auto"/>
              <w:ind w:left="0" w:leftChars="0" w:firstLine="0" w:firstLineChars="0"/>
              <w:jc w:val="center"/>
              <w:rPr>
                <w:rFonts w:cs="Times New Roman"/>
                <w:color w:val="auto"/>
                <w:sz w:val="21"/>
                <w:szCs w:val="21"/>
              </w:rPr>
            </w:pPr>
            <w:r>
              <w:rPr>
                <w:rFonts w:cs="Times New Roman"/>
                <w:color w:val="auto"/>
                <w:sz w:val="21"/>
                <w:szCs w:val="21"/>
              </w:rPr>
              <w:t>≤1.5</w:t>
            </w:r>
          </w:p>
        </w:tc>
        <w:tc>
          <w:tcPr>
            <w:tcW w:w="1912" w:type="dxa"/>
            <w:tcBorders>
              <w:top w:val="single" w:color="auto" w:sz="2" w:space="0"/>
              <w:left w:val="single" w:color="auto" w:sz="6" w:space="0"/>
            </w:tcBorders>
            <w:noWrap w:val="0"/>
            <w:tcMar>
              <w:left w:w="0" w:type="dxa"/>
              <w:right w:w="0" w:type="dxa"/>
            </w:tcMar>
            <w:vAlign w:val="center"/>
          </w:tcPr>
          <w:p>
            <w:pPr>
              <w:pStyle w:val="21"/>
              <w:adjustRightInd w:val="0"/>
              <w:snapToGrid w:val="0"/>
              <w:spacing w:after="0" w:line="240" w:lineRule="auto"/>
              <w:ind w:left="0" w:leftChars="0" w:firstLine="0" w:firstLineChars="0"/>
              <w:jc w:val="center"/>
              <w:rPr>
                <w:rFonts w:cs="Times New Roman"/>
                <w:color w:val="auto"/>
                <w:sz w:val="21"/>
                <w:szCs w:val="21"/>
              </w:rPr>
            </w:pPr>
            <w:r>
              <w:rPr>
                <w:rFonts w:cs="Times New Roman"/>
                <w:color w:val="auto"/>
                <w:sz w:val="21"/>
                <w:szCs w:val="21"/>
              </w:rPr>
              <w:t>≤20000</w:t>
            </w:r>
          </w:p>
        </w:tc>
      </w:tr>
    </w:tbl>
    <w:p>
      <w:pPr>
        <w:wordWrap w:val="0"/>
        <w:adjustRightInd w:val="0"/>
        <w:snapToGrid w:val="0"/>
        <w:spacing w:before="156" w:beforeLines="50" w:line="360" w:lineRule="auto"/>
        <w:ind w:firstLine="480"/>
        <w:jc w:val="left"/>
        <w:rPr>
          <w:rFonts w:cs="Times New Roman"/>
          <w:color w:val="auto"/>
        </w:rPr>
      </w:pPr>
      <w:r>
        <w:rPr>
          <w:rFonts w:cs="Times New Roman"/>
          <w:color w:val="auto"/>
        </w:rPr>
        <w:t>（</w:t>
      </w:r>
      <w:r>
        <w:rPr>
          <w:rFonts w:hint="eastAsia" w:cs="Times New Roman"/>
          <w:color w:val="auto"/>
        </w:rPr>
        <w:t>4</w:t>
      </w:r>
      <w:r>
        <w:rPr>
          <w:rFonts w:cs="Times New Roman"/>
          <w:color w:val="auto"/>
        </w:rPr>
        <w:t>）评价方法</w:t>
      </w:r>
    </w:p>
    <w:p>
      <w:pPr>
        <w:spacing w:line="360" w:lineRule="auto"/>
        <w:ind w:firstLine="480"/>
        <w:rPr>
          <w:rFonts w:cs="Times New Roman"/>
          <w:color w:val="auto"/>
        </w:rPr>
      </w:pPr>
      <w:r>
        <w:rPr>
          <w:rFonts w:cs="Times New Roman"/>
          <w:color w:val="auto"/>
        </w:rPr>
        <w:t>为了能直观反映水质现状，科学的评判水体中污染物是否超标，评价采用单项水质因子评价方法，即：S</w:t>
      </w:r>
      <w:r>
        <w:rPr>
          <w:rFonts w:cs="Times New Roman"/>
          <w:color w:val="auto"/>
          <w:vertAlign w:val="subscript"/>
        </w:rPr>
        <w:t>i,j</w:t>
      </w:r>
      <w:r>
        <w:rPr>
          <w:rFonts w:cs="Times New Roman"/>
          <w:color w:val="auto"/>
        </w:rPr>
        <w:t>＝</w:t>
      </w:r>
      <w:r>
        <w:rPr>
          <w:rFonts w:cs="Times New Roman"/>
          <w:color w:val="auto"/>
          <w:position w:val="-18"/>
        </w:rPr>
        <w:object>
          <v:shape id="_x0000_i1034" o:spt="75" type="#_x0000_t75" style="height:24.75pt;width:21.75pt;" o:ole="t" filled="f" o:preferrelative="t" stroked="f" coordsize="21600,21600">
            <v:path/>
            <v:fill on="f" focussize="0,0"/>
            <v:stroke on="f"/>
            <v:imagedata r:id="rId36" o:title=""/>
            <o:lock v:ext="edit" aspectratio="t"/>
            <w10:wrap type="none"/>
            <w10:anchorlock/>
          </v:shape>
          <o:OLEObject Type="Embed" ProgID="Equation.3" ShapeID="_x0000_i1034" DrawAspect="Content" ObjectID="_1468075734" r:id="rId35">
            <o:LockedField>false</o:LockedField>
          </o:OLEObject>
        </w:object>
      </w:r>
    </w:p>
    <w:p>
      <w:pPr>
        <w:pStyle w:val="2"/>
        <w:spacing w:line="360" w:lineRule="auto"/>
        <w:ind w:firstLine="480"/>
        <w:rPr>
          <w:color w:val="auto"/>
          <w:sz w:val="24"/>
          <w:szCs w:val="24"/>
        </w:rPr>
      </w:pPr>
      <w:r>
        <w:rPr>
          <w:color w:val="auto"/>
          <w:sz w:val="24"/>
          <w:szCs w:val="24"/>
        </w:rPr>
        <w:t>式中：S</w:t>
      </w:r>
      <w:r>
        <w:rPr>
          <w:color w:val="auto"/>
          <w:sz w:val="24"/>
          <w:szCs w:val="24"/>
          <w:vertAlign w:val="subscript"/>
        </w:rPr>
        <w:t>i,j</w:t>
      </w:r>
      <w:r>
        <w:rPr>
          <w:color w:val="auto"/>
          <w:sz w:val="24"/>
          <w:szCs w:val="24"/>
        </w:rPr>
        <w:t>－标准指数；</w:t>
      </w:r>
    </w:p>
    <w:p>
      <w:pPr>
        <w:pStyle w:val="2"/>
        <w:spacing w:line="360" w:lineRule="auto"/>
        <w:ind w:firstLine="480"/>
        <w:rPr>
          <w:color w:val="auto"/>
          <w:sz w:val="24"/>
          <w:szCs w:val="24"/>
        </w:rPr>
      </w:pPr>
      <w:r>
        <w:rPr>
          <w:color w:val="auto"/>
          <w:sz w:val="24"/>
          <w:szCs w:val="24"/>
        </w:rPr>
        <w:t xml:space="preserve">              C</w:t>
      </w:r>
      <w:r>
        <w:rPr>
          <w:color w:val="auto"/>
          <w:sz w:val="24"/>
          <w:szCs w:val="24"/>
          <w:vertAlign w:val="subscript"/>
        </w:rPr>
        <w:t>ij</w:t>
      </w:r>
      <w:r>
        <w:rPr>
          <w:color w:val="auto"/>
          <w:sz w:val="24"/>
          <w:szCs w:val="24"/>
        </w:rPr>
        <w:t>－评价因子i在ｊ点的实测浓度值，mg/L；</w:t>
      </w:r>
    </w:p>
    <w:p>
      <w:pPr>
        <w:pStyle w:val="2"/>
        <w:spacing w:line="360" w:lineRule="auto"/>
        <w:ind w:firstLine="480"/>
        <w:rPr>
          <w:color w:val="auto"/>
          <w:sz w:val="24"/>
          <w:szCs w:val="24"/>
        </w:rPr>
      </w:pPr>
      <w:r>
        <w:rPr>
          <w:color w:val="auto"/>
          <w:sz w:val="24"/>
          <w:szCs w:val="24"/>
        </w:rPr>
        <w:t xml:space="preserve">              C</w:t>
      </w:r>
      <w:r>
        <w:rPr>
          <w:color w:val="auto"/>
          <w:sz w:val="24"/>
          <w:szCs w:val="24"/>
          <w:vertAlign w:val="subscript"/>
        </w:rPr>
        <w:t>si</w:t>
      </w:r>
      <w:r>
        <w:rPr>
          <w:color w:val="auto"/>
          <w:sz w:val="24"/>
          <w:szCs w:val="24"/>
        </w:rPr>
        <w:t>－评价因子i的评价标准限值，mg/L。</w:t>
      </w:r>
    </w:p>
    <w:p>
      <w:pPr>
        <w:spacing w:line="360" w:lineRule="auto"/>
        <w:ind w:firstLine="480"/>
        <w:rPr>
          <w:rFonts w:cs="Times New Roman"/>
          <w:color w:val="auto"/>
        </w:rPr>
      </w:pPr>
      <w:r>
        <w:rPr>
          <w:rFonts w:cs="Times New Roman"/>
          <w:color w:val="auto"/>
        </w:rPr>
        <w:t>pH的标准指数计算模式为：</w:t>
      </w:r>
    </w:p>
    <w:p>
      <w:pPr>
        <w:spacing w:line="360" w:lineRule="auto"/>
        <w:ind w:firstLine="480"/>
        <w:jc w:val="center"/>
        <w:rPr>
          <w:rFonts w:cs="Times New Roman"/>
          <w:color w:val="auto"/>
        </w:rPr>
      </w:pPr>
      <w:r>
        <w:rPr>
          <w:rFonts w:cs="Times New Roman"/>
          <w:color w:val="auto"/>
        </w:rPr>
        <w:t>S</w:t>
      </w:r>
      <w:r>
        <w:rPr>
          <w:rFonts w:cs="Times New Roman"/>
          <w:color w:val="auto"/>
          <w:vertAlign w:val="subscript"/>
        </w:rPr>
        <w:t>PH，ｊ</w:t>
      </w:r>
      <w:r>
        <w:rPr>
          <w:rFonts w:cs="Times New Roman"/>
          <w:color w:val="auto"/>
        </w:rPr>
        <w:t>＝（pH</w:t>
      </w:r>
      <w:r>
        <w:rPr>
          <w:rFonts w:cs="Times New Roman"/>
          <w:color w:val="auto"/>
          <w:vertAlign w:val="subscript"/>
        </w:rPr>
        <w:t>ｊ</w:t>
      </w:r>
      <w:r>
        <w:rPr>
          <w:rFonts w:cs="Times New Roman"/>
          <w:color w:val="auto"/>
        </w:rPr>
        <w:t>－7.0）/（pH</w:t>
      </w:r>
      <w:r>
        <w:rPr>
          <w:rFonts w:cs="Times New Roman"/>
          <w:color w:val="auto"/>
          <w:vertAlign w:val="subscript"/>
        </w:rPr>
        <w:t>ｓｕ</w:t>
      </w:r>
      <w:r>
        <w:rPr>
          <w:rFonts w:cs="Times New Roman"/>
          <w:color w:val="auto"/>
        </w:rPr>
        <w:t>-7.0）当pH&gt;7.0时</w:t>
      </w:r>
    </w:p>
    <w:p>
      <w:pPr>
        <w:spacing w:line="360" w:lineRule="auto"/>
        <w:ind w:firstLine="480"/>
        <w:jc w:val="center"/>
        <w:rPr>
          <w:rFonts w:cs="Times New Roman"/>
          <w:color w:val="auto"/>
        </w:rPr>
      </w:pPr>
      <w:r>
        <w:rPr>
          <w:rFonts w:cs="Times New Roman"/>
          <w:color w:val="auto"/>
        </w:rPr>
        <w:t>S</w:t>
      </w:r>
      <w:r>
        <w:rPr>
          <w:rFonts w:cs="Times New Roman"/>
          <w:color w:val="auto"/>
          <w:vertAlign w:val="subscript"/>
        </w:rPr>
        <w:t>PH，ｊ</w:t>
      </w:r>
      <w:r>
        <w:rPr>
          <w:rFonts w:cs="Times New Roman"/>
          <w:color w:val="auto"/>
        </w:rPr>
        <w:t>＝（7.0－pH</w:t>
      </w:r>
      <w:r>
        <w:rPr>
          <w:rFonts w:cs="Times New Roman"/>
          <w:color w:val="auto"/>
          <w:vertAlign w:val="subscript"/>
        </w:rPr>
        <w:t>ｊ</w:t>
      </w:r>
      <w:r>
        <w:rPr>
          <w:rFonts w:cs="Times New Roman"/>
          <w:color w:val="auto"/>
        </w:rPr>
        <w:t>）/（7.0- pH</w:t>
      </w:r>
      <w:r>
        <w:rPr>
          <w:rFonts w:cs="Times New Roman"/>
          <w:color w:val="auto"/>
          <w:vertAlign w:val="subscript"/>
        </w:rPr>
        <w:t>ｓｄ</w:t>
      </w:r>
      <w:r>
        <w:rPr>
          <w:rFonts w:cs="Times New Roman"/>
          <w:color w:val="auto"/>
        </w:rPr>
        <w:t>）当pH≤7.0时</w:t>
      </w:r>
    </w:p>
    <w:p>
      <w:pPr>
        <w:spacing w:line="360" w:lineRule="auto"/>
        <w:ind w:firstLine="480"/>
        <w:rPr>
          <w:rFonts w:cs="Times New Roman"/>
          <w:color w:val="auto"/>
        </w:rPr>
      </w:pPr>
      <w:r>
        <w:rPr>
          <w:rFonts w:cs="Times New Roman"/>
          <w:color w:val="auto"/>
        </w:rPr>
        <w:t>式中： S</w:t>
      </w:r>
      <w:r>
        <w:rPr>
          <w:rFonts w:cs="Times New Roman"/>
          <w:color w:val="auto"/>
          <w:vertAlign w:val="subscript"/>
        </w:rPr>
        <w:t>PH，ｊ</w:t>
      </w:r>
      <w:r>
        <w:rPr>
          <w:rFonts w:cs="Times New Roman"/>
          <w:color w:val="auto"/>
        </w:rPr>
        <w:t>—PH值的标准指数；</w:t>
      </w:r>
    </w:p>
    <w:p>
      <w:pPr>
        <w:spacing w:line="360" w:lineRule="auto"/>
        <w:ind w:firstLine="480"/>
        <w:rPr>
          <w:rFonts w:cs="Times New Roman"/>
          <w:color w:val="auto"/>
        </w:rPr>
      </w:pPr>
      <w:r>
        <w:rPr>
          <w:rFonts w:cs="Times New Roman"/>
          <w:color w:val="auto"/>
        </w:rPr>
        <w:t xml:space="preserve">         pH</w:t>
      </w:r>
      <w:r>
        <w:rPr>
          <w:rFonts w:cs="Times New Roman"/>
          <w:color w:val="auto"/>
          <w:vertAlign w:val="subscript"/>
        </w:rPr>
        <w:t>ｊ</w:t>
      </w:r>
      <w:r>
        <w:rPr>
          <w:rFonts w:cs="Times New Roman"/>
          <w:color w:val="auto"/>
        </w:rPr>
        <w:t>—pH值的实测值；</w:t>
      </w:r>
    </w:p>
    <w:p>
      <w:pPr>
        <w:spacing w:line="360" w:lineRule="auto"/>
        <w:ind w:firstLine="480"/>
        <w:rPr>
          <w:rFonts w:cs="Times New Roman"/>
          <w:color w:val="auto"/>
        </w:rPr>
      </w:pPr>
      <w:r>
        <w:rPr>
          <w:rFonts w:cs="Times New Roman"/>
          <w:i/>
          <w:iCs/>
          <w:color w:val="auto"/>
        </w:rPr>
        <w:t>pH</w:t>
      </w:r>
      <w:r>
        <w:rPr>
          <w:rFonts w:cs="Times New Roman"/>
          <w:i/>
          <w:iCs/>
          <w:color w:val="auto"/>
          <w:vertAlign w:val="subscript"/>
        </w:rPr>
        <w:t>sd</w:t>
      </w:r>
      <w:r>
        <w:rPr>
          <w:rFonts w:cs="Times New Roman"/>
          <w:color w:val="auto"/>
        </w:rPr>
        <w:t>--pH值标准规定的下限值；</w:t>
      </w:r>
    </w:p>
    <w:p>
      <w:pPr>
        <w:spacing w:line="360" w:lineRule="auto"/>
        <w:ind w:firstLine="480"/>
        <w:rPr>
          <w:rFonts w:cs="Times New Roman"/>
          <w:color w:val="auto"/>
        </w:rPr>
      </w:pPr>
      <w:r>
        <w:rPr>
          <w:rFonts w:cs="Times New Roman"/>
          <w:i/>
          <w:iCs/>
          <w:color w:val="auto"/>
        </w:rPr>
        <w:t>pH</w:t>
      </w:r>
      <w:r>
        <w:rPr>
          <w:rFonts w:cs="Times New Roman"/>
          <w:i/>
          <w:iCs/>
          <w:color w:val="auto"/>
          <w:vertAlign w:val="subscript"/>
        </w:rPr>
        <w:t>su</w:t>
      </w:r>
      <w:r>
        <w:rPr>
          <w:rFonts w:cs="Times New Roman"/>
          <w:color w:val="auto"/>
        </w:rPr>
        <w:t>--pH值标准规定的上限值。</w:t>
      </w:r>
    </w:p>
    <w:p>
      <w:pPr>
        <w:pStyle w:val="2"/>
        <w:spacing w:line="360" w:lineRule="auto"/>
        <w:ind w:firstLine="480"/>
        <w:rPr>
          <w:color w:val="auto"/>
          <w:sz w:val="24"/>
        </w:rPr>
      </w:pPr>
      <w:r>
        <w:rPr>
          <w:color w:val="auto"/>
          <w:sz w:val="24"/>
        </w:rPr>
        <w:t>DO的标准指数计算按照下式进行：</w:t>
      </w:r>
    </w:p>
    <w:p>
      <w:pPr>
        <w:pStyle w:val="2"/>
        <w:spacing w:line="360" w:lineRule="auto"/>
        <w:ind w:firstLine="1320" w:firstLineChars="550"/>
        <w:rPr>
          <w:color w:val="auto"/>
          <w:sz w:val="24"/>
          <w:szCs w:val="24"/>
        </w:rPr>
      </w:pPr>
      <w:r>
        <w:rPr>
          <w:color w:val="auto"/>
          <w:sz w:val="24"/>
          <w:szCs w:val="24"/>
        </w:rPr>
        <w:t>S</w:t>
      </w:r>
      <w:r>
        <w:rPr>
          <w:color w:val="auto"/>
          <w:sz w:val="24"/>
          <w:szCs w:val="24"/>
          <w:vertAlign w:val="subscript"/>
        </w:rPr>
        <w:t>DO，j</w:t>
      </w:r>
      <w:r>
        <w:rPr>
          <w:color w:val="auto"/>
          <w:sz w:val="24"/>
          <w:szCs w:val="24"/>
        </w:rPr>
        <w:t>＝︱DO</w:t>
      </w:r>
      <w:r>
        <w:rPr>
          <w:color w:val="auto"/>
          <w:sz w:val="24"/>
          <w:szCs w:val="24"/>
          <w:vertAlign w:val="subscript"/>
        </w:rPr>
        <w:t>f</w:t>
      </w:r>
      <w:r>
        <w:rPr>
          <w:color w:val="auto"/>
          <w:sz w:val="24"/>
          <w:szCs w:val="24"/>
        </w:rPr>
        <w:t>－DO</w:t>
      </w:r>
      <w:r>
        <w:rPr>
          <w:color w:val="auto"/>
          <w:sz w:val="24"/>
          <w:szCs w:val="24"/>
          <w:vertAlign w:val="subscript"/>
        </w:rPr>
        <w:t>j</w:t>
      </w:r>
      <w:r>
        <w:rPr>
          <w:color w:val="auto"/>
          <w:sz w:val="24"/>
          <w:szCs w:val="24"/>
        </w:rPr>
        <w:t>︱/ DO</w:t>
      </w:r>
      <w:r>
        <w:rPr>
          <w:color w:val="auto"/>
          <w:sz w:val="24"/>
          <w:szCs w:val="24"/>
          <w:vertAlign w:val="subscript"/>
        </w:rPr>
        <w:t>f</w:t>
      </w:r>
      <w:r>
        <w:rPr>
          <w:color w:val="auto"/>
          <w:sz w:val="24"/>
          <w:szCs w:val="24"/>
        </w:rPr>
        <w:t>－DO</w:t>
      </w:r>
      <w:r>
        <w:rPr>
          <w:color w:val="auto"/>
          <w:sz w:val="24"/>
          <w:szCs w:val="24"/>
          <w:vertAlign w:val="subscript"/>
        </w:rPr>
        <w:t>S</w:t>
      </w:r>
      <w:r>
        <w:rPr>
          <w:color w:val="auto"/>
          <w:sz w:val="24"/>
          <w:szCs w:val="24"/>
        </w:rPr>
        <w:t>当DO</w:t>
      </w:r>
      <w:r>
        <w:rPr>
          <w:color w:val="auto"/>
          <w:sz w:val="24"/>
          <w:szCs w:val="24"/>
          <w:vertAlign w:val="subscript"/>
        </w:rPr>
        <w:t>j</w:t>
      </w:r>
      <w:r>
        <w:rPr>
          <w:color w:val="auto"/>
          <w:sz w:val="24"/>
          <w:szCs w:val="24"/>
        </w:rPr>
        <w:t>≥DO</w:t>
      </w:r>
      <w:r>
        <w:rPr>
          <w:color w:val="auto"/>
          <w:sz w:val="24"/>
          <w:szCs w:val="24"/>
          <w:vertAlign w:val="subscript"/>
        </w:rPr>
        <w:t>S</w:t>
      </w:r>
      <w:r>
        <w:rPr>
          <w:color w:val="auto"/>
          <w:sz w:val="24"/>
          <w:szCs w:val="24"/>
        </w:rPr>
        <w:t>时</w:t>
      </w:r>
    </w:p>
    <w:p>
      <w:pPr>
        <w:pStyle w:val="2"/>
        <w:spacing w:line="360" w:lineRule="auto"/>
        <w:ind w:firstLine="1320" w:firstLineChars="550"/>
        <w:rPr>
          <w:color w:val="auto"/>
          <w:sz w:val="24"/>
          <w:szCs w:val="24"/>
        </w:rPr>
      </w:pPr>
      <w:r>
        <w:rPr>
          <w:color w:val="auto"/>
          <w:sz w:val="24"/>
          <w:szCs w:val="24"/>
        </w:rPr>
        <w:t>S</w:t>
      </w:r>
      <w:r>
        <w:rPr>
          <w:color w:val="auto"/>
          <w:sz w:val="24"/>
          <w:szCs w:val="24"/>
          <w:vertAlign w:val="subscript"/>
        </w:rPr>
        <w:t xml:space="preserve">DO，j </w:t>
      </w:r>
      <w:r>
        <w:rPr>
          <w:color w:val="auto"/>
          <w:sz w:val="24"/>
          <w:szCs w:val="24"/>
        </w:rPr>
        <w:t>＝ 10－9 DO</w:t>
      </w:r>
      <w:r>
        <w:rPr>
          <w:color w:val="auto"/>
          <w:sz w:val="24"/>
          <w:szCs w:val="24"/>
          <w:vertAlign w:val="subscript"/>
        </w:rPr>
        <w:t>j</w:t>
      </w:r>
      <w:r>
        <w:rPr>
          <w:color w:val="auto"/>
          <w:sz w:val="24"/>
          <w:szCs w:val="24"/>
        </w:rPr>
        <w:t xml:space="preserve"> / DO</w:t>
      </w:r>
      <w:r>
        <w:rPr>
          <w:color w:val="auto"/>
          <w:sz w:val="24"/>
          <w:szCs w:val="24"/>
          <w:vertAlign w:val="subscript"/>
        </w:rPr>
        <w:t>S</w:t>
      </w:r>
      <w:r>
        <w:rPr>
          <w:color w:val="auto"/>
          <w:sz w:val="24"/>
          <w:szCs w:val="24"/>
        </w:rPr>
        <w:t>当DO</w:t>
      </w:r>
      <w:r>
        <w:rPr>
          <w:color w:val="auto"/>
          <w:sz w:val="24"/>
          <w:szCs w:val="24"/>
          <w:vertAlign w:val="subscript"/>
        </w:rPr>
        <w:t>j</w:t>
      </w:r>
      <w:r>
        <w:rPr>
          <w:color w:val="auto"/>
          <w:sz w:val="24"/>
          <w:szCs w:val="24"/>
        </w:rPr>
        <w:t>＜DO</w:t>
      </w:r>
      <w:r>
        <w:rPr>
          <w:color w:val="auto"/>
          <w:sz w:val="24"/>
          <w:szCs w:val="24"/>
          <w:vertAlign w:val="subscript"/>
        </w:rPr>
        <w:t>S</w:t>
      </w:r>
      <w:r>
        <w:rPr>
          <w:color w:val="auto"/>
          <w:sz w:val="24"/>
          <w:szCs w:val="24"/>
        </w:rPr>
        <w:t>时</w:t>
      </w:r>
    </w:p>
    <w:p>
      <w:pPr>
        <w:pStyle w:val="2"/>
        <w:spacing w:line="360" w:lineRule="auto"/>
        <w:ind w:firstLine="480"/>
        <w:rPr>
          <w:color w:val="auto"/>
          <w:sz w:val="24"/>
        </w:rPr>
      </w:pPr>
      <w:r>
        <w:rPr>
          <w:color w:val="auto"/>
          <w:sz w:val="24"/>
        </w:rPr>
        <w:t>式中：S</w:t>
      </w:r>
      <w:r>
        <w:rPr>
          <w:color w:val="auto"/>
          <w:sz w:val="24"/>
          <w:vertAlign w:val="subscript"/>
        </w:rPr>
        <w:t>DO，j</w:t>
      </w:r>
      <w:r>
        <w:rPr>
          <w:color w:val="auto"/>
          <w:sz w:val="24"/>
        </w:rPr>
        <w:t>—DO的标准指数；</w:t>
      </w:r>
    </w:p>
    <w:p>
      <w:pPr>
        <w:pStyle w:val="2"/>
        <w:spacing w:line="360" w:lineRule="auto"/>
        <w:ind w:firstLine="720" w:firstLineChars="300"/>
        <w:rPr>
          <w:color w:val="auto"/>
          <w:sz w:val="24"/>
          <w:szCs w:val="24"/>
        </w:rPr>
      </w:pPr>
      <w:r>
        <w:rPr>
          <w:color w:val="auto"/>
          <w:sz w:val="24"/>
        </w:rPr>
        <w:t>DO</w:t>
      </w:r>
      <w:r>
        <w:rPr>
          <w:color w:val="auto"/>
          <w:sz w:val="24"/>
          <w:vertAlign w:val="subscript"/>
        </w:rPr>
        <w:t>f</w:t>
      </w:r>
      <w:r>
        <w:rPr>
          <w:color w:val="auto"/>
          <w:sz w:val="24"/>
        </w:rPr>
        <w:t>—某水温、气压条件下的饱和溶解氧浓度（</w:t>
      </w:r>
      <w:r>
        <w:rPr>
          <w:color w:val="auto"/>
          <w:sz w:val="24"/>
          <w:szCs w:val="24"/>
        </w:rPr>
        <w:t>mg/L），计算公式常采用：</w:t>
      </w:r>
    </w:p>
    <w:p>
      <w:pPr>
        <w:pStyle w:val="2"/>
        <w:spacing w:line="360" w:lineRule="auto"/>
        <w:ind w:firstLine="1200" w:firstLineChars="500"/>
        <w:rPr>
          <w:color w:val="auto"/>
          <w:sz w:val="24"/>
        </w:rPr>
      </w:pPr>
      <w:r>
        <w:rPr>
          <w:color w:val="auto"/>
          <w:sz w:val="24"/>
        </w:rPr>
        <w:t>DO</w:t>
      </w:r>
      <w:r>
        <w:rPr>
          <w:color w:val="auto"/>
          <w:sz w:val="24"/>
          <w:vertAlign w:val="subscript"/>
        </w:rPr>
        <w:t>f</w:t>
      </w:r>
      <w:r>
        <w:rPr>
          <w:color w:val="auto"/>
          <w:sz w:val="24"/>
        </w:rPr>
        <w:t>＝468/（31.8+T），T为水温，</w:t>
      </w:r>
      <w:r>
        <w:rPr>
          <w:rFonts w:hint="eastAsia" w:ascii="宋体" w:hAnsi="宋体" w:cs="宋体"/>
          <w:color w:val="auto"/>
          <w:sz w:val="24"/>
        </w:rPr>
        <w:t>℃</w:t>
      </w:r>
      <w:r>
        <w:rPr>
          <w:color w:val="auto"/>
          <w:sz w:val="24"/>
        </w:rPr>
        <w:t>；</w:t>
      </w:r>
    </w:p>
    <w:p>
      <w:pPr>
        <w:pStyle w:val="2"/>
        <w:spacing w:line="360" w:lineRule="auto"/>
        <w:ind w:firstLine="1200" w:firstLineChars="500"/>
        <w:rPr>
          <w:color w:val="auto"/>
          <w:sz w:val="24"/>
        </w:rPr>
      </w:pPr>
      <w:r>
        <w:rPr>
          <w:color w:val="auto"/>
          <w:sz w:val="24"/>
        </w:rPr>
        <w:t>DO</w:t>
      </w:r>
      <w:r>
        <w:rPr>
          <w:color w:val="auto"/>
          <w:sz w:val="24"/>
          <w:vertAlign w:val="subscript"/>
        </w:rPr>
        <w:t>j</w:t>
      </w:r>
      <w:r>
        <w:rPr>
          <w:color w:val="auto"/>
          <w:sz w:val="24"/>
        </w:rPr>
        <w:t>--为河流各断面的溶解氧浓度，</w:t>
      </w:r>
      <w:r>
        <w:rPr>
          <w:color w:val="auto"/>
          <w:sz w:val="24"/>
          <w:szCs w:val="24"/>
        </w:rPr>
        <w:t>mg/L</w:t>
      </w:r>
      <w:r>
        <w:rPr>
          <w:color w:val="auto"/>
          <w:sz w:val="24"/>
        </w:rPr>
        <w:t>；</w:t>
      </w:r>
    </w:p>
    <w:p>
      <w:pPr>
        <w:pStyle w:val="2"/>
        <w:spacing w:line="360" w:lineRule="auto"/>
        <w:ind w:firstLine="1200" w:firstLineChars="500"/>
        <w:rPr>
          <w:color w:val="auto"/>
          <w:sz w:val="24"/>
        </w:rPr>
      </w:pPr>
      <w:r>
        <w:rPr>
          <w:color w:val="auto"/>
          <w:sz w:val="24"/>
        </w:rPr>
        <w:t>DO</w:t>
      </w:r>
      <w:r>
        <w:rPr>
          <w:color w:val="auto"/>
          <w:sz w:val="24"/>
          <w:vertAlign w:val="subscript"/>
        </w:rPr>
        <w:t>S</w:t>
      </w:r>
      <w:r>
        <w:rPr>
          <w:color w:val="auto"/>
          <w:sz w:val="24"/>
        </w:rPr>
        <w:t>--为溶解氧的地面水水质标准，</w:t>
      </w:r>
      <w:r>
        <w:rPr>
          <w:color w:val="auto"/>
          <w:sz w:val="24"/>
          <w:szCs w:val="24"/>
        </w:rPr>
        <w:t>mg/L</w:t>
      </w:r>
      <w:r>
        <w:rPr>
          <w:color w:val="auto"/>
          <w:sz w:val="24"/>
        </w:rPr>
        <w:t>。</w:t>
      </w:r>
    </w:p>
    <w:p>
      <w:pPr>
        <w:pStyle w:val="2"/>
        <w:spacing w:line="360" w:lineRule="auto"/>
        <w:ind w:firstLine="480"/>
        <w:jc w:val="left"/>
        <w:rPr>
          <w:color w:val="auto"/>
          <w:sz w:val="24"/>
        </w:rPr>
      </w:pPr>
      <w:r>
        <w:rPr>
          <w:color w:val="auto"/>
          <w:sz w:val="24"/>
        </w:rPr>
        <w:t>如果水质参数的标准指数＞1，表明该水质参数超过了规定的水质标准，已经不能满足要求。</w:t>
      </w:r>
    </w:p>
    <w:p>
      <w:pPr>
        <w:pStyle w:val="2"/>
        <w:spacing w:line="360" w:lineRule="auto"/>
        <w:ind w:firstLine="480"/>
        <w:jc w:val="both"/>
        <w:rPr>
          <w:color w:val="auto"/>
          <w:sz w:val="24"/>
          <w:szCs w:val="24"/>
        </w:rPr>
      </w:pPr>
      <w:r>
        <w:rPr>
          <w:color w:val="auto"/>
          <w:sz w:val="24"/>
          <w:szCs w:val="24"/>
        </w:rPr>
        <w:t>（</w:t>
      </w:r>
      <w:r>
        <w:rPr>
          <w:rFonts w:hint="eastAsia"/>
          <w:color w:val="auto"/>
          <w:sz w:val="24"/>
          <w:szCs w:val="24"/>
        </w:rPr>
        <w:t>5</w:t>
      </w:r>
      <w:r>
        <w:rPr>
          <w:color w:val="auto"/>
          <w:sz w:val="24"/>
          <w:szCs w:val="24"/>
        </w:rPr>
        <w:t>）评价结果及分析</w:t>
      </w:r>
    </w:p>
    <w:p>
      <w:pPr>
        <w:spacing w:line="360" w:lineRule="auto"/>
        <w:ind w:firstLine="480"/>
        <w:rPr>
          <w:rFonts w:cs="Times New Roman"/>
          <w:color w:val="auto"/>
        </w:rPr>
      </w:pPr>
      <w:r>
        <w:rPr>
          <w:rFonts w:cs="Times New Roman"/>
          <w:color w:val="auto"/>
        </w:rPr>
        <w:t>水质各监测断面污染指数评价结果见表4.</w:t>
      </w:r>
      <w:r>
        <w:rPr>
          <w:rFonts w:hint="eastAsia" w:cs="Times New Roman"/>
          <w:color w:val="auto"/>
        </w:rPr>
        <w:t>4</w:t>
      </w:r>
      <w:r>
        <w:rPr>
          <w:rFonts w:cs="Times New Roman"/>
          <w:color w:val="auto"/>
        </w:rPr>
        <w:t>-5。</w:t>
      </w:r>
    </w:p>
    <w:p>
      <w:pPr>
        <w:ind w:firstLine="482"/>
        <w:jc w:val="center"/>
        <w:rPr>
          <w:rFonts w:cs="Times New Roman"/>
          <w:b/>
          <w:color w:val="auto"/>
          <w:szCs w:val="21"/>
        </w:rPr>
      </w:pPr>
      <w:r>
        <w:rPr>
          <w:rFonts w:cs="Times New Roman"/>
          <w:b/>
          <w:color w:val="auto"/>
          <w:szCs w:val="21"/>
        </w:rPr>
        <w:t>表4.</w:t>
      </w:r>
      <w:r>
        <w:rPr>
          <w:rFonts w:hint="eastAsia" w:cs="Times New Roman"/>
          <w:b/>
          <w:color w:val="auto"/>
          <w:szCs w:val="21"/>
        </w:rPr>
        <w:t>4</w:t>
      </w:r>
      <w:r>
        <w:rPr>
          <w:rFonts w:cs="Times New Roman"/>
          <w:b/>
          <w:color w:val="auto"/>
          <w:szCs w:val="21"/>
        </w:rPr>
        <w:t>-5  水质各监测断面污染指数评价结果表</w:t>
      </w:r>
    </w:p>
    <w:tbl>
      <w:tblPr>
        <w:tblStyle w:val="53"/>
        <w:tblW w:w="8336" w:type="dxa"/>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
      <w:tblGrid>
        <w:gridCol w:w="1133"/>
        <w:gridCol w:w="1288"/>
        <w:gridCol w:w="1426"/>
        <w:gridCol w:w="1448"/>
        <w:gridCol w:w="1013"/>
        <w:gridCol w:w="1013"/>
        <w:gridCol w:w="1015"/>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360" w:hRule="atLeast"/>
        </w:trPr>
        <w:tc>
          <w:tcPr>
            <w:tcW w:w="1133" w:type="dxa"/>
            <w:vMerge w:val="restart"/>
            <w:tcBorders>
              <w:tl2br w:val="nil"/>
              <w:tr2bl w:val="nil"/>
            </w:tcBorders>
            <w:noWrap w:val="0"/>
            <w:vAlign w:val="center"/>
          </w:tcPr>
          <w:p>
            <w:pPr>
              <w:pStyle w:val="308"/>
              <w:rPr>
                <w:rFonts w:hint="eastAsia" w:ascii="Times New Roman" w:hAnsi="Times New Roman"/>
                <w:b w:val="0"/>
                <w:bCs/>
                <w:color w:val="auto"/>
                <w:lang w:eastAsia="zh-CN"/>
              </w:rPr>
            </w:pPr>
            <w:r>
              <w:rPr>
                <w:rFonts w:hint="eastAsia" w:ascii="Times New Roman" w:hAnsi="Times New Roman"/>
                <w:b w:val="0"/>
                <w:bCs/>
                <w:color w:val="auto"/>
                <w:lang w:val="en-US" w:eastAsia="zh-CN"/>
              </w:rPr>
              <w:t>检测项目</w:t>
            </w:r>
          </w:p>
        </w:tc>
        <w:tc>
          <w:tcPr>
            <w:tcW w:w="7203" w:type="dxa"/>
            <w:gridSpan w:val="6"/>
            <w:tcBorders>
              <w:tl2br w:val="nil"/>
              <w:tr2bl w:val="nil"/>
            </w:tcBorders>
            <w:noWrap w:val="0"/>
            <w:vAlign w:val="center"/>
          </w:tcPr>
          <w:p>
            <w:pPr>
              <w:pStyle w:val="308"/>
              <w:rPr>
                <w:rFonts w:hint="eastAsia" w:ascii="Times New Roman" w:hAnsi="Times New Roman"/>
                <w:b w:val="0"/>
                <w:bCs/>
                <w:color w:val="auto"/>
                <w:lang w:eastAsia="zh-CN"/>
              </w:rPr>
            </w:pPr>
            <w:r>
              <w:rPr>
                <w:rFonts w:hint="eastAsia" w:ascii="Times New Roman" w:hAnsi="Times New Roman"/>
                <w:b w:val="0"/>
                <w:bCs/>
                <w:color w:val="auto"/>
                <w:lang w:val="en-US" w:eastAsia="zh-CN"/>
              </w:rPr>
              <w:t>单项污染指数</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540" w:hRule="atLeast"/>
        </w:trPr>
        <w:tc>
          <w:tcPr>
            <w:tcW w:w="1133" w:type="dxa"/>
            <w:vMerge w:val="continue"/>
            <w:tcBorders>
              <w:tl2br w:val="nil"/>
              <w:tr2bl w:val="nil"/>
            </w:tcBorders>
            <w:noWrap w:val="0"/>
            <w:vAlign w:val="center"/>
          </w:tcPr>
          <w:p>
            <w:pPr>
              <w:pStyle w:val="307"/>
              <w:rPr>
                <w:rFonts w:hint="eastAsia"/>
                <w:b w:val="0"/>
                <w:bCs/>
                <w:color w:val="auto"/>
                <w:lang w:eastAsia="zh-CN"/>
              </w:rPr>
            </w:pPr>
          </w:p>
        </w:tc>
        <w:tc>
          <w:tcPr>
            <w:tcW w:w="2714" w:type="dxa"/>
            <w:gridSpan w:val="2"/>
            <w:tcBorders>
              <w:tl2br w:val="nil"/>
              <w:tr2bl w:val="nil"/>
            </w:tcBorders>
            <w:noWrap w:val="0"/>
            <w:vAlign w:val="center"/>
          </w:tcPr>
          <w:p>
            <w:pPr>
              <w:pStyle w:val="307"/>
              <w:rPr>
                <w:rFonts w:hint="eastAsia"/>
                <w:b w:val="0"/>
                <w:bCs/>
                <w:color w:val="auto"/>
                <w:lang w:eastAsia="zh-CN"/>
              </w:rPr>
            </w:pPr>
            <w:r>
              <w:rPr>
                <w:rFonts w:hint="eastAsia"/>
                <w:b w:val="0"/>
                <w:bCs/>
                <w:color w:val="auto"/>
                <w:lang w:val="en-US" w:eastAsia="zh-CN"/>
              </w:rPr>
              <w:t>1#佳木斯江北园区污水处理厂排污口上游500m</w:t>
            </w:r>
          </w:p>
        </w:tc>
        <w:tc>
          <w:tcPr>
            <w:tcW w:w="2461" w:type="dxa"/>
            <w:gridSpan w:val="2"/>
            <w:tcBorders>
              <w:tl2br w:val="nil"/>
              <w:tr2bl w:val="nil"/>
            </w:tcBorders>
            <w:noWrap w:val="0"/>
            <w:vAlign w:val="center"/>
          </w:tcPr>
          <w:p>
            <w:pPr>
              <w:pStyle w:val="307"/>
              <w:rPr>
                <w:rFonts w:hint="eastAsia"/>
                <w:b w:val="0"/>
                <w:bCs/>
                <w:color w:val="auto"/>
                <w:lang w:eastAsia="zh-CN"/>
              </w:rPr>
            </w:pPr>
            <w:r>
              <w:rPr>
                <w:rFonts w:hint="eastAsia"/>
                <w:b w:val="0"/>
                <w:bCs/>
                <w:color w:val="auto"/>
                <w:lang w:val="en-US" w:eastAsia="zh-CN"/>
              </w:rPr>
              <w:t>2#佳木斯江北园区污水处理厂排污口下游1000m</w:t>
            </w:r>
          </w:p>
        </w:tc>
        <w:tc>
          <w:tcPr>
            <w:tcW w:w="2028" w:type="dxa"/>
            <w:gridSpan w:val="2"/>
            <w:tcBorders>
              <w:tl2br w:val="nil"/>
              <w:tr2bl w:val="nil"/>
            </w:tcBorders>
            <w:noWrap w:val="0"/>
            <w:vAlign w:val="center"/>
          </w:tcPr>
          <w:p>
            <w:pPr>
              <w:pStyle w:val="307"/>
              <w:ind w:firstLine="0" w:firstLineChars="0"/>
              <w:rPr>
                <w:rFonts w:hint="eastAsia"/>
                <w:b w:val="0"/>
                <w:bCs/>
                <w:color w:val="auto"/>
                <w:lang w:eastAsia="zh-CN"/>
              </w:rPr>
            </w:pPr>
            <w:r>
              <w:rPr>
                <w:rFonts w:hint="eastAsia"/>
                <w:b w:val="0"/>
                <w:bCs/>
                <w:color w:val="auto"/>
                <w:lang w:val="en-US" w:eastAsia="zh-CN"/>
              </w:rPr>
              <w:t>3#佳木斯宏力村断面</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300" w:hRule="atLeast"/>
        </w:trPr>
        <w:tc>
          <w:tcPr>
            <w:tcW w:w="1133" w:type="dxa"/>
            <w:vMerge w:val="continue"/>
            <w:tcBorders>
              <w:tl2br w:val="nil"/>
              <w:tr2bl w:val="nil"/>
            </w:tcBorders>
            <w:noWrap w:val="0"/>
            <w:vAlign w:val="center"/>
          </w:tcPr>
          <w:p>
            <w:pPr>
              <w:pStyle w:val="307"/>
              <w:rPr>
                <w:rFonts w:hint="eastAsia"/>
                <w:b w:val="0"/>
                <w:bCs/>
                <w:color w:val="auto"/>
                <w:lang w:eastAsia="zh-CN"/>
              </w:rPr>
            </w:pPr>
          </w:p>
        </w:tc>
        <w:tc>
          <w:tcPr>
            <w:tcW w:w="1288" w:type="dxa"/>
            <w:tcBorders>
              <w:tl2br w:val="nil"/>
              <w:tr2bl w:val="nil"/>
            </w:tcBorders>
            <w:noWrap w:val="0"/>
            <w:vAlign w:val="center"/>
          </w:tcPr>
          <w:p>
            <w:pPr>
              <w:pStyle w:val="307"/>
              <w:rPr>
                <w:rFonts w:hint="eastAsia"/>
                <w:b w:val="0"/>
                <w:bCs/>
                <w:color w:val="auto"/>
                <w:lang w:eastAsia="zh-CN"/>
              </w:rPr>
            </w:pPr>
            <w:r>
              <w:rPr>
                <w:rFonts w:hint="eastAsia"/>
                <w:b w:val="0"/>
                <w:bCs/>
                <w:color w:val="auto"/>
                <w:lang w:val="en-US" w:eastAsia="zh-CN"/>
              </w:rPr>
              <w:t>11.11</w:t>
            </w:r>
          </w:p>
        </w:tc>
        <w:tc>
          <w:tcPr>
            <w:tcW w:w="1426" w:type="dxa"/>
            <w:tcBorders>
              <w:tl2br w:val="nil"/>
              <w:tr2bl w:val="nil"/>
            </w:tcBorders>
            <w:noWrap w:val="0"/>
            <w:vAlign w:val="center"/>
          </w:tcPr>
          <w:p>
            <w:pPr>
              <w:pStyle w:val="307"/>
              <w:rPr>
                <w:rFonts w:hint="eastAsia"/>
                <w:b w:val="0"/>
                <w:bCs/>
                <w:color w:val="auto"/>
                <w:lang w:eastAsia="zh-CN"/>
              </w:rPr>
            </w:pPr>
            <w:r>
              <w:rPr>
                <w:rFonts w:hint="eastAsia"/>
                <w:b w:val="0"/>
                <w:bCs/>
                <w:color w:val="auto"/>
                <w:lang w:val="en-US" w:eastAsia="zh-CN"/>
              </w:rPr>
              <w:t>11.12</w:t>
            </w:r>
          </w:p>
        </w:tc>
        <w:tc>
          <w:tcPr>
            <w:tcW w:w="1448" w:type="dxa"/>
            <w:tcBorders>
              <w:tl2br w:val="nil"/>
              <w:tr2bl w:val="nil"/>
            </w:tcBorders>
            <w:noWrap w:val="0"/>
            <w:vAlign w:val="center"/>
          </w:tcPr>
          <w:p>
            <w:pPr>
              <w:pStyle w:val="307"/>
              <w:rPr>
                <w:rFonts w:hint="eastAsia"/>
                <w:b w:val="0"/>
                <w:bCs/>
                <w:color w:val="auto"/>
                <w:lang w:eastAsia="zh-CN"/>
              </w:rPr>
            </w:pPr>
            <w:r>
              <w:rPr>
                <w:rFonts w:hint="eastAsia"/>
                <w:b w:val="0"/>
                <w:bCs/>
                <w:color w:val="auto"/>
                <w:lang w:val="en-US" w:eastAsia="zh-CN"/>
              </w:rPr>
              <w:t>11.11</w:t>
            </w:r>
          </w:p>
        </w:tc>
        <w:tc>
          <w:tcPr>
            <w:tcW w:w="1013" w:type="dxa"/>
            <w:tcBorders>
              <w:tl2br w:val="nil"/>
              <w:tr2bl w:val="nil"/>
            </w:tcBorders>
            <w:noWrap w:val="0"/>
            <w:vAlign w:val="center"/>
          </w:tcPr>
          <w:p>
            <w:pPr>
              <w:pStyle w:val="307"/>
              <w:rPr>
                <w:rFonts w:hint="eastAsia"/>
                <w:b w:val="0"/>
                <w:bCs/>
                <w:color w:val="auto"/>
                <w:lang w:eastAsia="zh-CN"/>
              </w:rPr>
            </w:pPr>
            <w:r>
              <w:rPr>
                <w:rFonts w:hint="eastAsia"/>
                <w:b w:val="0"/>
                <w:bCs/>
                <w:color w:val="auto"/>
                <w:lang w:val="en-US" w:eastAsia="zh-CN"/>
              </w:rPr>
              <w:t>11.12</w:t>
            </w:r>
          </w:p>
        </w:tc>
        <w:tc>
          <w:tcPr>
            <w:tcW w:w="1013" w:type="dxa"/>
            <w:tcBorders>
              <w:tl2br w:val="nil"/>
              <w:tr2bl w:val="nil"/>
            </w:tcBorders>
            <w:noWrap w:val="0"/>
            <w:vAlign w:val="center"/>
          </w:tcPr>
          <w:p>
            <w:pPr>
              <w:pStyle w:val="307"/>
              <w:ind w:firstLine="0" w:firstLineChars="0"/>
              <w:rPr>
                <w:rFonts w:hint="eastAsia"/>
                <w:b w:val="0"/>
                <w:bCs/>
                <w:color w:val="auto"/>
                <w:lang w:eastAsia="zh-CN"/>
              </w:rPr>
            </w:pPr>
            <w:r>
              <w:rPr>
                <w:rFonts w:hint="eastAsia"/>
                <w:b w:val="0"/>
                <w:bCs/>
                <w:color w:val="auto"/>
                <w:lang w:val="en-US" w:eastAsia="zh-CN"/>
              </w:rPr>
              <w:t>11.11</w:t>
            </w:r>
          </w:p>
        </w:tc>
        <w:tc>
          <w:tcPr>
            <w:tcW w:w="1015" w:type="dxa"/>
            <w:tcBorders>
              <w:tl2br w:val="nil"/>
              <w:tr2bl w:val="nil"/>
            </w:tcBorders>
            <w:noWrap w:val="0"/>
            <w:vAlign w:val="center"/>
          </w:tcPr>
          <w:p>
            <w:pPr>
              <w:pStyle w:val="307"/>
              <w:ind w:firstLine="0" w:firstLineChars="0"/>
              <w:rPr>
                <w:rFonts w:hint="eastAsia"/>
                <w:color w:val="auto"/>
                <w:lang w:eastAsia="zh-CN"/>
              </w:rPr>
            </w:pPr>
            <w:r>
              <w:rPr>
                <w:rFonts w:hint="eastAsia"/>
                <w:color w:val="auto"/>
                <w:lang w:val="en-US" w:eastAsia="zh-CN"/>
              </w:rPr>
              <w:t>11.12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300" w:hRule="atLeast"/>
        </w:trPr>
        <w:tc>
          <w:tcPr>
            <w:tcW w:w="1133" w:type="dxa"/>
            <w:tcBorders>
              <w:tl2br w:val="nil"/>
              <w:tr2bl w:val="nil"/>
            </w:tcBorders>
            <w:noWrap w:val="0"/>
            <w:vAlign w:val="center"/>
          </w:tcPr>
          <w:p>
            <w:pPr>
              <w:pStyle w:val="307"/>
              <w:rPr>
                <w:rFonts w:hint="eastAsia"/>
                <w:b w:val="0"/>
                <w:bCs/>
                <w:color w:val="auto"/>
                <w:lang w:eastAsia="zh-CN"/>
              </w:rPr>
            </w:pPr>
            <w:r>
              <w:rPr>
                <w:rFonts w:hint="eastAsia"/>
                <w:b w:val="0"/>
                <w:bCs/>
                <w:color w:val="auto"/>
                <w:lang w:val="en-US" w:eastAsia="zh-CN"/>
              </w:rPr>
              <w:t>pH</w:t>
            </w:r>
          </w:p>
        </w:tc>
        <w:tc>
          <w:tcPr>
            <w:tcW w:w="1288" w:type="dxa"/>
            <w:tcBorders>
              <w:tl2br w:val="nil"/>
              <w:tr2bl w:val="nil"/>
            </w:tcBorders>
            <w:noWrap w:val="0"/>
            <w:vAlign w:val="center"/>
          </w:tcPr>
          <w:p>
            <w:pPr>
              <w:pStyle w:val="307"/>
              <w:rPr>
                <w:rFonts w:hint="eastAsia"/>
                <w:b w:val="0"/>
                <w:bCs/>
                <w:color w:val="auto"/>
                <w:lang w:eastAsia="zh-CN"/>
              </w:rPr>
            </w:pPr>
            <w:r>
              <w:rPr>
                <w:rFonts w:hint="eastAsia"/>
                <w:b w:val="0"/>
                <w:bCs/>
                <w:color w:val="auto"/>
                <w:lang w:val="en-US" w:eastAsia="zh-CN"/>
              </w:rPr>
              <w:t xml:space="preserve">0.29 </w:t>
            </w:r>
          </w:p>
        </w:tc>
        <w:tc>
          <w:tcPr>
            <w:tcW w:w="1426" w:type="dxa"/>
            <w:tcBorders>
              <w:tl2br w:val="nil"/>
              <w:tr2bl w:val="nil"/>
            </w:tcBorders>
            <w:noWrap w:val="0"/>
            <w:vAlign w:val="center"/>
          </w:tcPr>
          <w:p>
            <w:pPr>
              <w:pStyle w:val="307"/>
              <w:rPr>
                <w:rFonts w:hint="eastAsia"/>
                <w:b w:val="0"/>
                <w:bCs/>
                <w:color w:val="auto"/>
                <w:lang w:eastAsia="zh-CN"/>
              </w:rPr>
            </w:pPr>
            <w:r>
              <w:rPr>
                <w:rFonts w:hint="eastAsia"/>
                <w:b w:val="0"/>
                <w:bCs/>
                <w:color w:val="auto"/>
                <w:lang w:val="en-US" w:eastAsia="zh-CN"/>
              </w:rPr>
              <w:t xml:space="preserve">0.26 </w:t>
            </w:r>
          </w:p>
        </w:tc>
        <w:tc>
          <w:tcPr>
            <w:tcW w:w="1448" w:type="dxa"/>
            <w:tcBorders>
              <w:tl2br w:val="nil"/>
              <w:tr2bl w:val="nil"/>
            </w:tcBorders>
            <w:noWrap w:val="0"/>
            <w:vAlign w:val="center"/>
          </w:tcPr>
          <w:p>
            <w:pPr>
              <w:pStyle w:val="307"/>
              <w:rPr>
                <w:rFonts w:hint="eastAsia"/>
                <w:b w:val="0"/>
                <w:bCs/>
                <w:color w:val="auto"/>
                <w:lang w:eastAsia="zh-CN"/>
              </w:rPr>
            </w:pPr>
            <w:r>
              <w:rPr>
                <w:rFonts w:hint="eastAsia"/>
                <w:b w:val="0"/>
                <w:bCs/>
                <w:color w:val="auto"/>
                <w:lang w:val="en-US" w:eastAsia="zh-CN"/>
              </w:rPr>
              <w:t xml:space="preserve">0.36 </w:t>
            </w:r>
          </w:p>
        </w:tc>
        <w:tc>
          <w:tcPr>
            <w:tcW w:w="1013" w:type="dxa"/>
            <w:tcBorders>
              <w:tl2br w:val="nil"/>
              <w:tr2bl w:val="nil"/>
            </w:tcBorders>
            <w:noWrap w:val="0"/>
            <w:vAlign w:val="center"/>
          </w:tcPr>
          <w:p>
            <w:pPr>
              <w:pStyle w:val="307"/>
              <w:rPr>
                <w:rFonts w:hint="eastAsia"/>
                <w:b w:val="0"/>
                <w:bCs/>
                <w:color w:val="auto"/>
                <w:lang w:eastAsia="zh-CN"/>
              </w:rPr>
            </w:pPr>
            <w:r>
              <w:rPr>
                <w:rFonts w:hint="eastAsia"/>
                <w:b w:val="0"/>
                <w:bCs/>
                <w:color w:val="auto"/>
                <w:lang w:val="en-US" w:eastAsia="zh-CN"/>
              </w:rPr>
              <w:t xml:space="preserve">0.35 </w:t>
            </w:r>
          </w:p>
        </w:tc>
        <w:tc>
          <w:tcPr>
            <w:tcW w:w="1013" w:type="dxa"/>
            <w:tcBorders>
              <w:tl2br w:val="nil"/>
              <w:tr2bl w:val="nil"/>
            </w:tcBorders>
            <w:noWrap w:val="0"/>
            <w:vAlign w:val="center"/>
          </w:tcPr>
          <w:p>
            <w:pPr>
              <w:pStyle w:val="307"/>
              <w:ind w:firstLine="0" w:firstLineChars="0"/>
              <w:rPr>
                <w:rFonts w:hint="eastAsia"/>
                <w:b w:val="0"/>
                <w:bCs/>
                <w:color w:val="auto"/>
                <w:lang w:eastAsia="zh-CN"/>
              </w:rPr>
            </w:pPr>
            <w:r>
              <w:rPr>
                <w:rFonts w:hint="eastAsia"/>
                <w:b w:val="0"/>
                <w:bCs/>
                <w:color w:val="auto"/>
                <w:lang w:val="en-US" w:eastAsia="zh-CN"/>
              </w:rPr>
              <w:t xml:space="preserve">0.41 </w:t>
            </w:r>
          </w:p>
        </w:tc>
        <w:tc>
          <w:tcPr>
            <w:tcW w:w="1015" w:type="dxa"/>
            <w:tcBorders>
              <w:tl2br w:val="nil"/>
              <w:tr2bl w:val="nil"/>
            </w:tcBorders>
            <w:noWrap w:val="0"/>
            <w:vAlign w:val="center"/>
          </w:tcPr>
          <w:p>
            <w:pPr>
              <w:pStyle w:val="307"/>
              <w:ind w:firstLine="0" w:firstLineChars="0"/>
              <w:rPr>
                <w:rFonts w:hint="eastAsia"/>
                <w:color w:val="auto"/>
                <w:lang w:eastAsia="zh-CN"/>
              </w:rPr>
            </w:pPr>
            <w:r>
              <w:rPr>
                <w:rFonts w:hint="eastAsia"/>
                <w:color w:val="auto"/>
                <w:lang w:val="en-US" w:eastAsia="zh-CN"/>
              </w:rPr>
              <w:t xml:space="preserve">0.42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525" w:hRule="atLeast"/>
        </w:trPr>
        <w:tc>
          <w:tcPr>
            <w:tcW w:w="1133" w:type="dxa"/>
            <w:tcBorders>
              <w:tl2br w:val="nil"/>
              <w:tr2bl w:val="nil"/>
            </w:tcBorders>
            <w:noWrap w:val="0"/>
            <w:vAlign w:val="center"/>
          </w:tcPr>
          <w:p>
            <w:pPr>
              <w:pStyle w:val="307"/>
              <w:rPr>
                <w:rFonts w:hint="eastAsia"/>
                <w:b w:val="0"/>
                <w:bCs/>
                <w:color w:val="auto"/>
                <w:lang w:eastAsia="zh-CN"/>
              </w:rPr>
            </w:pPr>
            <w:r>
              <w:rPr>
                <w:rFonts w:hint="eastAsia"/>
                <w:b w:val="0"/>
                <w:bCs/>
                <w:color w:val="auto"/>
                <w:lang w:val="en-US" w:eastAsia="zh-CN"/>
              </w:rPr>
              <w:t>化学需氧量</w:t>
            </w:r>
          </w:p>
        </w:tc>
        <w:tc>
          <w:tcPr>
            <w:tcW w:w="1288" w:type="dxa"/>
            <w:tcBorders>
              <w:tl2br w:val="nil"/>
              <w:tr2bl w:val="nil"/>
            </w:tcBorders>
            <w:noWrap w:val="0"/>
            <w:vAlign w:val="center"/>
          </w:tcPr>
          <w:p>
            <w:pPr>
              <w:pStyle w:val="307"/>
              <w:rPr>
                <w:rFonts w:hint="eastAsia"/>
                <w:b w:val="0"/>
                <w:bCs/>
                <w:color w:val="auto"/>
                <w:lang w:eastAsia="zh-CN"/>
              </w:rPr>
            </w:pPr>
            <w:r>
              <w:rPr>
                <w:rFonts w:hint="eastAsia"/>
                <w:b w:val="0"/>
                <w:bCs/>
                <w:color w:val="auto"/>
                <w:lang w:val="en-US" w:eastAsia="zh-CN"/>
              </w:rPr>
              <w:t xml:space="preserve">0.6 </w:t>
            </w:r>
          </w:p>
        </w:tc>
        <w:tc>
          <w:tcPr>
            <w:tcW w:w="1426" w:type="dxa"/>
            <w:tcBorders>
              <w:tl2br w:val="nil"/>
              <w:tr2bl w:val="nil"/>
            </w:tcBorders>
            <w:noWrap w:val="0"/>
            <w:vAlign w:val="center"/>
          </w:tcPr>
          <w:p>
            <w:pPr>
              <w:pStyle w:val="307"/>
              <w:rPr>
                <w:rFonts w:hint="eastAsia"/>
                <w:b w:val="0"/>
                <w:bCs/>
                <w:color w:val="auto"/>
                <w:lang w:eastAsia="zh-CN"/>
              </w:rPr>
            </w:pPr>
            <w:r>
              <w:rPr>
                <w:rFonts w:hint="eastAsia"/>
                <w:b w:val="0"/>
                <w:bCs/>
                <w:color w:val="auto"/>
                <w:lang w:val="en-US" w:eastAsia="zh-CN"/>
              </w:rPr>
              <w:t xml:space="preserve">0.6 </w:t>
            </w:r>
          </w:p>
        </w:tc>
        <w:tc>
          <w:tcPr>
            <w:tcW w:w="1448" w:type="dxa"/>
            <w:tcBorders>
              <w:tl2br w:val="nil"/>
              <w:tr2bl w:val="nil"/>
            </w:tcBorders>
            <w:noWrap w:val="0"/>
            <w:vAlign w:val="center"/>
          </w:tcPr>
          <w:p>
            <w:pPr>
              <w:pStyle w:val="307"/>
              <w:rPr>
                <w:rFonts w:hint="eastAsia"/>
                <w:b w:val="0"/>
                <w:bCs/>
                <w:color w:val="auto"/>
                <w:lang w:eastAsia="zh-CN"/>
              </w:rPr>
            </w:pPr>
            <w:r>
              <w:rPr>
                <w:rFonts w:hint="eastAsia"/>
                <w:b w:val="0"/>
                <w:bCs/>
                <w:color w:val="auto"/>
                <w:lang w:val="en-US" w:eastAsia="zh-CN"/>
              </w:rPr>
              <w:t xml:space="preserve">0.6 </w:t>
            </w:r>
          </w:p>
        </w:tc>
        <w:tc>
          <w:tcPr>
            <w:tcW w:w="1013" w:type="dxa"/>
            <w:tcBorders>
              <w:tl2br w:val="nil"/>
              <w:tr2bl w:val="nil"/>
            </w:tcBorders>
            <w:noWrap w:val="0"/>
            <w:vAlign w:val="center"/>
          </w:tcPr>
          <w:p>
            <w:pPr>
              <w:pStyle w:val="307"/>
              <w:rPr>
                <w:rFonts w:hint="eastAsia"/>
                <w:b w:val="0"/>
                <w:bCs/>
                <w:color w:val="auto"/>
                <w:lang w:eastAsia="zh-CN"/>
              </w:rPr>
            </w:pPr>
            <w:r>
              <w:rPr>
                <w:rFonts w:hint="eastAsia"/>
                <w:b w:val="0"/>
                <w:bCs/>
                <w:color w:val="auto"/>
                <w:lang w:val="en-US" w:eastAsia="zh-CN"/>
              </w:rPr>
              <w:t xml:space="preserve">0.6 </w:t>
            </w:r>
          </w:p>
        </w:tc>
        <w:tc>
          <w:tcPr>
            <w:tcW w:w="1013" w:type="dxa"/>
            <w:tcBorders>
              <w:tl2br w:val="nil"/>
              <w:tr2bl w:val="nil"/>
            </w:tcBorders>
            <w:noWrap w:val="0"/>
            <w:vAlign w:val="center"/>
          </w:tcPr>
          <w:p>
            <w:pPr>
              <w:pStyle w:val="307"/>
              <w:ind w:firstLine="0" w:firstLineChars="0"/>
              <w:rPr>
                <w:rFonts w:hint="eastAsia"/>
                <w:b w:val="0"/>
                <w:bCs/>
                <w:color w:val="auto"/>
                <w:lang w:eastAsia="zh-CN"/>
              </w:rPr>
            </w:pPr>
            <w:r>
              <w:rPr>
                <w:rFonts w:hint="eastAsia"/>
                <w:b w:val="0"/>
                <w:bCs/>
                <w:color w:val="auto"/>
                <w:lang w:val="en-US" w:eastAsia="zh-CN"/>
              </w:rPr>
              <w:t xml:space="preserve">0.6 </w:t>
            </w:r>
          </w:p>
        </w:tc>
        <w:tc>
          <w:tcPr>
            <w:tcW w:w="1015" w:type="dxa"/>
            <w:tcBorders>
              <w:tl2br w:val="nil"/>
              <w:tr2bl w:val="nil"/>
            </w:tcBorders>
            <w:noWrap w:val="0"/>
            <w:vAlign w:val="center"/>
          </w:tcPr>
          <w:p>
            <w:pPr>
              <w:pStyle w:val="307"/>
              <w:ind w:firstLine="0" w:firstLineChars="0"/>
              <w:rPr>
                <w:rFonts w:hint="eastAsia"/>
                <w:color w:val="auto"/>
                <w:lang w:eastAsia="zh-CN"/>
              </w:rPr>
            </w:pPr>
            <w:r>
              <w:rPr>
                <w:rFonts w:hint="eastAsia"/>
                <w:color w:val="auto"/>
                <w:lang w:val="en-US" w:eastAsia="zh-CN"/>
              </w:rPr>
              <w:t xml:space="preserve">0.7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525" w:hRule="atLeast"/>
        </w:trPr>
        <w:tc>
          <w:tcPr>
            <w:tcW w:w="1133" w:type="dxa"/>
            <w:tcBorders>
              <w:tl2br w:val="nil"/>
              <w:tr2bl w:val="nil"/>
            </w:tcBorders>
            <w:noWrap w:val="0"/>
            <w:vAlign w:val="center"/>
          </w:tcPr>
          <w:p>
            <w:pPr>
              <w:pStyle w:val="307"/>
              <w:rPr>
                <w:rFonts w:hint="eastAsia"/>
                <w:b w:val="0"/>
                <w:bCs/>
                <w:color w:val="auto"/>
                <w:lang w:eastAsia="zh-CN"/>
              </w:rPr>
            </w:pPr>
            <w:r>
              <w:rPr>
                <w:rFonts w:hint="eastAsia"/>
                <w:b w:val="0"/>
                <w:bCs/>
                <w:color w:val="auto"/>
                <w:lang w:val="en-US" w:eastAsia="zh-CN"/>
              </w:rPr>
              <w:t>五日生化需氧量</w:t>
            </w:r>
          </w:p>
        </w:tc>
        <w:tc>
          <w:tcPr>
            <w:tcW w:w="1288" w:type="dxa"/>
            <w:tcBorders>
              <w:tl2br w:val="nil"/>
              <w:tr2bl w:val="nil"/>
            </w:tcBorders>
            <w:noWrap w:val="0"/>
            <w:vAlign w:val="center"/>
          </w:tcPr>
          <w:p>
            <w:pPr>
              <w:pStyle w:val="307"/>
              <w:rPr>
                <w:rFonts w:hint="eastAsia"/>
                <w:b w:val="0"/>
                <w:bCs/>
                <w:color w:val="auto"/>
                <w:lang w:eastAsia="zh-CN"/>
              </w:rPr>
            </w:pPr>
            <w:r>
              <w:rPr>
                <w:rFonts w:hint="eastAsia"/>
                <w:b w:val="0"/>
                <w:bCs/>
                <w:color w:val="auto"/>
                <w:lang w:val="en-US" w:eastAsia="zh-CN"/>
              </w:rPr>
              <w:t xml:space="preserve">0.8 </w:t>
            </w:r>
          </w:p>
        </w:tc>
        <w:tc>
          <w:tcPr>
            <w:tcW w:w="1426" w:type="dxa"/>
            <w:tcBorders>
              <w:tl2br w:val="nil"/>
              <w:tr2bl w:val="nil"/>
            </w:tcBorders>
            <w:noWrap w:val="0"/>
            <w:vAlign w:val="center"/>
          </w:tcPr>
          <w:p>
            <w:pPr>
              <w:pStyle w:val="307"/>
              <w:rPr>
                <w:rFonts w:hint="eastAsia"/>
                <w:b w:val="0"/>
                <w:bCs/>
                <w:color w:val="auto"/>
                <w:lang w:eastAsia="zh-CN"/>
              </w:rPr>
            </w:pPr>
            <w:r>
              <w:rPr>
                <w:rFonts w:hint="eastAsia"/>
                <w:b w:val="0"/>
                <w:bCs/>
                <w:color w:val="auto"/>
                <w:lang w:val="en-US" w:eastAsia="zh-CN"/>
              </w:rPr>
              <w:t xml:space="preserve">0.8 </w:t>
            </w:r>
          </w:p>
        </w:tc>
        <w:tc>
          <w:tcPr>
            <w:tcW w:w="1448" w:type="dxa"/>
            <w:tcBorders>
              <w:tl2br w:val="nil"/>
              <w:tr2bl w:val="nil"/>
            </w:tcBorders>
            <w:noWrap w:val="0"/>
            <w:vAlign w:val="center"/>
          </w:tcPr>
          <w:p>
            <w:pPr>
              <w:pStyle w:val="307"/>
              <w:rPr>
                <w:rFonts w:hint="eastAsia"/>
                <w:b w:val="0"/>
                <w:bCs/>
                <w:color w:val="auto"/>
                <w:lang w:eastAsia="zh-CN"/>
              </w:rPr>
            </w:pPr>
            <w:r>
              <w:rPr>
                <w:rFonts w:hint="eastAsia"/>
                <w:b w:val="0"/>
                <w:bCs/>
                <w:color w:val="auto"/>
                <w:lang w:val="en-US" w:eastAsia="zh-CN"/>
              </w:rPr>
              <w:t xml:space="preserve">0.8 </w:t>
            </w:r>
          </w:p>
        </w:tc>
        <w:tc>
          <w:tcPr>
            <w:tcW w:w="1013" w:type="dxa"/>
            <w:tcBorders>
              <w:tl2br w:val="nil"/>
              <w:tr2bl w:val="nil"/>
            </w:tcBorders>
            <w:noWrap w:val="0"/>
            <w:vAlign w:val="center"/>
          </w:tcPr>
          <w:p>
            <w:pPr>
              <w:pStyle w:val="307"/>
              <w:rPr>
                <w:rFonts w:hint="eastAsia"/>
                <w:b w:val="0"/>
                <w:bCs/>
                <w:color w:val="auto"/>
                <w:lang w:eastAsia="zh-CN"/>
              </w:rPr>
            </w:pPr>
            <w:r>
              <w:rPr>
                <w:rFonts w:hint="eastAsia"/>
                <w:b w:val="0"/>
                <w:bCs/>
                <w:color w:val="auto"/>
                <w:lang w:val="en-US" w:eastAsia="zh-CN"/>
              </w:rPr>
              <w:t xml:space="preserve">0.9 </w:t>
            </w:r>
          </w:p>
        </w:tc>
        <w:tc>
          <w:tcPr>
            <w:tcW w:w="1013" w:type="dxa"/>
            <w:tcBorders>
              <w:tl2br w:val="nil"/>
              <w:tr2bl w:val="nil"/>
            </w:tcBorders>
            <w:noWrap w:val="0"/>
            <w:vAlign w:val="center"/>
          </w:tcPr>
          <w:p>
            <w:pPr>
              <w:pStyle w:val="307"/>
              <w:ind w:firstLine="0" w:firstLineChars="0"/>
              <w:rPr>
                <w:rFonts w:hint="eastAsia"/>
                <w:b w:val="0"/>
                <w:bCs/>
                <w:color w:val="auto"/>
                <w:lang w:eastAsia="zh-CN"/>
              </w:rPr>
            </w:pPr>
            <w:r>
              <w:rPr>
                <w:rFonts w:hint="eastAsia"/>
                <w:b w:val="0"/>
                <w:bCs/>
                <w:color w:val="auto"/>
                <w:lang w:val="en-US" w:eastAsia="zh-CN"/>
              </w:rPr>
              <w:t xml:space="preserve">0.8 </w:t>
            </w:r>
          </w:p>
        </w:tc>
        <w:tc>
          <w:tcPr>
            <w:tcW w:w="1015" w:type="dxa"/>
            <w:tcBorders>
              <w:tl2br w:val="nil"/>
              <w:tr2bl w:val="nil"/>
            </w:tcBorders>
            <w:noWrap w:val="0"/>
            <w:vAlign w:val="center"/>
          </w:tcPr>
          <w:p>
            <w:pPr>
              <w:pStyle w:val="307"/>
              <w:ind w:firstLine="0" w:firstLineChars="0"/>
              <w:rPr>
                <w:rFonts w:hint="eastAsia"/>
                <w:color w:val="auto"/>
                <w:lang w:eastAsia="zh-CN"/>
              </w:rPr>
            </w:pPr>
            <w:r>
              <w:rPr>
                <w:rFonts w:hint="eastAsia"/>
                <w:color w:val="auto"/>
                <w:lang w:val="en-US" w:eastAsia="zh-CN"/>
              </w:rPr>
              <w:t xml:space="preserve">0.9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300" w:hRule="atLeast"/>
        </w:trPr>
        <w:tc>
          <w:tcPr>
            <w:tcW w:w="1133" w:type="dxa"/>
            <w:tcBorders>
              <w:tl2br w:val="nil"/>
              <w:tr2bl w:val="nil"/>
            </w:tcBorders>
            <w:noWrap w:val="0"/>
            <w:vAlign w:val="center"/>
          </w:tcPr>
          <w:p>
            <w:pPr>
              <w:pStyle w:val="307"/>
              <w:rPr>
                <w:rFonts w:hint="eastAsia"/>
                <w:b w:val="0"/>
                <w:bCs/>
                <w:color w:val="auto"/>
                <w:lang w:eastAsia="zh-CN"/>
              </w:rPr>
            </w:pPr>
            <w:r>
              <w:rPr>
                <w:rFonts w:hint="eastAsia"/>
                <w:b w:val="0"/>
                <w:bCs/>
                <w:color w:val="auto"/>
                <w:lang w:val="en-US" w:eastAsia="zh-CN"/>
              </w:rPr>
              <w:t>溶解氧</w:t>
            </w:r>
          </w:p>
        </w:tc>
        <w:tc>
          <w:tcPr>
            <w:tcW w:w="1288" w:type="dxa"/>
            <w:tcBorders>
              <w:tl2br w:val="nil"/>
              <w:tr2bl w:val="nil"/>
            </w:tcBorders>
            <w:noWrap w:val="0"/>
            <w:vAlign w:val="center"/>
          </w:tcPr>
          <w:p>
            <w:pPr>
              <w:pStyle w:val="307"/>
              <w:rPr>
                <w:rFonts w:hint="eastAsia"/>
                <w:b w:val="0"/>
                <w:bCs/>
                <w:color w:val="auto"/>
                <w:lang w:eastAsia="zh-CN"/>
              </w:rPr>
            </w:pPr>
            <w:r>
              <w:rPr>
                <w:rFonts w:hint="eastAsia"/>
                <w:b w:val="0"/>
                <w:bCs/>
                <w:color w:val="auto"/>
                <w:lang w:val="en-US" w:eastAsia="zh-CN"/>
              </w:rPr>
              <w:t xml:space="preserve">0.1 </w:t>
            </w:r>
          </w:p>
        </w:tc>
        <w:tc>
          <w:tcPr>
            <w:tcW w:w="1426" w:type="dxa"/>
            <w:tcBorders>
              <w:tl2br w:val="nil"/>
              <w:tr2bl w:val="nil"/>
            </w:tcBorders>
            <w:noWrap w:val="0"/>
            <w:vAlign w:val="center"/>
          </w:tcPr>
          <w:p>
            <w:pPr>
              <w:pStyle w:val="307"/>
              <w:rPr>
                <w:rFonts w:hint="eastAsia"/>
                <w:b w:val="0"/>
                <w:bCs/>
                <w:color w:val="auto"/>
                <w:lang w:eastAsia="zh-CN"/>
              </w:rPr>
            </w:pPr>
            <w:r>
              <w:rPr>
                <w:rFonts w:hint="eastAsia"/>
                <w:b w:val="0"/>
                <w:bCs/>
                <w:color w:val="auto"/>
                <w:lang w:val="en-US" w:eastAsia="zh-CN"/>
              </w:rPr>
              <w:t xml:space="preserve">0.1 </w:t>
            </w:r>
          </w:p>
        </w:tc>
        <w:tc>
          <w:tcPr>
            <w:tcW w:w="1448" w:type="dxa"/>
            <w:tcBorders>
              <w:tl2br w:val="nil"/>
              <w:tr2bl w:val="nil"/>
            </w:tcBorders>
            <w:noWrap w:val="0"/>
            <w:vAlign w:val="center"/>
          </w:tcPr>
          <w:p>
            <w:pPr>
              <w:pStyle w:val="307"/>
              <w:rPr>
                <w:rFonts w:hint="eastAsia"/>
                <w:b w:val="0"/>
                <w:bCs/>
                <w:color w:val="auto"/>
                <w:lang w:eastAsia="zh-CN"/>
              </w:rPr>
            </w:pPr>
            <w:r>
              <w:rPr>
                <w:rFonts w:hint="eastAsia"/>
                <w:b w:val="0"/>
                <w:bCs/>
                <w:color w:val="auto"/>
                <w:lang w:val="en-US" w:eastAsia="zh-CN"/>
              </w:rPr>
              <w:t xml:space="preserve">0.1 </w:t>
            </w:r>
          </w:p>
        </w:tc>
        <w:tc>
          <w:tcPr>
            <w:tcW w:w="1013" w:type="dxa"/>
            <w:tcBorders>
              <w:tl2br w:val="nil"/>
              <w:tr2bl w:val="nil"/>
            </w:tcBorders>
            <w:noWrap w:val="0"/>
            <w:vAlign w:val="center"/>
          </w:tcPr>
          <w:p>
            <w:pPr>
              <w:pStyle w:val="307"/>
              <w:rPr>
                <w:rFonts w:hint="eastAsia"/>
                <w:b w:val="0"/>
                <w:bCs/>
                <w:color w:val="auto"/>
                <w:lang w:eastAsia="zh-CN"/>
              </w:rPr>
            </w:pPr>
            <w:r>
              <w:rPr>
                <w:rFonts w:hint="eastAsia"/>
                <w:b w:val="0"/>
                <w:bCs/>
                <w:color w:val="auto"/>
                <w:lang w:val="en-US" w:eastAsia="zh-CN"/>
              </w:rPr>
              <w:t xml:space="preserve">0.02 </w:t>
            </w:r>
          </w:p>
        </w:tc>
        <w:tc>
          <w:tcPr>
            <w:tcW w:w="1013" w:type="dxa"/>
            <w:tcBorders>
              <w:tl2br w:val="nil"/>
              <w:tr2bl w:val="nil"/>
            </w:tcBorders>
            <w:noWrap w:val="0"/>
            <w:vAlign w:val="center"/>
          </w:tcPr>
          <w:p>
            <w:pPr>
              <w:pStyle w:val="307"/>
              <w:ind w:firstLine="0" w:firstLineChars="0"/>
              <w:rPr>
                <w:rFonts w:hint="eastAsia"/>
                <w:b w:val="0"/>
                <w:bCs/>
                <w:color w:val="auto"/>
                <w:lang w:eastAsia="zh-CN"/>
              </w:rPr>
            </w:pPr>
            <w:r>
              <w:rPr>
                <w:rFonts w:hint="eastAsia"/>
                <w:b w:val="0"/>
                <w:bCs/>
                <w:color w:val="auto"/>
                <w:lang w:val="en-US" w:eastAsia="zh-CN"/>
              </w:rPr>
              <w:t>0.1</w:t>
            </w:r>
          </w:p>
        </w:tc>
        <w:tc>
          <w:tcPr>
            <w:tcW w:w="1015" w:type="dxa"/>
            <w:tcBorders>
              <w:tl2br w:val="nil"/>
              <w:tr2bl w:val="nil"/>
            </w:tcBorders>
            <w:noWrap w:val="0"/>
            <w:vAlign w:val="center"/>
          </w:tcPr>
          <w:p>
            <w:pPr>
              <w:pStyle w:val="307"/>
              <w:ind w:firstLine="0" w:firstLineChars="0"/>
              <w:rPr>
                <w:rFonts w:hint="eastAsia"/>
                <w:color w:val="auto"/>
                <w:lang w:eastAsia="zh-CN"/>
              </w:rPr>
            </w:pPr>
            <w:r>
              <w:rPr>
                <w:rFonts w:hint="eastAsia"/>
                <w:color w:val="auto"/>
                <w:lang w:val="en-US" w:eastAsia="zh-CN"/>
              </w:rPr>
              <w:t>0.1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300" w:hRule="atLeast"/>
        </w:trPr>
        <w:tc>
          <w:tcPr>
            <w:tcW w:w="1133" w:type="dxa"/>
            <w:tcBorders>
              <w:tl2br w:val="nil"/>
              <w:tr2bl w:val="nil"/>
            </w:tcBorders>
            <w:noWrap w:val="0"/>
            <w:vAlign w:val="center"/>
          </w:tcPr>
          <w:p>
            <w:pPr>
              <w:pStyle w:val="307"/>
              <w:rPr>
                <w:rFonts w:hint="eastAsia"/>
                <w:b w:val="0"/>
                <w:bCs/>
                <w:color w:val="auto"/>
                <w:lang w:eastAsia="zh-CN"/>
              </w:rPr>
            </w:pPr>
            <w:r>
              <w:rPr>
                <w:rFonts w:hint="eastAsia"/>
                <w:b w:val="0"/>
                <w:bCs/>
                <w:color w:val="auto"/>
                <w:lang w:val="en-US" w:eastAsia="zh-CN"/>
              </w:rPr>
              <w:t>氨氮</w:t>
            </w:r>
          </w:p>
        </w:tc>
        <w:tc>
          <w:tcPr>
            <w:tcW w:w="1288" w:type="dxa"/>
            <w:tcBorders>
              <w:tl2br w:val="nil"/>
              <w:tr2bl w:val="nil"/>
            </w:tcBorders>
            <w:noWrap w:val="0"/>
            <w:vAlign w:val="center"/>
          </w:tcPr>
          <w:p>
            <w:pPr>
              <w:pStyle w:val="307"/>
              <w:rPr>
                <w:rFonts w:hint="eastAsia"/>
                <w:b w:val="0"/>
                <w:bCs/>
                <w:color w:val="auto"/>
                <w:lang w:eastAsia="zh-CN"/>
              </w:rPr>
            </w:pPr>
            <w:r>
              <w:rPr>
                <w:rFonts w:hint="eastAsia"/>
                <w:b w:val="0"/>
                <w:bCs/>
                <w:color w:val="auto"/>
                <w:lang w:val="en-US" w:eastAsia="zh-CN"/>
              </w:rPr>
              <w:t xml:space="preserve">0.205 </w:t>
            </w:r>
          </w:p>
        </w:tc>
        <w:tc>
          <w:tcPr>
            <w:tcW w:w="1426" w:type="dxa"/>
            <w:tcBorders>
              <w:tl2br w:val="nil"/>
              <w:tr2bl w:val="nil"/>
            </w:tcBorders>
            <w:noWrap w:val="0"/>
            <w:vAlign w:val="center"/>
          </w:tcPr>
          <w:p>
            <w:pPr>
              <w:pStyle w:val="307"/>
              <w:rPr>
                <w:rFonts w:hint="eastAsia"/>
                <w:b w:val="0"/>
                <w:bCs/>
                <w:color w:val="auto"/>
                <w:lang w:eastAsia="zh-CN"/>
              </w:rPr>
            </w:pPr>
            <w:r>
              <w:rPr>
                <w:rFonts w:hint="eastAsia"/>
                <w:b w:val="0"/>
                <w:bCs/>
                <w:color w:val="auto"/>
                <w:lang w:val="en-US" w:eastAsia="zh-CN"/>
              </w:rPr>
              <w:t xml:space="preserve">0.209 </w:t>
            </w:r>
          </w:p>
        </w:tc>
        <w:tc>
          <w:tcPr>
            <w:tcW w:w="1448" w:type="dxa"/>
            <w:tcBorders>
              <w:tl2br w:val="nil"/>
              <w:tr2bl w:val="nil"/>
            </w:tcBorders>
            <w:noWrap w:val="0"/>
            <w:vAlign w:val="center"/>
          </w:tcPr>
          <w:p>
            <w:pPr>
              <w:pStyle w:val="307"/>
              <w:rPr>
                <w:rFonts w:hint="eastAsia"/>
                <w:b w:val="0"/>
                <w:bCs/>
                <w:color w:val="auto"/>
                <w:lang w:eastAsia="zh-CN"/>
              </w:rPr>
            </w:pPr>
            <w:r>
              <w:rPr>
                <w:rFonts w:hint="eastAsia"/>
                <w:b w:val="0"/>
                <w:bCs/>
                <w:color w:val="auto"/>
                <w:lang w:val="en-US" w:eastAsia="zh-CN"/>
              </w:rPr>
              <w:t xml:space="preserve">0.153 </w:t>
            </w:r>
          </w:p>
        </w:tc>
        <w:tc>
          <w:tcPr>
            <w:tcW w:w="1013" w:type="dxa"/>
            <w:tcBorders>
              <w:tl2br w:val="nil"/>
              <w:tr2bl w:val="nil"/>
            </w:tcBorders>
            <w:noWrap w:val="0"/>
            <w:vAlign w:val="center"/>
          </w:tcPr>
          <w:p>
            <w:pPr>
              <w:pStyle w:val="307"/>
              <w:rPr>
                <w:rFonts w:hint="eastAsia"/>
                <w:b w:val="0"/>
                <w:bCs/>
                <w:color w:val="auto"/>
                <w:lang w:eastAsia="zh-CN"/>
              </w:rPr>
            </w:pPr>
            <w:r>
              <w:rPr>
                <w:rFonts w:hint="eastAsia"/>
                <w:b w:val="0"/>
                <w:bCs/>
                <w:color w:val="auto"/>
                <w:lang w:val="en-US" w:eastAsia="zh-CN"/>
              </w:rPr>
              <w:t xml:space="preserve">0.149 </w:t>
            </w:r>
          </w:p>
        </w:tc>
        <w:tc>
          <w:tcPr>
            <w:tcW w:w="1013" w:type="dxa"/>
            <w:tcBorders>
              <w:tl2br w:val="nil"/>
              <w:tr2bl w:val="nil"/>
            </w:tcBorders>
            <w:noWrap w:val="0"/>
            <w:vAlign w:val="center"/>
          </w:tcPr>
          <w:p>
            <w:pPr>
              <w:pStyle w:val="307"/>
              <w:ind w:firstLine="0" w:firstLineChars="0"/>
              <w:rPr>
                <w:rFonts w:hint="eastAsia"/>
                <w:b w:val="0"/>
                <w:bCs/>
                <w:color w:val="auto"/>
                <w:lang w:eastAsia="zh-CN"/>
              </w:rPr>
            </w:pPr>
            <w:r>
              <w:rPr>
                <w:rFonts w:hint="eastAsia"/>
                <w:b w:val="0"/>
                <w:bCs/>
                <w:color w:val="auto"/>
                <w:lang w:val="en-US" w:eastAsia="zh-CN"/>
              </w:rPr>
              <w:t xml:space="preserve">0.197 </w:t>
            </w:r>
          </w:p>
        </w:tc>
        <w:tc>
          <w:tcPr>
            <w:tcW w:w="1015" w:type="dxa"/>
            <w:tcBorders>
              <w:tl2br w:val="nil"/>
              <w:tr2bl w:val="nil"/>
            </w:tcBorders>
            <w:noWrap w:val="0"/>
            <w:vAlign w:val="center"/>
          </w:tcPr>
          <w:p>
            <w:pPr>
              <w:pStyle w:val="307"/>
              <w:ind w:firstLine="0" w:firstLineChars="0"/>
              <w:rPr>
                <w:rFonts w:hint="eastAsia"/>
                <w:color w:val="auto"/>
                <w:lang w:eastAsia="zh-CN"/>
              </w:rPr>
            </w:pPr>
            <w:r>
              <w:rPr>
                <w:rFonts w:hint="eastAsia"/>
                <w:color w:val="auto"/>
                <w:lang w:val="en-US" w:eastAsia="zh-CN"/>
              </w:rPr>
              <w:t xml:space="preserve">0.197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540" w:hRule="atLeast"/>
        </w:trPr>
        <w:tc>
          <w:tcPr>
            <w:tcW w:w="1133" w:type="dxa"/>
            <w:tcBorders>
              <w:tl2br w:val="nil"/>
              <w:tr2bl w:val="nil"/>
            </w:tcBorders>
            <w:noWrap w:val="0"/>
            <w:vAlign w:val="center"/>
          </w:tcPr>
          <w:p>
            <w:pPr>
              <w:pStyle w:val="307"/>
              <w:rPr>
                <w:rFonts w:hint="eastAsia"/>
                <w:b w:val="0"/>
                <w:bCs/>
                <w:color w:val="auto"/>
                <w:lang w:eastAsia="zh-CN"/>
              </w:rPr>
            </w:pPr>
            <w:r>
              <w:rPr>
                <w:rFonts w:hint="eastAsia"/>
                <w:b w:val="0"/>
                <w:bCs/>
                <w:color w:val="auto"/>
                <w:lang w:val="en-US" w:eastAsia="zh-CN"/>
              </w:rPr>
              <w:t>总磷(以P计）</w:t>
            </w:r>
          </w:p>
        </w:tc>
        <w:tc>
          <w:tcPr>
            <w:tcW w:w="1288" w:type="dxa"/>
            <w:tcBorders>
              <w:tl2br w:val="nil"/>
              <w:tr2bl w:val="nil"/>
            </w:tcBorders>
            <w:noWrap w:val="0"/>
            <w:vAlign w:val="center"/>
          </w:tcPr>
          <w:p>
            <w:pPr>
              <w:pStyle w:val="307"/>
              <w:rPr>
                <w:rFonts w:hint="eastAsia"/>
                <w:b w:val="0"/>
                <w:bCs/>
                <w:color w:val="auto"/>
                <w:lang w:eastAsia="zh-CN"/>
              </w:rPr>
            </w:pPr>
            <w:r>
              <w:rPr>
                <w:rFonts w:hint="eastAsia"/>
                <w:b w:val="0"/>
                <w:bCs/>
                <w:color w:val="auto"/>
                <w:lang w:val="en-US" w:eastAsia="zh-CN"/>
              </w:rPr>
              <w:t xml:space="preserve">0.100 </w:t>
            </w:r>
          </w:p>
        </w:tc>
        <w:tc>
          <w:tcPr>
            <w:tcW w:w="1426" w:type="dxa"/>
            <w:tcBorders>
              <w:tl2br w:val="nil"/>
              <w:tr2bl w:val="nil"/>
            </w:tcBorders>
            <w:noWrap w:val="0"/>
            <w:vAlign w:val="center"/>
          </w:tcPr>
          <w:p>
            <w:pPr>
              <w:pStyle w:val="307"/>
              <w:rPr>
                <w:rFonts w:hint="eastAsia"/>
                <w:b w:val="0"/>
                <w:bCs/>
                <w:color w:val="auto"/>
                <w:lang w:eastAsia="zh-CN"/>
              </w:rPr>
            </w:pPr>
            <w:r>
              <w:rPr>
                <w:rFonts w:hint="eastAsia"/>
                <w:b w:val="0"/>
                <w:bCs/>
                <w:color w:val="auto"/>
                <w:lang w:val="en-US" w:eastAsia="zh-CN"/>
              </w:rPr>
              <w:t xml:space="preserve">0.067 </w:t>
            </w:r>
          </w:p>
        </w:tc>
        <w:tc>
          <w:tcPr>
            <w:tcW w:w="1448" w:type="dxa"/>
            <w:tcBorders>
              <w:tl2br w:val="nil"/>
              <w:tr2bl w:val="nil"/>
            </w:tcBorders>
            <w:noWrap w:val="0"/>
            <w:vAlign w:val="center"/>
          </w:tcPr>
          <w:p>
            <w:pPr>
              <w:pStyle w:val="307"/>
              <w:rPr>
                <w:rFonts w:hint="eastAsia"/>
                <w:b w:val="0"/>
                <w:bCs/>
                <w:color w:val="auto"/>
                <w:lang w:eastAsia="zh-CN"/>
              </w:rPr>
            </w:pPr>
            <w:r>
              <w:rPr>
                <w:rFonts w:hint="eastAsia"/>
                <w:b w:val="0"/>
                <w:bCs/>
                <w:color w:val="auto"/>
                <w:lang w:val="en-US" w:eastAsia="zh-CN"/>
              </w:rPr>
              <w:t xml:space="preserve">0.100 </w:t>
            </w:r>
          </w:p>
        </w:tc>
        <w:tc>
          <w:tcPr>
            <w:tcW w:w="1013" w:type="dxa"/>
            <w:tcBorders>
              <w:tl2br w:val="nil"/>
              <w:tr2bl w:val="nil"/>
            </w:tcBorders>
            <w:noWrap w:val="0"/>
            <w:vAlign w:val="center"/>
          </w:tcPr>
          <w:p>
            <w:pPr>
              <w:pStyle w:val="307"/>
              <w:rPr>
                <w:rFonts w:hint="eastAsia"/>
                <w:b w:val="0"/>
                <w:bCs/>
                <w:color w:val="auto"/>
                <w:lang w:eastAsia="zh-CN"/>
              </w:rPr>
            </w:pPr>
            <w:r>
              <w:rPr>
                <w:rFonts w:hint="eastAsia"/>
                <w:b w:val="0"/>
                <w:bCs/>
                <w:color w:val="auto"/>
                <w:lang w:val="en-US" w:eastAsia="zh-CN"/>
              </w:rPr>
              <w:t xml:space="preserve">0.100 </w:t>
            </w:r>
          </w:p>
        </w:tc>
        <w:tc>
          <w:tcPr>
            <w:tcW w:w="1013" w:type="dxa"/>
            <w:tcBorders>
              <w:tl2br w:val="nil"/>
              <w:tr2bl w:val="nil"/>
            </w:tcBorders>
            <w:noWrap w:val="0"/>
            <w:vAlign w:val="center"/>
          </w:tcPr>
          <w:p>
            <w:pPr>
              <w:pStyle w:val="307"/>
              <w:ind w:firstLine="0" w:firstLineChars="0"/>
              <w:rPr>
                <w:rFonts w:hint="eastAsia"/>
                <w:b w:val="0"/>
                <w:bCs/>
                <w:color w:val="auto"/>
                <w:lang w:eastAsia="zh-CN"/>
              </w:rPr>
            </w:pPr>
            <w:r>
              <w:rPr>
                <w:rFonts w:hint="eastAsia"/>
                <w:b w:val="0"/>
                <w:bCs/>
                <w:color w:val="auto"/>
                <w:lang w:val="en-US" w:eastAsia="zh-CN"/>
              </w:rPr>
              <w:t xml:space="preserve">0.133 </w:t>
            </w:r>
          </w:p>
        </w:tc>
        <w:tc>
          <w:tcPr>
            <w:tcW w:w="1015" w:type="dxa"/>
            <w:tcBorders>
              <w:tl2br w:val="nil"/>
              <w:tr2bl w:val="nil"/>
            </w:tcBorders>
            <w:noWrap w:val="0"/>
            <w:vAlign w:val="center"/>
          </w:tcPr>
          <w:p>
            <w:pPr>
              <w:pStyle w:val="307"/>
              <w:ind w:firstLine="0" w:firstLineChars="0"/>
              <w:rPr>
                <w:rFonts w:hint="eastAsia"/>
                <w:color w:val="auto"/>
                <w:lang w:eastAsia="zh-CN"/>
              </w:rPr>
            </w:pPr>
            <w:r>
              <w:rPr>
                <w:rFonts w:hint="eastAsia"/>
                <w:color w:val="auto"/>
                <w:lang w:val="en-US" w:eastAsia="zh-CN"/>
              </w:rPr>
              <w:t xml:space="preserve">0.200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540" w:hRule="atLeast"/>
        </w:trPr>
        <w:tc>
          <w:tcPr>
            <w:tcW w:w="1133" w:type="dxa"/>
            <w:tcBorders>
              <w:tl2br w:val="nil"/>
              <w:tr2bl w:val="nil"/>
            </w:tcBorders>
            <w:noWrap w:val="0"/>
            <w:vAlign w:val="center"/>
          </w:tcPr>
          <w:p>
            <w:pPr>
              <w:pStyle w:val="307"/>
              <w:rPr>
                <w:rFonts w:hint="eastAsia"/>
                <w:b w:val="0"/>
                <w:bCs/>
                <w:color w:val="auto"/>
                <w:lang w:eastAsia="zh-CN"/>
              </w:rPr>
            </w:pPr>
            <w:r>
              <w:rPr>
                <w:rFonts w:hint="eastAsia"/>
                <w:b w:val="0"/>
                <w:bCs/>
                <w:color w:val="auto"/>
                <w:lang w:val="en-US" w:eastAsia="zh-CN"/>
              </w:rPr>
              <w:t>总氮（以N计）</w:t>
            </w:r>
          </w:p>
        </w:tc>
        <w:tc>
          <w:tcPr>
            <w:tcW w:w="1288" w:type="dxa"/>
            <w:tcBorders>
              <w:tl2br w:val="nil"/>
              <w:tr2bl w:val="nil"/>
            </w:tcBorders>
            <w:noWrap w:val="0"/>
            <w:vAlign w:val="center"/>
          </w:tcPr>
          <w:p>
            <w:pPr>
              <w:pStyle w:val="307"/>
              <w:rPr>
                <w:rFonts w:hint="eastAsia"/>
                <w:b w:val="0"/>
                <w:bCs/>
                <w:color w:val="auto"/>
                <w:lang w:eastAsia="zh-CN"/>
              </w:rPr>
            </w:pPr>
            <w:r>
              <w:rPr>
                <w:rFonts w:hint="eastAsia"/>
                <w:b w:val="0"/>
                <w:bCs/>
                <w:color w:val="auto"/>
                <w:lang w:val="en-US" w:eastAsia="zh-CN"/>
              </w:rPr>
              <w:t xml:space="preserve">0.960 </w:t>
            </w:r>
          </w:p>
        </w:tc>
        <w:tc>
          <w:tcPr>
            <w:tcW w:w="1426" w:type="dxa"/>
            <w:tcBorders>
              <w:tl2br w:val="nil"/>
              <w:tr2bl w:val="nil"/>
            </w:tcBorders>
            <w:noWrap w:val="0"/>
            <w:vAlign w:val="center"/>
          </w:tcPr>
          <w:p>
            <w:pPr>
              <w:pStyle w:val="307"/>
              <w:rPr>
                <w:rFonts w:hint="eastAsia"/>
                <w:b w:val="0"/>
                <w:bCs/>
                <w:color w:val="auto"/>
                <w:lang w:eastAsia="zh-CN"/>
              </w:rPr>
            </w:pPr>
            <w:r>
              <w:rPr>
                <w:rFonts w:hint="eastAsia"/>
                <w:b w:val="0"/>
                <w:bCs/>
                <w:color w:val="auto"/>
                <w:lang w:val="en-US" w:eastAsia="zh-CN"/>
              </w:rPr>
              <w:t xml:space="preserve">0.953 </w:t>
            </w:r>
          </w:p>
        </w:tc>
        <w:tc>
          <w:tcPr>
            <w:tcW w:w="1448" w:type="dxa"/>
            <w:tcBorders>
              <w:tl2br w:val="nil"/>
              <w:tr2bl w:val="nil"/>
            </w:tcBorders>
            <w:noWrap w:val="0"/>
            <w:vAlign w:val="center"/>
          </w:tcPr>
          <w:p>
            <w:pPr>
              <w:pStyle w:val="307"/>
              <w:rPr>
                <w:rFonts w:hint="eastAsia"/>
                <w:b w:val="0"/>
                <w:bCs/>
                <w:color w:val="auto"/>
                <w:lang w:eastAsia="zh-CN"/>
              </w:rPr>
            </w:pPr>
            <w:r>
              <w:rPr>
                <w:rFonts w:hint="eastAsia"/>
                <w:b w:val="0"/>
                <w:bCs/>
                <w:color w:val="auto"/>
                <w:lang w:val="en-US" w:eastAsia="zh-CN"/>
              </w:rPr>
              <w:t xml:space="preserve">0.873 </w:t>
            </w:r>
          </w:p>
        </w:tc>
        <w:tc>
          <w:tcPr>
            <w:tcW w:w="1013" w:type="dxa"/>
            <w:tcBorders>
              <w:tl2br w:val="nil"/>
              <w:tr2bl w:val="nil"/>
            </w:tcBorders>
            <w:noWrap w:val="0"/>
            <w:vAlign w:val="center"/>
          </w:tcPr>
          <w:p>
            <w:pPr>
              <w:pStyle w:val="307"/>
              <w:rPr>
                <w:rFonts w:hint="eastAsia"/>
                <w:b w:val="0"/>
                <w:bCs/>
                <w:color w:val="auto"/>
                <w:lang w:eastAsia="zh-CN"/>
              </w:rPr>
            </w:pPr>
            <w:r>
              <w:rPr>
                <w:rFonts w:hint="eastAsia"/>
                <w:b w:val="0"/>
                <w:bCs/>
                <w:color w:val="auto"/>
                <w:lang w:val="en-US" w:eastAsia="zh-CN"/>
              </w:rPr>
              <w:t xml:space="preserve">0.880 </w:t>
            </w:r>
          </w:p>
        </w:tc>
        <w:tc>
          <w:tcPr>
            <w:tcW w:w="1013" w:type="dxa"/>
            <w:tcBorders>
              <w:tl2br w:val="nil"/>
              <w:tr2bl w:val="nil"/>
            </w:tcBorders>
            <w:noWrap w:val="0"/>
            <w:vAlign w:val="center"/>
          </w:tcPr>
          <w:p>
            <w:pPr>
              <w:pStyle w:val="307"/>
              <w:ind w:firstLine="0" w:firstLineChars="0"/>
              <w:rPr>
                <w:rFonts w:hint="eastAsia"/>
                <w:b w:val="0"/>
                <w:bCs/>
                <w:color w:val="auto"/>
                <w:lang w:eastAsia="zh-CN"/>
              </w:rPr>
            </w:pPr>
            <w:r>
              <w:rPr>
                <w:rFonts w:hint="eastAsia"/>
                <w:b w:val="0"/>
                <w:bCs/>
                <w:color w:val="auto"/>
                <w:lang w:val="en-US" w:eastAsia="zh-CN"/>
              </w:rPr>
              <w:t xml:space="preserve">0.987 </w:t>
            </w:r>
          </w:p>
        </w:tc>
        <w:tc>
          <w:tcPr>
            <w:tcW w:w="1015" w:type="dxa"/>
            <w:tcBorders>
              <w:tl2br w:val="nil"/>
              <w:tr2bl w:val="nil"/>
            </w:tcBorders>
            <w:noWrap w:val="0"/>
            <w:vAlign w:val="center"/>
          </w:tcPr>
          <w:p>
            <w:pPr>
              <w:pStyle w:val="307"/>
              <w:ind w:firstLine="0" w:firstLineChars="0"/>
              <w:rPr>
                <w:rFonts w:hint="eastAsia"/>
                <w:color w:val="auto"/>
                <w:lang w:eastAsia="zh-CN"/>
              </w:rPr>
            </w:pPr>
            <w:r>
              <w:rPr>
                <w:rFonts w:hint="eastAsia"/>
                <w:color w:val="auto"/>
                <w:lang w:val="en-US" w:eastAsia="zh-CN"/>
              </w:rPr>
              <w:t xml:space="preserve">0.993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300" w:hRule="atLeast"/>
        </w:trPr>
        <w:tc>
          <w:tcPr>
            <w:tcW w:w="1133" w:type="dxa"/>
            <w:tcBorders>
              <w:tl2br w:val="nil"/>
              <w:tr2bl w:val="nil"/>
            </w:tcBorders>
            <w:noWrap w:val="0"/>
            <w:vAlign w:val="center"/>
          </w:tcPr>
          <w:p>
            <w:pPr>
              <w:pStyle w:val="307"/>
              <w:rPr>
                <w:rFonts w:hint="eastAsia"/>
                <w:color w:val="auto"/>
                <w:lang w:eastAsia="zh-CN"/>
              </w:rPr>
            </w:pPr>
            <w:r>
              <w:rPr>
                <w:rFonts w:hint="eastAsia"/>
                <w:color w:val="auto"/>
                <w:lang w:val="en-US" w:eastAsia="zh-CN"/>
              </w:rPr>
              <w:t>石油类</w:t>
            </w:r>
          </w:p>
        </w:tc>
        <w:tc>
          <w:tcPr>
            <w:tcW w:w="1288" w:type="dxa"/>
            <w:tcBorders>
              <w:tl2br w:val="nil"/>
              <w:tr2bl w:val="nil"/>
            </w:tcBorders>
            <w:noWrap w:val="0"/>
            <w:vAlign w:val="center"/>
          </w:tcPr>
          <w:p>
            <w:pPr>
              <w:pStyle w:val="307"/>
              <w:rPr>
                <w:rFonts w:hint="eastAsia"/>
                <w:color w:val="auto"/>
                <w:lang w:eastAsia="zh-CN"/>
              </w:rPr>
            </w:pPr>
            <w:r>
              <w:rPr>
                <w:rFonts w:hint="eastAsia"/>
                <w:color w:val="auto"/>
                <w:lang w:val="en-US" w:eastAsia="zh-CN"/>
              </w:rPr>
              <w:t>0.04</w:t>
            </w:r>
          </w:p>
        </w:tc>
        <w:tc>
          <w:tcPr>
            <w:tcW w:w="1426" w:type="dxa"/>
            <w:tcBorders>
              <w:tl2br w:val="nil"/>
              <w:tr2bl w:val="nil"/>
            </w:tcBorders>
            <w:noWrap w:val="0"/>
            <w:vAlign w:val="center"/>
          </w:tcPr>
          <w:p>
            <w:pPr>
              <w:pStyle w:val="307"/>
              <w:rPr>
                <w:rFonts w:hint="eastAsia"/>
                <w:color w:val="auto"/>
                <w:lang w:eastAsia="zh-CN"/>
              </w:rPr>
            </w:pPr>
            <w:r>
              <w:rPr>
                <w:rFonts w:hint="eastAsia"/>
                <w:color w:val="auto"/>
                <w:lang w:val="en-US" w:eastAsia="zh-CN"/>
              </w:rPr>
              <w:t>0.04</w:t>
            </w:r>
          </w:p>
        </w:tc>
        <w:tc>
          <w:tcPr>
            <w:tcW w:w="1448" w:type="dxa"/>
            <w:tcBorders>
              <w:tl2br w:val="nil"/>
              <w:tr2bl w:val="nil"/>
            </w:tcBorders>
            <w:noWrap w:val="0"/>
            <w:vAlign w:val="center"/>
          </w:tcPr>
          <w:p>
            <w:pPr>
              <w:pStyle w:val="307"/>
              <w:ind w:firstLine="0" w:firstLineChars="0"/>
              <w:rPr>
                <w:rFonts w:hint="eastAsia"/>
                <w:color w:val="auto"/>
                <w:lang w:eastAsia="zh-CN"/>
              </w:rPr>
            </w:pPr>
            <w:r>
              <w:rPr>
                <w:rFonts w:hint="eastAsia"/>
                <w:color w:val="auto"/>
                <w:lang w:val="en-US" w:eastAsia="zh-CN"/>
              </w:rPr>
              <w:t>0.01L</w:t>
            </w:r>
          </w:p>
        </w:tc>
        <w:tc>
          <w:tcPr>
            <w:tcW w:w="1013" w:type="dxa"/>
            <w:tcBorders>
              <w:tl2br w:val="nil"/>
              <w:tr2bl w:val="nil"/>
            </w:tcBorders>
            <w:noWrap w:val="0"/>
            <w:vAlign w:val="center"/>
          </w:tcPr>
          <w:p>
            <w:pPr>
              <w:pStyle w:val="307"/>
              <w:ind w:firstLine="0" w:firstLineChars="0"/>
              <w:rPr>
                <w:rFonts w:hint="eastAsia"/>
                <w:color w:val="auto"/>
                <w:lang w:eastAsia="zh-CN"/>
              </w:rPr>
            </w:pPr>
            <w:r>
              <w:rPr>
                <w:rFonts w:hint="eastAsia"/>
                <w:color w:val="auto"/>
                <w:lang w:val="en-US" w:eastAsia="zh-CN"/>
              </w:rPr>
              <w:t>0.01L</w:t>
            </w:r>
          </w:p>
        </w:tc>
        <w:tc>
          <w:tcPr>
            <w:tcW w:w="1013" w:type="dxa"/>
            <w:tcBorders>
              <w:tl2br w:val="nil"/>
              <w:tr2bl w:val="nil"/>
            </w:tcBorders>
            <w:noWrap w:val="0"/>
            <w:vAlign w:val="center"/>
          </w:tcPr>
          <w:p>
            <w:pPr>
              <w:pStyle w:val="307"/>
              <w:ind w:firstLine="0" w:firstLineChars="0"/>
              <w:rPr>
                <w:rFonts w:hint="eastAsia"/>
                <w:color w:val="auto"/>
                <w:lang w:eastAsia="zh-CN"/>
              </w:rPr>
            </w:pPr>
            <w:r>
              <w:rPr>
                <w:rFonts w:hint="eastAsia"/>
                <w:color w:val="auto"/>
                <w:lang w:val="en-US" w:eastAsia="zh-CN"/>
              </w:rPr>
              <w:t>0.01L</w:t>
            </w:r>
          </w:p>
        </w:tc>
        <w:tc>
          <w:tcPr>
            <w:tcW w:w="1015" w:type="dxa"/>
            <w:tcBorders>
              <w:tl2br w:val="nil"/>
              <w:tr2bl w:val="nil"/>
            </w:tcBorders>
            <w:noWrap w:val="0"/>
            <w:vAlign w:val="center"/>
          </w:tcPr>
          <w:p>
            <w:pPr>
              <w:pStyle w:val="307"/>
              <w:ind w:firstLine="0" w:firstLineChars="0"/>
              <w:rPr>
                <w:rFonts w:hint="eastAsia"/>
                <w:color w:val="auto"/>
                <w:lang w:eastAsia="zh-CN"/>
              </w:rPr>
            </w:pPr>
            <w:r>
              <w:rPr>
                <w:rFonts w:hint="eastAsia"/>
                <w:color w:val="auto"/>
                <w:lang w:val="en-US" w:eastAsia="zh-CN"/>
              </w:rPr>
              <w:t>0.01L</w:t>
            </w:r>
          </w:p>
        </w:tc>
      </w:tr>
    </w:tbl>
    <w:p>
      <w:pPr>
        <w:pStyle w:val="240"/>
        <w:rPr>
          <w:rFonts w:ascii="Times New Roman" w:hAnsi="Times New Roman" w:cs="Times New Roman" w:eastAsiaTheme="minorEastAsia"/>
          <w:color w:val="auto"/>
        </w:rPr>
      </w:pPr>
      <w:bookmarkStart w:id="180" w:name="_Toc472326846"/>
      <w:bookmarkStart w:id="181" w:name="_Toc525827484"/>
      <w:r>
        <w:rPr>
          <w:rFonts w:ascii="Times New Roman" w:hAnsi="Times New Roman" w:cs="Times New Roman" w:eastAsiaTheme="minorEastAsia"/>
          <w:color w:val="auto"/>
        </w:rPr>
        <w:t>4.</w:t>
      </w:r>
      <w:r>
        <w:rPr>
          <w:rFonts w:hint="eastAsia" w:ascii="Times New Roman" w:hAnsi="Times New Roman" w:cs="Times New Roman" w:eastAsiaTheme="minorEastAsia"/>
          <w:color w:val="auto"/>
        </w:rPr>
        <w:t>4</w:t>
      </w:r>
      <w:r>
        <w:rPr>
          <w:rFonts w:ascii="Times New Roman" w:hAnsi="Times New Roman" w:cs="Times New Roman" w:eastAsiaTheme="minorEastAsia"/>
          <w:color w:val="auto"/>
        </w:rPr>
        <w:t>.3 地表水环境质量现状评价结论</w:t>
      </w:r>
      <w:bookmarkEnd w:id="180"/>
      <w:bookmarkEnd w:id="181"/>
    </w:p>
    <w:p>
      <w:pPr>
        <w:pStyle w:val="276"/>
        <w:rPr>
          <w:rFonts w:eastAsiaTheme="minorEastAsia"/>
          <w:color w:val="auto"/>
        </w:rPr>
      </w:pPr>
      <w:r>
        <w:rPr>
          <w:rFonts w:cs="Times New Roman"/>
          <w:color w:val="auto"/>
        </w:rPr>
        <w:t>监测结果</w:t>
      </w:r>
      <w:r>
        <w:rPr>
          <w:rFonts w:hint="eastAsia" w:cs="Times New Roman"/>
          <w:color w:val="auto"/>
          <w:lang w:eastAsia="zh-CN"/>
        </w:rPr>
        <w:t>表明</w:t>
      </w:r>
      <w:r>
        <w:rPr>
          <w:rFonts w:hint="eastAsia" w:cs="Times New Roman"/>
          <w:color w:val="auto"/>
        </w:rPr>
        <w:t>，松花江佳木斯3</w:t>
      </w:r>
      <w:r>
        <w:rPr>
          <w:rFonts w:cs="Times New Roman"/>
          <w:color w:val="auto"/>
        </w:rPr>
        <w:t>个断面的监测项目</w:t>
      </w:r>
      <w:r>
        <w:rPr>
          <w:rFonts w:hint="eastAsia" w:cs="Times New Roman"/>
          <w:color w:val="auto"/>
        </w:rPr>
        <w:t>中，各断面</w:t>
      </w:r>
      <w:r>
        <w:rPr>
          <w:rFonts w:cs="Times New Roman"/>
          <w:color w:val="auto"/>
        </w:rPr>
        <w:t>均未出现超标</w:t>
      </w:r>
      <w:r>
        <w:rPr>
          <w:rFonts w:hint="eastAsia" w:cs="Times New Roman"/>
          <w:color w:val="auto"/>
        </w:rPr>
        <w:t>现象</w:t>
      </w:r>
      <w:r>
        <w:rPr>
          <w:rFonts w:cs="Times New Roman"/>
          <w:color w:val="auto"/>
        </w:rPr>
        <w:t>，水质能够达到《地表水环境质量标准》（GB3838-2002）</w:t>
      </w:r>
      <w:r>
        <w:rPr>
          <w:rFonts w:hint="eastAsia" w:cs="Times New Roman"/>
          <w:color w:val="auto"/>
        </w:rPr>
        <w:t>IV</w:t>
      </w:r>
      <w:r>
        <w:rPr>
          <w:rFonts w:cs="Times New Roman"/>
          <w:color w:val="auto"/>
        </w:rPr>
        <w:t>类标准。</w:t>
      </w:r>
    </w:p>
    <w:p>
      <w:pPr>
        <w:pStyle w:val="238"/>
        <w:rPr>
          <w:rFonts w:hAnsi="Times New Roman" w:eastAsiaTheme="minorEastAsia"/>
          <w:color w:val="auto"/>
        </w:rPr>
      </w:pPr>
      <w:bookmarkStart w:id="182" w:name="_Toc519693575"/>
      <w:r>
        <w:rPr>
          <w:rFonts w:hAnsi="Times New Roman" w:eastAsiaTheme="minorEastAsia"/>
          <w:color w:val="auto"/>
        </w:rPr>
        <w:t>4.</w:t>
      </w:r>
      <w:r>
        <w:rPr>
          <w:rFonts w:hAnsi="Times New Roman" w:eastAsiaTheme="minorEastAsia"/>
          <w:color w:val="auto"/>
        </w:rPr>
        <w:t>5声环境质量现状评价</w:t>
      </w:r>
      <w:bookmarkEnd w:id="174"/>
      <w:bookmarkEnd w:id="175"/>
      <w:bookmarkEnd w:id="176"/>
      <w:bookmarkEnd w:id="177"/>
      <w:bookmarkEnd w:id="182"/>
    </w:p>
    <w:p>
      <w:pPr>
        <w:pStyle w:val="240"/>
        <w:rPr>
          <w:rFonts w:ascii="Times New Roman" w:hAnsi="Times New Roman" w:cs="Times New Roman" w:eastAsiaTheme="minorEastAsia"/>
          <w:color w:val="auto"/>
        </w:rPr>
      </w:pPr>
      <w:bookmarkStart w:id="183" w:name="_Toc440973753"/>
      <w:bookmarkStart w:id="184" w:name="_Toc440973487"/>
      <w:bookmarkStart w:id="185" w:name="_Toc440973117"/>
      <w:bookmarkStart w:id="186" w:name="_Toc419096887"/>
      <w:r>
        <w:rPr>
          <w:rFonts w:ascii="Times New Roman" w:hAnsi="Times New Roman" w:cs="Times New Roman" w:eastAsiaTheme="minorEastAsia"/>
          <w:color w:val="auto"/>
        </w:rPr>
        <w:t>4.5.1声环境质量现状监测</w:t>
      </w:r>
      <w:bookmarkEnd w:id="183"/>
      <w:bookmarkEnd w:id="184"/>
      <w:bookmarkEnd w:id="185"/>
      <w:bookmarkEnd w:id="186"/>
    </w:p>
    <w:p>
      <w:pPr>
        <w:pStyle w:val="276"/>
        <w:rPr>
          <w:rFonts w:eastAsiaTheme="minorEastAsia"/>
          <w:color w:val="auto"/>
        </w:rPr>
      </w:pPr>
      <w:r>
        <w:rPr>
          <w:rFonts w:eastAsiaTheme="minorEastAsia"/>
          <w:color w:val="auto"/>
        </w:rPr>
        <w:t>本评价声环境质量现状委托</w:t>
      </w:r>
      <w:r>
        <w:rPr>
          <w:rFonts w:hint="eastAsia" w:eastAsiaTheme="minorEastAsia"/>
          <w:color w:val="auto"/>
          <w:lang w:eastAsia="zh-CN"/>
        </w:rPr>
        <w:t>黑龙江省华谱监测科技有限公司</w:t>
      </w:r>
      <w:r>
        <w:rPr>
          <w:rFonts w:eastAsiaTheme="minorEastAsia"/>
          <w:color w:val="auto"/>
        </w:rPr>
        <w:t>进行监测。</w:t>
      </w:r>
    </w:p>
    <w:p>
      <w:pPr>
        <w:pStyle w:val="276"/>
        <w:rPr>
          <w:rFonts w:eastAsiaTheme="minorEastAsia"/>
          <w:color w:val="auto"/>
        </w:rPr>
      </w:pPr>
      <w:r>
        <w:rPr>
          <w:rFonts w:eastAsiaTheme="minorEastAsia"/>
          <w:color w:val="auto"/>
        </w:rPr>
        <w:t>（1）监测内容</w:t>
      </w:r>
    </w:p>
    <w:p>
      <w:pPr>
        <w:pStyle w:val="276"/>
        <w:rPr>
          <w:rFonts w:eastAsiaTheme="minorEastAsia"/>
          <w:color w:val="auto"/>
        </w:rPr>
      </w:pPr>
      <w:r>
        <w:rPr>
          <w:rFonts w:eastAsiaTheme="minorEastAsia"/>
          <w:color w:val="auto"/>
        </w:rPr>
        <w:t>昼夜噪声等效A声级。</w:t>
      </w:r>
    </w:p>
    <w:p>
      <w:pPr>
        <w:pStyle w:val="276"/>
        <w:rPr>
          <w:rFonts w:eastAsiaTheme="minorEastAsia"/>
          <w:color w:val="auto"/>
        </w:rPr>
      </w:pPr>
      <w:r>
        <w:rPr>
          <w:rFonts w:eastAsiaTheme="minorEastAsia"/>
          <w:color w:val="auto"/>
        </w:rPr>
        <w:t>（2）监测点布设</w:t>
      </w:r>
    </w:p>
    <w:p>
      <w:pPr>
        <w:pStyle w:val="276"/>
        <w:rPr>
          <w:rFonts w:eastAsiaTheme="minorEastAsia"/>
          <w:color w:val="auto"/>
        </w:rPr>
      </w:pPr>
      <w:r>
        <w:rPr>
          <w:rFonts w:hint="eastAsia" w:eastAsiaTheme="minorEastAsia"/>
          <w:color w:val="auto"/>
          <w:lang w:eastAsia="zh-CN"/>
        </w:rPr>
        <w:t>在采场及工业场地</w:t>
      </w:r>
      <w:r>
        <w:rPr>
          <w:rFonts w:eastAsiaTheme="minorEastAsia"/>
          <w:color w:val="auto"/>
        </w:rPr>
        <w:t>厂界四周</w:t>
      </w:r>
      <w:r>
        <w:rPr>
          <w:rFonts w:hint="eastAsia" w:eastAsiaTheme="minorEastAsia"/>
          <w:color w:val="auto"/>
          <w:lang w:eastAsia="zh-CN"/>
        </w:rPr>
        <w:t>各</w:t>
      </w:r>
      <w:r>
        <w:rPr>
          <w:rFonts w:eastAsiaTheme="minorEastAsia"/>
          <w:color w:val="auto"/>
        </w:rPr>
        <w:t>设置</w:t>
      </w:r>
      <w:r>
        <w:rPr>
          <w:rFonts w:hint="eastAsia" w:eastAsiaTheme="minorEastAsia"/>
          <w:color w:val="auto"/>
          <w:lang w:val="en-US" w:eastAsia="zh-CN"/>
        </w:rPr>
        <w:t>1</w:t>
      </w:r>
      <w:r>
        <w:rPr>
          <w:rFonts w:eastAsiaTheme="minorEastAsia"/>
          <w:color w:val="auto"/>
        </w:rPr>
        <w:t>个监测点位，监测点位见表4-5-1及图4-3-1。</w:t>
      </w:r>
    </w:p>
    <w:p>
      <w:pPr>
        <w:pStyle w:val="18"/>
        <w:spacing w:before="120" w:line="500" w:lineRule="exact"/>
        <w:rPr>
          <w:rFonts w:eastAsiaTheme="minorEastAsia"/>
          <w:bCs/>
          <w:color w:val="auto"/>
          <w:sz w:val="24"/>
          <w:szCs w:val="24"/>
        </w:rPr>
      </w:pPr>
      <w:r>
        <w:rPr>
          <w:rFonts w:eastAsiaTheme="minorEastAsia"/>
          <w:bCs/>
          <w:color w:val="auto"/>
          <w:sz w:val="24"/>
          <w:szCs w:val="24"/>
        </w:rPr>
        <w:t>表4</w:t>
      </w:r>
      <w:r>
        <w:rPr>
          <w:rFonts w:eastAsiaTheme="minorEastAsia"/>
          <w:bCs/>
          <w:color w:val="auto"/>
          <w:sz w:val="24"/>
          <w:szCs w:val="24"/>
          <w:lang w:val="en-US"/>
        </w:rPr>
        <w:t>-</w:t>
      </w:r>
      <w:r>
        <w:rPr>
          <w:rFonts w:eastAsiaTheme="minorEastAsia"/>
          <w:bCs/>
          <w:color w:val="auto"/>
          <w:sz w:val="24"/>
          <w:szCs w:val="24"/>
        </w:rPr>
        <w:t>5-1  声环境质量现状监测点位</w:t>
      </w:r>
    </w:p>
    <w:tbl>
      <w:tblPr>
        <w:tblStyle w:val="53"/>
        <w:tblW w:w="8522" w:type="dxa"/>
        <w:jc w:val="center"/>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4490"/>
        <w:gridCol w:w="4032"/>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12" w:hRule="atLeast"/>
          <w:jc w:val="center"/>
        </w:trPr>
        <w:tc>
          <w:tcPr>
            <w:tcW w:w="8522" w:type="dxa"/>
            <w:gridSpan w:val="2"/>
            <w:vMerge w:val="restart"/>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检测点位</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12" w:hRule="atLeast"/>
          <w:jc w:val="center"/>
        </w:trPr>
        <w:tc>
          <w:tcPr>
            <w:tcW w:w="8522" w:type="dxa"/>
            <w:gridSpan w:val="2"/>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Times New Roman" w:hAnsi="Times New Roman" w:cs="Times New Roman"/>
                <w:color w:val="auto"/>
                <w:szCs w:val="21"/>
                <w:highlight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3" w:hRule="atLeast"/>
          <w:jc w:val="center"/>
        </w:trPr>
        <w:tc>
          <w:tcPr>
            <w:tcW w:w="4490" w:type="dxa"/>
            <w:vMerge w:val="restart"/>
            <w:tcBorders>
              <w:right w:val="single" w:color="auto" w:sz="4" w:space="0"/>
              <w:tl2br w:val="nil"/>
              <w:tr2bl w:val="nil"/>
            </w:tcBorders>
            <w:vAlign w:val="center"/>
          </w:tcPr>
          <w:p>
            <w:pPr>
              <w:keepNext w:val="0"/>
              <w:keepLines w:val="0"/>
              <w:pageBreakBefore w:val="0"/>
              <w:widowControl/>
              <w:kinsoku/>
              <w:wordWrap/>
              <w:overflowPunct/>
              <w:topLinePunct w:val="0"/>
              <w:autoSpaceDE/>
              <w:autoSpaceDN/>
              <w:bidi w:val="0"/>
              <w:spacing w:line="240" w:lineRule="auto"/>
              <w:jc w:val="center"/>
              <w:textAlignment w:val="auto"/>
              <w:outlineLvl w:val="9"/>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工业场地</w:t>
            </w:r>
          </w:p>
        </w:tc>
        <w:tc>
          <w:tcPr>
            <w:tcW w:w="4032" w:type="dxa"/>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spacing w:line="240" w:lineRule="auto"/>
              <w:jc w:val="center"/>
              <w:textAlignment w:val="auto"/>
              <w:outlineLvl w:val="9"/>
              <w:rPr>
                <w:rFonts w:hint="eastAsia" w:ascii="Times New Roman" w:hAnsi="Times New Roman"/>
                <w:color w:val="auto"/>
                <w:kern w:val="0"/>
                <w:sz w:val="21"/>
                <w:szCs w:val="21"/>
                <w:lang w:val="en-US" w:eastAsia="zh-CN"/>
              </w:rPr>
            </w:pPr>
            <w:r>
              <w:rPr>
                <w:rFonts w:hint="eastAsia" w:ascii="Times New Roman" w:hAnsi="Times New Roman"/>
                <w:color w:val="auto"/>
                <w:kern w:val="0"/>
                <w:sz w:val="21"/>
                <w:szCs w:val="21"/>
                <w:lang w:val="en-US" w:eastAsia="zh-CN"/>
              </w:rPr>
              <w:t>1#北厂界</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3" w:hRule="atLeast"/>
          <w:jc w:val="center"/>
        </w:trPr>
        <w:tc>
          <w:tcPr>
            <w:tcW w:w="4490" w:type="dxa"/>
            <w:vMerge w:val="continue"/>
            <w:tcBorders>
              <w:right w:val="single" w:color="auto" w:sz="4" w:space="0"/>
              <w:tl2br w:val="nil"/>
              <w:tr2bl w:val="nil"/>
            </w:tcBorders>
            <w:vAlign w:val="center"/>
          </w:tcPr>
          <w:p>
            <w:pPr>
              <w:keepNext w:val="0"/>
              <w:keepLines w:val="0"/>
              <w:pageBreakBefore w:val="0"/>
              <w:widowControl/>
              <w:kinsoku/>
              <w:wordWrap/>
              <w:overflowPunct/>
              <w:topLinePunct w:val="0"/>
              <w:autoSpaceDE/>
              <w:autoSpaceDN/>
              <w:bidi w:val="0"/>
              <w:spacing w:line="240" w:lineRule="auto"/>
              <w:jc w:val="center"/>
              <w:textAlignment w:val="auto"/>
              <w:outlineLvl w:val="9"/>
              <w:rPr>
                <w:rFonts w:hint="eastAsia" w:ascii="Times New Roman" w:hAnsi="Times New Roman" w:cs="Times New Roman" w:eastAsiaTheme="minorEastAsia"/>
                <w:color w:val="auto"/>
                <w:szCs w:val="21"/>
                <w:highlight w:val="none"/>
                <w:lang w:val="en-US" w:eastAsia="zh-CN"/>
              </w:rPr>
            </w:pPr>
          </w:p>
        </w:tc>
        <w:tc>
          <w:tcPr>
            <w:tcW w:w="4032" w:type="dxa"/>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spacing w:line="240" w:lineRule="auto"/>
              <w:jc w:val="center"/>
              <w:textAlignment w:val="auto"/>
              <w:outlineLvl w:val="9"/>
              <w:rPr>
                <w:rFonts w:hint="eastAsia" w:ascii="Times New Roman" w:hAnsi="Times New Roman"/>
                <w:color w:val="auto"/>
                <w:kern w:val="0"/>
                <w:sz w:val="21"/>
                <w:szCs w:val="21"/>
                <w:lang w:val="en-US" w:eastAsia="zh-CN"/>
              </w:rPr>
            </w:pPr>
            <w:r>
              <w:rPr>
                <w:rFonts w:hint="eastAsia" w:ascii="Times New Roman" w:hAnsi="Times New Roman"/>
                <w:color w:val="auto"/>
                <w:kern w:val="0"/>
                <w:sz w:val="21"/>
                <w:szCs w:val="21"/>
                <w:lang w:val="en-US" w:eastAsia="zh-CN"/>
              </w:rPr>
              <w:t>2#西厂界</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3" w:hRule="atLeast"/>
          <w:jc w:val="center"/>
        </w:trPr>
        <w:tc>
          <w:tcPr>
            <w:tcW w:w="4490" w:type="dxa"/>
            <w:vMerge w:val="continue"/>
            <w:tcBorders>
              <w:right w:val="single" w:color="auto" w:sz="4" w:space="0"/>
              <w:tl2br w:val="nil"/>
              <w:tr2bl w:val="nil"/>
            </w:tcBorders>
            <w:vAlign w:val="center"/>
          </w:tcPr>
          <w:p>
            <w:pPr>
              <w:keepNext w:val="0"/>
              <w:keepLines w:val="0"/>
              <w:pageBreakBefore w:val="0"/>
              <w:widowControl/>
              <w:kinsoku/>
              <w:wordWrap/>
              <w:overflowPunct/>
              <w:topLinePunct w:val="0"/>
              <w:autoSpaceDE/>
              <w:autoSpaceDN/>
              <w:bidi w:val="0"/>
              <w:spacing w:line="240" w:lineRule="auto"/>
              <w:jc w:val="center"/>
              <w:textAlignment w:val="auto"/>
              <w:outlineLvl w:val="9"/>
              <w:rPr>
                <w:rFonts w:hint="eastAsia" w:ascii="Times New Roman" w:hAnsi="Times New Roman" w:cs="Times New Roman" w:eastAsiaTheme="minorEastAsia"/>
                <w:color w:val="auto"/>
                <w:szCs w:val="21"/>
                <w:highlight w:val="none"/>
                <w:lang w:val="en-US" w:eastAsia="zh-CN"/>
              </w:rPr>
            </w:pPr>
          </w:p>
        </w:tc>
        <w:tc>
          <w:tcPr>
            <w:tcW w:w="4032" w:type="dxa"/>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spacing w:line="240" w:lineRule="auto"/>
              <w:jc w:val="center"/>
              <w:textAlignment w:val="auto"/>
              <w:outlineLvl w:val="9"/>
              <w:rPr>
                <w:rFonts w:hint="eastAsia" w:ascii="Times New Roman" w:hAnsi="Times New Roman"/>
                <w:color w:val="auto"/>
                <w:kern w:val="0"/>
                <w:sz w:val="21"/>
                <w:szCs w:val="21"/>
                <w:lang w:val="en-US" w:eastAsia="zh-CN"/>
              </w:rPr>
            </w:pPr>
            <w:r>
              <w:rPr>
                <w:rFonts w:hint="eastAsia" w:ascii="Times New Roman" w:hAnsi="Times New Roman"/>
                <w:color w:val="auto"/>
                <w:kern w:val="0"/>
                <w:sz w:val="21"/>
                <w:szCs w:val="21"/>
                <w:lang w:val="en-US" w:eastAsia="zh-CN"/>
              </w:rPr>
              <w:t>3#南厂界</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3" w:hRule="atLeast"/>
          <w:jc w:val="center"/>
        </w:trPr>
        <w:tc>
          <w:tcPr>
            <w:tcW w:w="4490" w:type="dxa"/>
            <w:vMerge w:val="continue"/>
            <w:tcBorders>
              <w:right w:val="single" w:color="auto" w:sz="4" w:space="0"/>
              <w:tl2br w:val="nil"/>
              <w:tr2bl w:val="nil"/>
            </w:tcBorders>
            <w:vAlign w:val="center"/>
          </w:tcPr>
          <w:p>
            <w:pPr>
              <w:keepNext w:val="0"/>
              <w:keepLines w:val="0"/>
              <w:pageBreakBefore w:val="0"/>
              <w:widowControl/>
              <w:kinsoku/>
              <w:wordWrap/>
              <w:overflowPunct/>
              <w:topLinePunct w:val="0"/>
              <w:autoSpaceDE/>
              <w:autoSpaceDN/>
              <w:bidi w:val="0"/>
              <w:spacing w:line="240" w:lineRule="auto"/>
              <w:jc w:val="center"/>
              <w:textAlignment w:val="auto"/>
              <w:outlineLvl w:val="9"/>
              <w:rPr>
                <w:rFonts w:hint="eastAsia" w:ascii="Times New Roman" w:hAnsi="Times New Roman" w:cs="Times New Roman" w:eastAsiaTheme="minorEastAsia"/>
                <w:color w:val="auto"/>
                <w:szCs w:val="21"/>
                <w:highlight w:val="none"/>
                <w:lang w:val="en-US" w:eastAsia="zh-CN"/>
              </w:rPr>
            </w:pPr>
          </w:p>
        </w:tc>
        <w:tc>
          <w:tcPr>
            <w:tcW w:w="4032" w:type="dxa"/>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spacing w:line="240" w:lineRule="auto"/>
              <w:jc w:val="center"/>
              <w:textAlignment w:val="auto"/>
              <w:outlineLvl w:val="9"/>
              <w:rPr>
                <w:rFonts w:hint="eastAsia" w:ascii="Times New Roman" w:hAnsi="Times New Roman"/>
                <w:color w:val="auto"/>
                <w:kern w:val="0"/>
                <w:sz w:val="21"/>
                <w:szCs w:val="21"/>
                <w:lang w:val="en-US" w:eastAsia="zh-CN"/>
              </w:rPr>
            </w:pPr>
            <w:r>
              <w:rPr>
                <w:rFonts w:hint="eastAsia" w:ascii="Times New Roman" w:hAnsi="Times New Roman"/>
                <w:color w:val="auto"/>
                <w:kern w:val="0"/>
                <w:sz w:val="21"/>
                <w:szCs w:val="21"/>
                <w:lang w:val="en-US" w:eastAsia="zh-CN"/>
              </w:rPr>
              <w:t>4#东厂界</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3" w:hRule="atLeast"/>
          <w:jc w:val="center"/>
        </w:trPr>
        <w:tc>
          <w:tcPr>
            <w:tcW w:w="4490" w:type="dxa"/>
            <w:vMerge w:val="restart"/>
            <w:tcBorders>
              <w:right w:val="single" w:color="auto" w:sz="4" w:space="0"/>
              <w:tl2br w:val="nil"/>
              <w:tr2bl w:val="nil"/>
            </w:tcBorders>
            <w:vAlign w:val="center"/>
          </w:tcPr>
          <w:p>
            <w:pPr>
              <w:keepNext w:val="0"/>
              <w:keepLines w:val="0"/>
              <w:pageBreakBefore w:val="0"/>
              <w:widowControl/>
              <w:kinsoku/>
              <w:wordWrap/>
              <w:overflowPunct/>
              <w:topLinePunct w:val="0"/>
              <w:autoSpaceDE/>
              <w:autoSpaceDN/>
              <w:bidi w:val="0"/>
              <w:spacing w:line="240" w:lineRule="auto"/>
              <w:jc w:val="center"/>
              <w:textAlignment w:val="auto"/>
              <w:outlineLvl w:val="9"/>
              <w:rPr>
                <w:rFonts w:hint="eastAsia" w:ascii="Times New Roman" w:hAnsi="Times New Roman"/>
                <w:color w:val="auto"/>
                <w:kern w:val="0"/>
                <w:sz w:val="21"/>
                <w:szCs w:val="21"/>
                <w:lang w:val="en-US" w:eastAsia="zh-CN"/>
              </w:rPr>
            </w:pPr>
            <w:r>
              <w:rPr>
                <w:rFonts w:hint="eastAsia" w:ascii="Times New Roman" w:hAnsi="Times New Roman" w:cs="Times New Roman"/>
                <w:color w:val="auto"/>
                <w:szCs w:val="21"/>
                <w:highlight w:val="none"/>
                <w:lang w:val="en-US" w:eastAsia="zh-CN"/>
              </w:rPr>
              <w:t>采场</w:t>
            </w:r>
          </w:p>
        </w:tc>
        <w:tc>
          <w:tcPr>
            <w:tcW w:w="4032" w:type="dxa"/>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spacing w:line="240" w:lineRule="auto"/>
              <w:jc w:val="center"/>
              <w:textAlignment w:val="auto"/>
              <w:outlineLvl w:val="9"/>
              <w:rPr>
                <w:rFonts w:hint="eastAsia" w:ascii="Times New Roman" w:hAnsi="Times New Roman"/>
                <w:color w:val="auto"/>
                <w:kern w:val="0"/>
                <w:sz w:val="21"/>
                <w:szCs w:val="21"/>
                <w:lang w:val="en-US" w:eastAsia="zh-CN"/>
              </w:rPr>
            </w:pPr>
            <w:r>
              <w:rPr>
                <w:rFonts w:hint="eastAsia" w:ascii="Times New Roman" w:hAnsi="Times New Roman"/>
                <w:color w:val="auto"/>
                <w:kern w:val="0"/>
                <w:sz w:val="21"/>
                <w:szCs w:val="21"/>
                <w:lang w:val="en-US" w:eastAsia="zh-CN"/>
              </w:rPr>
              <w:t>5#北厂界</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3" w:hRule="atLeast"/>
          <w:jc w:val="center"/>
        </w:trPr>
        <w:tc>
          <w:tcPr>
            <w:tcW w:w="4490" w:type="dxa"/>
            <w:vMerge w:val="continue"/>
            <w:tcBorders>
              <w:right w:val="single" w:color="auto" w:sz="4" w:space="0"/>
              <w:tl2br w:val="nil"/>
              <w:tr2bl w:val="nil"/>
            </w:tcBorders>
            <w:vAlign w:val="center"/>
          </w:tcPr>
          <w:p>
            <w:pPr>
              <w:keepNext w:val="0"/>
              <w:keepLines w:val="0"/>
              <w:pageBreakBefore w:val="0"/>
              <w:widowControl/>
              <w:kinsoku/>
              <w:wordWrap/>
              <w:overflowPunct/>
              <w:topLinePunct w:val="0"/>
              <w:autoSpaceDE/>
              <w:autoSpaceDN/>
              <w:bidi w:val="0"/>
              <w:spacing w:line="240" w:lineRule="auto"/>
              <w:jc w:val="center"/>
              <w:textAlignment w:val="auto"/>
              <w:outlineLvl w:val="9"/>
              <w:rPr>
                <w:rFonts w:hint="eastAsia" w:ascii="Times New Roman" w:hAnsi="Times New Roman"/>
                <w:color w:val="auto"/>
                <w:kern w:val="0"/>
                <w:sz w:val="21"/>
                <w:szCs w:val="21"/>
                <w:lang w:val="en-US" w:eastAsia="zh-CN"/>
              </w:rPr>
            </w:pPr>
          </w:p>
        </w:tc>
        <w:tc>
          <w:tcPr>
            <w:tcW w:w="4032" w:type="dxa"/>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spacing w:line="240" w:lineRule="auto"/>
              <w:jc w:val="center"/>
              <w:textAlignment w:val="auto"/>
              <w:outlineLvl w:val="9"/>
              <w:rPr>
                <w:rFonts w:hint="eastAsia" w:ascii="Times New Roman" w:hAnsi="Times New Roman"/>
                <w:color w:val="auto"/>
                <w:kern w:val="0"/>
                <w:sz w:val="21"/>
                <w:szCs w:val="21"/>
                <w:lang w:val="en-US" w:eastAsia="zh-CN"/>
              </w:rPr>
            </w:pPr>
            <w:r>
              <w:rPr>
                <w:rFonts w:hint="eastAsia" w:ascii="Times New Roman" w:hAnsi="Times New Roman"/>
                <w:color w:val="auto"/>
                <w:kern w:val="0"/>
                <w:sz w:val="21"/>
                <w:szCs w:val="21"/>
                <w:lang w:val="en-US" w:eastAsia="zh-CN"/>
              </w:rPr>
              <w:t>6#南厂界</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3" w:hRule="atLeast"/>
          <w:jc w:val="center"/>
        </w:trPr>
        <w:tc>
          <w:tcPr>
            <w:tcW w:w="4490" w:type="dxa"/>
            <w:vMerge w:val="continue"/>
            <w:tcBorders>
              <w:right w:val="single" w:color="auto" w:sz="4" w:space="0"/>
              <w:tl2br w:val="nil"/>
              <w:tr2bl w:val="nil"/>
            </w:tcBorders>
            <w:vAlign w:val="center"/>
          </w:tcPr>
          <w:p>
            <w:pPr>
              <w:keepNext w:val="0"/>
              <w:keepLines w:val="0"/>
              <w:pageBreakBefore w:val="0"/>
              <w:widowControl/>
              <w:kinsoku/>
              <w:wordWrap/>
              <w:overflowPunct/>
              <w:topLinePunct w:val="0"/>
              <w:autoSpaceDE/>
              <w:autoSpaceDN/>
              <w:bidi w:val="0"/>
              <w:spacing w:line="240" w:lineRule="auto"/>
              <w:jc w:val="center"/>
              <w:textAlignment w:val="auto"/>
              <w:outlineLvl w:val="9"/>
              <w:rPr>
                <w:rFonts w:hint="eastAsia" w:ascii="Times New Roman" w:hAnsi="Times New Roman"/>
                <w:color w:val="auto"/>
                <w:kern w:val="0"/>
                <w:sz w:val="21"/>
                <w:szCs w:val="21"/>
                <w:lang w:val="en-US" w:eastAsia="zh-CN"/>
              </w:rPr>
            </w:pPr>
          </w:p>
        </w:tc>
        <w:tc>
          <w:tcPr>
            <w:tcW w:w="4032" w:type="dxa"/>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spacing w:line="240" w:lineRule="auto"/>
              <w:jc w:val="center"/>
              <w:textAlignment w:val="auto"/>
              <w:outlineLvl w:val="9"/>
              <w:rPr>
                <w:rFonts w:hint="eastAsia" w:ascii="Times New Roman" w:hAnsi="Times New Roman"/>
                <w:color w:val="auto"/>
                <w:kern w:val="0"/>
                <w:sz w:val="21"/>
                <w:szCs w:val="21"/>
                <w:lang w:val="en-US" w:eastAsia="zh-CN"/>
              </w:rPr>
            </w:pPr>
            <w:r>
              <w:rPr>
                <w:rFonts w:hint="eastAsia" w:ascii="Times New Roman" w:hAnsi="Times New Roman"/>
                <w:color w:val="auto"/>
                <w:kern w:val="0"/>
                <w:sz w:val="21"/>
                <w:szCs w:val="21"/>
                <w:lang w:val="en-US" w:eastAsia="zh-CN"/>
              </w:rPr>
              <w:t>7#西厂界</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3" w:hRule="atLeast"/>
          <w:jc w:val="center"/>
        </w:trPr>
        <w:tc>
          <w:tcPr>
            <w:tcW w:w="4490" w:type="dxa"/>
            <w:vMerge w:val="continue"/>
            <w:tcBorders>
              <w:right w:val="single" w:color="auto" w:sz="4" w:space="0"/>
              <w:tl2br w:val="nil"/>
              <w:tr2bl w:val="nil"/>
            </w:tcBorders>
            <w:vAlign w:val="center"/>
          </w:tcPr>
          <w:p>
            <w:pPr>
              <w:keepNext w:val="0"/>
              <w:keepLines w:val="0"/>
              <w:pageBreakBefore w:val="0"/>
              <w:widowControl/>
              <w:kinsoku/>
              <w:wordWrap/>
              <w:overflowPunct/>
              <w:topLinePunct w:val="0"/>
              <w:autoSpaceDE/>
              <w:autoSpaceDN/>
              <w:bidi w:val="0"/>
              <w:spacing w:line="240" w:lineRule="auto"/>
              <w:jc w:val="center"/>
              <w:textAlignment w:val="auto"/>
              <w:outlineLvl w:val="9"/>
              <w:rPr>
                <w:rFonts w:hint="eastAsia" w:ascii="Times New Roman" w:hAnsi="Times New Roman"/>
                <w:color w:val="auto"/>
                <w:kern w:val="0"/>
                <w:sz w:val="21"/>
                <w:szCs w:val="21"/>
                <w:lang w:val="en-US" w:eastAsia="zh-CN"/>
              </w:rPr>
            </w:pPr>
          </w:p>
        </w:tc>
        <w:tc>
          <w:tcPr>
            <w:tcW w:w="4032" w:type="dxa"/>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spacing w:line="240" w:lineRule="auto"/>
              <w:jc w:val="center"/>
              <w:textAlignment w:val="auto"/>
              <w:outlineLvl w:val="9"/>
              <w:rPr>
                <w:rFonts w:hint="eastAsia" w:ascii="Times New Roman" w:hAnsi="Times New Roman"/>
                <w:color w:val="auto"/>
                <w:kern w:val="0"/>
                <w:sz w:val="21"/>
                <w:szCs w:val="21"/>
                <w:lang w:val="en-US" w:eastAsia="zh-CN"/>
              </w:rPr>
            </w:pPr>
            <w:r>
              <w:rPr>
                <w:rFonts w:hint="eastAsia" w:ascii="Times New Roman" w:hAnsi="Times New Roman"/>
                <w:color w:val="auto"/>
                <w:kern w:val="0"/>
                <w:sz w:val="21"/>
                <w:szCs w:val="21"/>
                <w:lang w:val="en-US" w:eastAsia="zh-CN"/>
              </w:rPr>
              <w:t>8#东厂界</w:t>
            </w:r>
          </w:p>
        </w:tc>
      </w:tr>
    </w:tbl>
    <w:p>
      <w:pPr>
        <w:pStyle w:val="276"/>
        <w:keepNext w:val="0"/>
        <w:keepLines w:val="0"/>
        <w:pageBreakBefore w:val="0"/>
        <w:widowControl w:val="0"/>
        <w:kinsoku/>
        <w:wordWrap/>
        <w:overflowPunct/>
        <w:topLinePunct w:val="0"/>
        <w:autoSpaceDE/>
        <w:autoSpaceDN/>
        <w:bidi w:val="0"/>
        <w:adjustRightInd/>
        <w:snapToGrid/>
        <w:spacing w:line="240" w:lineRule="auto"/>
        <w:textAlignment w:val="auto"/>
        <w:outlineLvl w:val="9"/>
        <w:rPr>
          <w:color w:val="auto"/>
        </w:rPr>
      </w:pPr>
      <w:r>
        <w:rPr>
          <w:color w:val="auto"/>
        </w:rPr>
        <w:drawing>
          <wp:inline distT="0" distB="0" distL="114300" distR="114300">
            <wp:extent cx="4709160" cy="3667125"/>
            <wp:effectExtent l="0" t="0" r="15240" b="9525"/>
            <wp:docPr id="5"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4"/>
                    <pic:cNvPicPr>
                      <a:picLocks noChangeAspect="1"/>
                    </pic:cNvPicPr>
                  </pic:nvPicPr>
                  <pic:blipFill>
                    <a:blip r:embed="rId37"/>
                    <a:stretch>
                      <a:fillRect/>
                    </a:stretch>
                  </pic:blipFill>
                  <pic:spPr>
                    <a:xfrm>
                      <a:off x="0" y="0"/>
                      <a:ext cx="4709160" cy="3667125"/>
                    </a:xfrm>
                    <a:prstGeom prst="rect">
                      <a:avLst/>
                    </a:prstGeom>
                    <a:noFill/>
                    <a:ln w="9525">
                      <a:noFill/>
                    </a:ln>
                  </pic:spPr>
                </pic:pic>
              </a:graphicData>
            </a:graphic>
          </wp:inline>
        </w:drawing>
      </w:r>
    </w:p>
    <w:p>
      <w:pPr>
        <w:pStyle w:val="18"/>
        <w:spacing w:before="120" w:line="500" w:lineRule="exact"/>
        <w:rPr>
          <w:rFonts w:hint="eastAsia" w:eastAsiaTheme="minorEastAsia"/>
          <w:bCs/>
          <w:color w:val="auto"/>
          <w:sz w:val="24"/>
          <w:szCs w:val="24"/>
          <w:lang w:eastAsia="zh-CN"/>
        </w:rPr>
      </w:pPr>
      <w:r>
        <w:rPr>
          <w:rFonts w:hint="eastAsia" w:eastAsiaTheme="minorEastAsia"/>
          <w:bCs/>
          <w:color w:val="auto"/>
          <w:sz w:val="24"/>
          <w:szCs w:val="24"/>
          <w:lang w:eastAsia="zh-CN"/>
        </w:rPr>
        <w:t>图</w:t>
      </w:r>
      <w:r>
        <w:rPr>
          <w:rFonts w:eastAsiaTheme="minorEastAsia"/>
          <w:bCs/>
          <w:color w:val="auto"/>
          <w:sz w:val="24"/>
          <w:szCs w:val="24"/>
        </w:rPr>
        <w:t>4</w:t>
      </w:r>
      <w:r>
        <w:rPr>
          <w:rFonts w:eastAsiaTheme="minorEastAsia"/>
          <w:bCs/>
          <w:color w:val="auto"/>
          <w:sz w:val="24"/>
          <w:szCs w:val="24"/>
          <w:lang w:val="en-US"/>
        </w:rPr>
        <w:t>-</w:t>
      </w:r>
      <w:r>
        <w:rPr>
          <w:rFonts w:eastAsiaTheme="minorEastAsia"/>
          <w:bCs/>
          <w:color w:val="auto"/>
          <w:sz w:val="24"/>
          <w:szCs w:val="24"/>
        </w:rPr>
        <w:t>5-1  声环境质量现状监测点位</w:t>
      </w:r>
      <w:r>
        <w:rPr>
          <w:rFonts w:hint="eastAsia" w:eastAsiaTheme="minorEastAsia"/>
          <w:bCs/>
          <w:color w:val="auto"/>
          <w:sz w:val="24"/>
          <w:szCs w:val="24"/>
          <w:lang w:eastAsia="zh-CN"/>
        </w:rPr>
        <w:t>示意图</w:t>
      </w:r>
    </w:p>
    <w:p>
      <w:pPr>
        <w:pStyle w:val="276"/>
        <w:rPr>
          <w:rFonts w:eastAsiaTheme="minorEastAsia"/>
          <w:color w:val="auto"/>
        </w:rPr>
      </w:pPr>
      <w:r>
        <w:rPr>
          <w:rFonts w:eastAsiaTheme="minorEastAsia"/>
          <w:color w:val="auto"/>
        </w:rPr>
        <w:t>（3）监测时间与频率</w:t>
      </w:r>
    </w:p>
    <w:p>
      <w:pPr>
        <w:pStyle w:val="276"/>
        <w:rPr>
          <w:rFonts w:eastAsiaTheme="minorEastAsia"/>
          <w:color w:val="auto"/>
        </w:rPr>
      </w:pPr>
      <w:r>
        <w:rPr>
          <w:rFonts w:hint="eastAsia" w:eastAsiaTheme="minorEastAsia"/>
          <w:color w:val="auto"/>
          <w:lang w:eastAsia="zh-CN"/>
        </w:rPr>
        <w:t>黑龙江省华谱监测科技有限公司</w:t>
      </w:r>
      <w:r>
        <w:rPr>
          <w:rFonts w:eastAsiaTheme="minorEastAsia"/>
          <w:color w:val="auto"/>
        </w:rPr>
        <w:t>于2018年</w:t>
      </w:r>
      <w:r>
        <w:rPr>
          <w:rFonts w:hint="eastAsia" w:eastAsiaTheme="minorEastAsia"/>
          <w:color w:val="auto"/>
          <w:lang w:val="en-US" w:eastAsia="zh-CN"/>
        </w:rPr>
        <w:t>12</w:t>
      </w:r>
      <w:r>
        <w:rPr>
          <w:rFonts w:eastAsiaTheme="minorEastAsia"/>
          <w:color w:val="auto"/>
        </w:rPr>
        <w:t>月</w:t>
      </w:r>
      <w:r>
        <w:rPr>
          <w:rFonts w:hint="eastAsia" w:eastAsiaTheme="minorEastAsia"/>
          <w:color w:val="auto"/>
          <w:lang w:val="en-US" w:eastAsia="zh-CN"/>
        </w:rPr>
        <w:t>4</w:t>
      </w:r>
      <w:r>
        <w:rPr>
          <w:rFonts w:eastAsiaTheme="minorEastAsia"/>
          <w:color w:val="auto"/>
        </w:rPr>
        <w:t>日—</w:t>
      </w:r>
      <w:r>
        <w:rPr>
          <w:rFonts w:hint="eastAsia" w:eastAsiaTheme="minorEastAsia"/>
          <w:color w:val="auto"/>
          <w:lang w:val="en-US" w:eastAsia="zh-CN"/>
        </w:rPr>
        <w:t>5</w:t>
      </w:r>
      <w:r>
        <w:rPr>
          <w:rFonts w:eastAsiaTheme="minorEastAsia"/>
          <w:color w:val="auto"/>
        </w:rPr>
        <w:t>日连续监测两天，</w:t>
      </w:r>
      <w:r>
        <w:rPr>
          <w:rFonts w:hint="eastAsia" w:eastAsiaTheme="minorEastAsia"/>
          <w:color w:val="auto"/>
          <w:lang w:eastAsia="zh-CN"/>
        </w:rPr>
        <w:t>昼夜各一次</w:t>
      </w:r>
      <w:r>
        <w:rPr>
          <w:rFonts w:eastAsiaTheme="minorEastAsia"/>
          <w:color w:val="auto"/>
        </w:rPr>
        <w:t>。</w:t>
      </w:r>
    </w:p>
    <w:p>
      <w:pPr>
        <w:pStyle w:val="276"/>
        <w:rPr>
          <w:rFonts w:eastAsiaTheme="minorEastAsia"/>
          <w:color w:val="auto"/>
        </w:rPr>
      </w:pPr>
      <w:r>
        <w:rPr>
          <w:rFonts w:eastAsiaTheme="minorEastAsia"/>
          <w:color w:val="auto"/>
        </w:rPr>
        <w:t>（4）监测方法</w:t>
      </w:r>
    </w:p>
    <w:p>
      <w:pPr>
        <w:pStyle w:val="276"/>
        <w:rPr>
          <w:rFonts w:eastAsiaTheme="minorEastAsia"/>
          <w:color w:val="auto"/>
        </w:rPr>
      </w:pPr>
      <w:r>
        <w:rPr>
          <w:rFonts w:eastAsiaTheme="minorEastAsia"/>
          <w:color w:val="auto"/>
        </w:rPr>
        <w:t>根据《声环境质量标准》（GB3096-2008）及《环境影响评价技术导则  声环境》（HJ2.4-2009）的规定进行监测。</w:t>
      </w:r>
    </w:p>
    <w:p>
      <w:pPr>
        <w:pStyle w:val="276"/>
        <w:rPr>
          <w:rFonts w:eastAsiaTheme="minorEastAsia"/>
          <w:color w:val="auto"/>
        </w:rPr>
      </w:pPr>
      <w:r>
        <w:rPr>
          <w:rFonts w:eastAsiaTheme="minorEastAsia"/>
          <w:color w:val="auto"/>
        </w:rPr>
        <w:t>采用仪器设备：声校准器AWA6221A和多功能声级计AWA6228。</w:t>
      </w:r>
    </w:p>
    <w:p>
      <w:pPr>
        <w:pStyle w:val="276"/>
        <w:rPr>
          <w:rFonts w:eastAsiaTheme="minorEastAsia"/>
          <w:color w:val="auto"/>
        </w:rPr>
      </w:pPr>
      <w:r>
        <w:rPr>
          <w:rFonts w:eastAsiaTheme="minorEastAsia"/>
          <w:color w:val="auto"/>
        </w:rPr>
        <w:t>（5）监测结果</w:t>
      </w:r>
    </w:p>
    <w:p>
      <w:pPr>
        <w:pStyle w:val="276"/>
        <w:rPr>
          <w:rFonts w:eastAsiaTheme="minorEastAsia"/>
          <w:color w:val="auto"/>
        </w:rPr>
      </w:pPr>
      <w:r>
        <w:rPr>
          <w:rFonts w:eastAsiaTheme="minorEastAsia"/>
          <w:color w:val="auto"/>
        </w:rPr>
        <w:t>监测结果见表4-5-2。</w:t>
      </w:r>
    </w:p>
    <w:p>
      <w:pPr>
        <w:pStyle w:val="244"/>
        <w:rPr>
          <w:rFonts w:eastAsiaTheme="minorEastAsia"/>
          <w:color w:val="auto"/>
        </w:rPr>
      </w:pPr>
      <w:r>
        <w:rPr>
          <w:rFonts w:eastAsiaTheme="minorEastAsia"/>
          <w:color w:val="auto"/>
        </w:rPr>
        <w:t xml:space="preserve">表4-5-2  </w:t>
      </w:r>
      <w:r>
        <w:rPr>
          <w:rFonts w:hint="eastAsia" w:eastAsiaTheme="minorEastAsia"/>
          <w:color w:val="auto"/>
          <w:lang w:eastAsia="zh-CN"/>
        </w:rPr>
        <w:t>厂界声环境</w:t>
      </w:r>
      <w:r>
        <w:rPr>
          <w:rFonts w:eastAsiaTheme="minorEastAsia"/>
          <w:color w:val="auto"/>
        </w:rPr>
        <w:t>现状监测值  单位：dB（A）</w:t>
      </w:r>
    </w:p>
    <w:tbl>
      <w:tblPr>
        <w:tblStyle w:val="53"/>
        <w:tblW w:w="8532" w:type="dxa"/>
        <w:jc w:val="center"/>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554"/>
        <w:gridCol w:w="1095"/>
        <w:gridCol w:w="1425"/>
        <w:gridCol w:w="1470"/>
        <w:gridCol w:w="1395"/>
        <w:gridCol w:w="1409"/>
        <w:gridCol w:w="1183"/>
        <w:gridCol w:w="1"/>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 w:type="dxa"/>
          <w:trHeight w:val="420" w:hRule="atLeast"/>
          <w:jc w:val="center"/>
        </w:trPr>
        <w:tc>
          <w:tcPr>
            <w:tcW w:w="1649" w:type="dxa"/>
            <w:gridSpan w:val="2"/>
            <w:vMerge w:val="restart"/>
            <w:tcBorders>
              <w:tl2br w:val="nil"/>
              <w:tr2bl w:val="nil"/>
            </w:tcBorders>
            <w:vAlign w:val="center"/>
          </w:tcPr>
          <w:p>
            <w:pPr>
              <w:adjustRightInd w:val="0"/>
              <w:snapToGrid w:val="0"/>
              <w:jc w:val="center"/>
              <w:rPr>
                <w:rFonts w:hint="eastAsia" w:ascii="Times New Roman" w:hAnsi="Times New Roman" w:cs="Times New Roman" w:eastAsiaTheme="minorEastAsia"/>
                <w:color w:val="auto"/>
                <w:szCs w:val="21"/>
                <w:highlight w:val="none"/>
                <w:lang w:val="en-US" w:eastAsia="zh-CN"/>
              </w:rPr>
            </w:pPr>
            <w:bookmarkStart w:id="187" w:name="_Toc440973118"/>
            <w:bookmarkStart w:id="188" w:name="_Toc419096888"/>
            <w:bookmarkStart w:id="189" w:name="_Toc440973488"/>
            <w:bookmarkStart w:id="190" w:name="_Toc440973754"/>
            <w:r>
              <w:rPr>
                <w:rFonts w:hint="eastAsia" w:ascii="Times New Roman" w:hAnsi="Times New Roman" w:cs="Times New Roman"/>
                <w:color w:val="auto"/>
                <w:szCs w:val="21"/>
                <w:highlight w:val="none"/>
                <w:lang w:val="en-US" w:eastAsia="zh-CN"/>
              </w:rPr>
              <w:t>检测点位</w:t>
            </w:r>
          </w:p>
        </w:tc>
        <w:tc>
          <w:tcPr>
            <w:tcW w:w="2895" w:type="dxa"/>
            <w:gridSpan w:val="2"/>
            <w:tcBorders>
              <w:tl2br w:val="nil"/>
              <w:tr2bl w:val="nil"/>
            </w:tcBorders>
            <w:vAlign w:val="center"/>
          </w:tcPr>
          <w:p>
            <w:pPr>
              <w:spacing w:line="240" w:lineRule="auto"/>
              <w:jc w:val="center"/>
              <w:outlineLvl w:val="9"/>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2018.</w:t>
            </w:r>
            <w:r>
              <w:rPr>
                <w:rFonts w:hint="eastAsia" w:ascii="Times New Roman" w:hAnsi="Times New Roman" w:eastAsia="宋体" w:cs="Times New Roman"/>
                <w:color w:val="auto"/>
                <w:kern w:val="0"/>
                <w:sz w:val="21"/>
                <w:szCs w:val="21"/>
                <w:highlight w:val="none"/>
                <w:lang w:val="en-US" w:eastAsia="zh-CN"/>
              </w:rPr>
              <w:t>12.04</w:t>
            </w:r>
          </w:p>
        </w:tc>
        <w:tc>
          <w:tcPr>
            <w:tcW w:w="2804" w:type="dxa"/>
            <w:gridSpan w:val="2"/>
            <w:tcBorders>
              <w:tl2br w:val="nil"/>
              <w:tr2bl w:val="nil"/>
            </w:tcBorders>
            <w:vAlign w:val="center"/>
          </w:tcPr>
          <w:p>
            <w:pPr>
              <w:spacing w:line="240" w:lineRule="auto"/>
              <w:jc w:val="center"/>
              <w:outlineLvl w:val="9"/>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2018.</w:t>
            </w:r>
            <w:r>
              <w:rPr>
                <w:rFonts w:hint="eastAsia" w:ascii="Times New Roman" w:hAnsi="Times New Roman" w:eastAsia="宋体" w:cs="Times New Roman"/>
                <w:color w:val="auto"/>
                <w:kern w:val="0"/>
                <w:sz w:val="21"/>
                <w:szCs w:val="21"/>
                <w:highlight w:val="none"/>
                <w:lang w:val="en-US" w:eastAsia="zh-CN"/>
              </w:rPr>
              <w:t>12.05</w:t>
            </w:r>
          </w:p>
        </w:tc>
        <w:tc>
          <w:tcPr>
            <w:tcW w:w="1183" w:type="dxa"/>
            <w:tcBorders>
              <w:tl2br w:val="nil"/>
              <w:tr2bl w:val="nil"/>
            </w:tcBorders>
            <w:vAlign w:val="center"/>
          </w:tcPr>
          <w:p>
            <w:pPr>
              <w:spacing w:line="240" w:lineRule="auto"/>
              <w:jc w:val="center"/>
              <w:outlineLvl w:val="9"/>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单位</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436" w:hRule="atLeast"/>
          <w:jc w:val="center"/>
        </w:trPr>
        <w:tc>
          <w:tcPr>
            <w:tcW w:w="1649" w:type="dxa"/>
            <w:gridSpan w:val="2"/>
            <w:vMerge w:val="continue"/>
            <w:tcBorders>
              <w:tl2br w:val="nil"/>
              <w:tr2bl w:val="nil"/>
            </w:tcBorders>
            <w:vAlign w:val="center"/>
          </w:tcPr>
          <w:p>
            <w:pPr>
              <w:adjustRightInd w:val="0"/>
              <w:snapToGrid w:val="0"/>
              <w:jc w:val="center"/>
              <w:rPr>
                <w:rFonts w:hint="default" w:ascii="Times New Roman" w:hAnsi="Times New Roman" w:cs="Times New Roman"/>
                <w:color w:val="auto"/>
                <w:szCs w:val="21"/>
                <w:highlight w:val="none"/>
              </w:rPr>
            </w:pPr>
          </w:p>
        </w:tc>
        <w:tc>
          <w:tcPr>
            <w:tcW w:w="1425" w:type="dxa"/>
            <w:tcBorders>
              <w:tl2br w:val="nil"/>
              <w:tr2bl w:val="nil"/>
            </w:tcBorders>
            <w:vAlign w:val="center"/>
          </w:tcPr>
          <w:p>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昼间</w:t>
            </w:r>
          </w:p>
        </w:tc>
        <w:tc>
          <w:tcPr>
            <w:tcW w:w="1470" w:type="dxa"/>
            <w:tcBorders>
              <w:tl2br w:val="nil"/>
              <w:tr2bl w:val="nil"/>
            </w:tcBorders>
            <w:vAlign w:val="center"/>
          </w:tcPr>
          <w:p>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夜间</w:t>
            </w:r>
          </w:p>
        </w:tc>
        <w:tc>
          <w:tcPr>
            <w:tcW w:w="1395" w:type="dxa"/>
            <w:tcBorders>
              <w:tl2br w:val="nil"/>
              <w:tr2bl w:val="nil"/>
            </w:tcBorders>
            <w:vAlign w:val="center"/>
          </w:tcPr>
          <w:p>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昼间</w:t>
            </w:r>
          </w:p>
        </w:tc>
        <w:tc>
          <w:tcPr>
            <w:tcW w:w="1409" w:type="dxa"/>
            <w:tcBorders>
              <w:tl2br w:val="nil"/>
              <w:tr2bl w:val="nil"/>
            </w:tcBorders>
            <w:vAlign w:val="center"/>
          </w:tcPr>
          <w:p>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夜间</w:t>
            </w:r>
          </w:p>
        </w:tc>
        <w:tc>
          <w:tcPr>
            <w:tcW w:w="1184" w:type="dxa"/>
            <w:gridSpan w:val="2"/>
            <w:vMerge w:val="restart"/>
            <w:tcBorders>
              <w:tl2br w:val="nil"/>
              <w:tr2bl w:val="nil"/>
            </w:tcBorders>
            <w:vAlign w:val="center"/>
          </w:tcPr>
          <w:p>
            <w:pPr>
              <w:adjustRightInd w:val="0"/>
              <w:snapToGrid w:val="0"/>
              <w:jc w:val="center"/>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dB（A）</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514" w:hRule="exact"/>
          <w:jc w:val="center"/>
        </w:trPr>
        <w:tc>
          <w:tcPr>
            <w:tcW w:w="554" w:type="dxa"/>
            <w:vMerge w:val="restart"/>
            <w:tcBorders>
              <w:right w:val="single" w:color="auto" w:sz="4" w:space="0"/>
              <w:tl2br w:val="nil"/>
              <w:tr2bl w:val="nil"/>
            </w:tcBorders>
            <w:vAlign w:val="center"/>
          </w:tcPr>
          <w:p>
            <w:pPr>
              <w:widowControl/>
              <w:jc w:val="center"/>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工业场地</w:t>
            </w:r>
          </w:p>
        </w:tc>
        <w:tc>
          <w:tcPr>
            <w:tcW w:w="1095" w:type="dxa"/>
            <w:tcBorders>
              <w:left w:val="single" w:color="auto" w:sz="4" w:space="0"/>
              <w:tl2br w:val="nil"/>
              <w:tr2bl w:val="nil"/>
            </w:tcBorders>
            <w:vAlign w:val="center"/>
          </w:tcPr>
          <w:p>
            <w:pPr>
              <w:widowControl/>
              <w:jc w:val="center"/>
              <w:rPr>
                <w:rFonts w:hint="eastAsia" w:ascii="Times New Roman" w:hAnsi="Times New Roman"/>
                <w:color w:val="auto"/>
                <w:kern w:val="0"/>
                <w:sz w:val="21"/>
                <w:szCs w:val="21"/>
                <w:lang w:val="en-US" w:eastAsia="zh-CN"/>
              </w:rPr>
            </w:pPr>
            <w:r>
              <w:rPr>
                <w:rFonts w:hint="eastAsia" w:ascii="Times New Roman" w:hAnsi="Times New Roman"/>
                <w:color w:val="auto"/>
                <w:kern w:val="0"/>
                <w:sz w:val="21"/>
                <w:szCs w:val="21"/>
                <w:lang w:val="en-US" w:eastAsia="zh-CN"/>
              </w:rPr>
              <w:t>1#北厂界</w:t>
            </w:r>
          </w:p>
        </w:tc>
        <w:tc>
          <w:tcPr>
            <w:tcW w:w="142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eastAsia" w:ascii="宋体" w:hAnsi="宋体" w:eastAsia="宋体" w:cs="宋体"/>
                <w:i w:val="0"/>
                <w:color w:val="auto"/>
                <w:kern w:val="0"/>
                <w:sz w:val="21"/>
                <w:szCs w:val="21"/>
                <w:u w:val="none"/>
                <w:lang w:val="en-US" w:eastAsia="zh-CN" w:bidi="ar"/>
              </w:rPr>
              <w:t xml:space="preserve">45.6 </w:t>
            </w:r>
          </w:p>
        </w:tc>
        <w:tc>
          <w:tcPr>
            <w:tcW w:w="147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eastAsia" w:ascii="宋体" w:hAnsi="宋体" w:eastAsia="宋体" w:cs="宋体"/>
                <w:i w:val="0"/>
                <w:color w:val="auto"/>
                <w:kern w:val="0"/>
                <w:sz w:val="21"/>
                <w:szCs w:val="21"/>
                <w:u w:val="none"/>
                <w:lang w:val="en-US" w:eastAsia="zh-CN" w:bidi="ar"/>
              </w:rPr>
              <w:t xml:space="preserve">41.6 </w:t>
            </w:r>
          </w:p>
        </w:tc>
        <w:tc>
          <w:tcPr>
            <w:tcW w:w="139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eastAsia" w:ascii="宋体" w:hAnsi="宋体" w:eastAsia="宋体" w:cs="宋体"/>
                <w:i w:val="0"/>
                <w:color w:val="auto"/>
                <w:kern w:val="0"/>
                <w:sz w:val="21"/>
                <w:szCs w:val="21"/>
                <w:u w:val="none"/>
                <w:lang w:val="en-US" w:eastAsia="zh-CN" w:bidi="ar"/>
              </w:rPr>
              <w:t xml:space="preserve">45.1 </w:t>
            </w:r>
          </w:p>
        </w:tc>
        <w:tc>
          <w:tcPr>
            <w:tcW w:w="140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eastAsia" w:ascii="宋体" w:hAnsi="宋体" w:eastAsia="宋体" w:cs="宋体"/>
                <w:i w:val="0"/>
                <w:color w:val="auto"/>
                <w:kern w:val="0"/>
                <w:sz w:val="21"/>
                <w:szCs w:val="21"/>
                <w:u w:val="none"/>
                <w:lang w:val="en-US" w:eastAsia="zh-CN" w:bidi="ar"/>
              </w:rPr>
              <w:t xml:space="preserve">41.8 </w:t>
            </w:r>
          </w:p>
        </w:tc>
        <w:tc>
          <w:tcPr>
            <w:tcW w:w="1184" w:type="dxa"/>
            <w:gridSpan w:val="2"/>
            <w:vMerge w:val="continue"/>
            <w:tcBorders>
              <w:tl2br w:val="nil"/>
              <w:tr2bl w:val="nil"/>
            </w:tcBorders>
            <w:vAlign w:val="center"/>
          </w:tcPr>
          <w:p>
            <w:pPr>
              <w:jc w:val="center"/>
              <w:rPr>
                <w:rFonts w:hint="eastAsia" w:ascii="Times New Roman" w:hAnsi="Times New Roman" w:cs="Times New Roman"/>
                <w:color w:val="auto"/>
                <w:szCs w:val="21"/>
                <w:highlight w:val="none"/>
                <w:lang w:val="en-US" w:eastAsia="zh-CN"/>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514" w:hRule="exact"/>
          <w:jc w:val="center"/>
        </w:trPr>
        <w:tc>
          <w:tcPr>
            <w:tcW w:w="554" w:type="dxa"/>
            <w:vMerge w:val="continue"/>
            <w:tcBorders>
              <w:right w:val="single" w:color="auto" w:sz="4" w:space="0"/>
              <w:tl2br w:val="nil"/>
              <w:tr2bl w:val="nil"/>
            </w:tcBorders>
            <w:vAlign w:val="center"/>
          </w:tcPr>
          <w:p>
            <w:pPr>
              <w:widowControl/>
              <w:jc w:val="center"/>
              <w:rPr>
                <w:rFonts w:hint="eastAsia" w:ascii="Times New Roman" w:hAnsi="Times New Roman" w:cs="Times New Roman" w:eastAsiaTheme="minorEastAsia"/>
                <w:color w:val="auto"/>
                <w:szCs w:val="21"/>
                <w:highlight w:val="none"/>
                <w:lang w:val="en-US" w:eastAsia="zh-CN"/>
              </w:rPr>
            </w:pPr>
          </w:p>
        </w:tc>
        <w:tc>
          <w:tcPr>
            <w:tcW w:w="1095" w:type="dxa"/>
            <w:tcBorders>
              <w:left w:val="single" w:color="auto" w:sz="4" w:space="0"/>
              <w:tl2br w:val="nil"/>
              <w:tr2bl w:val="nil"/>
            </w:tcBorders>
            <w:vAlign w:val="center"/>
          </w:tcPr>
          <w:p>
            <w:pPr>
              <w:widowControl/>
              <w:jc w:val="center"/>
              <w:rPr>
                <w:rFonts w:hint="eastAsia" w:ascii="Times New Roman" w:hAnsi="Times New Roman"/>
                <w:color w:val="auto"/>
                <w:kern w:val="0"/>
                <w:sz w:val="21"/>
                <w:szCs w:val="21"/>
                <w:lang w:val="en-US" w:eastAsia="zh-CN"/>
              </w:rPr>
            </w:pPr>
            <w:r>
              <w:rPr>
                <w:rFonts w:hint="eastAsia" w:ascii="Times New Roman" w:hAnsi="Times New Roman"/>
                <w:color w:val="auto"/>
                <w:kern w:val="0"/>
                <w:sz w:val="21"/>
                <w:szCs w:val="21"/>
                <w:lang w:val="en-US" w:eastAsia="zh-CN"/>
              </w:rPr>
              <w:t>2#西厂界</w:t>
            </w:r>
          </w:p>
        </w:tc>
        <w:tc>
          <w:tcPr>
            <w:tcW w:w="142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eastAsia" w:ascii="宋体" w:hAnsi="宋体" w:eastAsia="宋体" w:cs="宋体"/>
                <w:i w:val="0"/>
                <w:color w:val="auto"/>
                <w:kern w:val="0"/>
                <w:sz w:val="21"/>
                <w:szCs w:val="21"/>
                <w:u w:val="none"/>
                <w:lang w:val="en-US" w:eastAsia="zh-CN" w:bidi="ar"/>
              </w:rPr>
              <w:t xml:space="preserve">44.5 </w:t>
            </w:r>
          </w:p>
        </w:tc>
        <w:tc>
          <w:tcPr>
            <w:tcW w:w="147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eastAsia" w:ascii="宋体" w:hAnsi="宋体" w:eastAsia="宋体" w:cs="宋体"/>
                <w:i w:val="0"/>
                <w:color w:val="auto"/>
                <w:kern w:val="0"/>
                <w:sz w:val="21"/>
                <w:szCs w:val="21"/>
                <w:u w:val="none"/>
                <w:lang w:val="en-US" w:eastAsia="zh-CN" w:bidi="ar"/>
              </w:rPr>
              <w:t xml:space="preserve">41.2 </w:t>
            </w:r>
          </w:p>
        </w:tc>
        <w:tc>
          <w:tcPr>
            <w:tcW w:w="139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eastAsia" w:ascii="宋体" w:hAnsi="宋体" w:eastAsia="宋体" w:cs="宋体"/>
                <w:i w:val="0"/>
                <w:color w:val="auto"/>
                <w:kern w:val="0"/>
                <w:sz w:val="21"/>
                <w:szCs w:val="21"/>
                <w:u w:val="none"/>
                <w:lang w:val="en-US" w:eastAsia="zh-CN" w:bidi="ar"/>
              </w:rPr>
              <w:t xml:space="preserve">45.8 </w:t>
            </w:r>
          </w:p>
        </w:tc>
        <w:tc>
          <w:tcPr>
            <w:tcW w:w="140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eastAsia" w:ascii="宋体" w:hAnsi="宋体" w:eastAsia="宋体" w:cs="宋体"/>
                <w:i w:val="0"/>
                <w:color w:val="auto"/>
                <w:kern w:val="0"/>
                <w:sz w:val="21"/>
                <w:szCs w:val="21"/>
                <w:u w:val="none"/>
                <w:lang w:val="en-US" w:eastAsia="zh-CN" w:bidi="ar"/>
              </w:rPr>
              <w:t xml:space="preserve">40.5 </w:t>
            </w:r>
          </w:p>
        </w:tc>
        <w:tc>
          <w:tcPr>
            <w:tcW w:w="1184" w:type="dxa"/>
            <w:gridSpan w:val="2"/>
            <w:vMerge w:val="continue"/>
            <w:tcBorders>
              <w:tl2br w:val="nil"/>
              <w:tr2bl w:val="nil"/>
            </w:tcBorders>
            <w:vAlign w:val="center"/>
          </w:tcPr>
          <w:p>
            <w:pPr>
              <w:jc w:val="center"/>
              <w:rPr>
                <w:rFonts w:hint="eastAsia" w:ascii="Times New Roman" w:hAnsi="Times New Roman" w:cs="Times New Roman"/>
                <w:color w:val="auto"/>
                <w:szCs w:val="21"/>
                <w:highlight w:val="none"/>
                <w:lang w:val="en-US" w:eastAsia="zh-CN"/>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615" w:hRule="exact"/>
          <w:jc w:val="center"/>
        </w:trPr>
        <w:tc>
          <w:tcPr>
            <w:tcW w:w="554" w:type="dxa"/>
            <w:vMerge w:val="continue"/>
            <w:tcBorders>
              <w:right w:val="single" w:color="auto" w:sz="4" w:space="0"/>
              <w:tl2br w:val="nil"/>
              <w:tr2bl w:val="nil"/>
            </w:tcBorders>
            <w:vAlign w:val="center"/>
          </w:tcPr>
          <w:p>
            <w:pPr>
              <w:widowControl/>
              <w:jc w:val="center"/>
              <w:rPr>
                <w:rFonts w:hint="eastAsia" w:ascii="Times New Roman" w:hAnsi="Times New Roman" w:cs="Times New Roman" w:eastAsiaTheme="minorEastAsia"/>
                <w:color w:val="auto"/>
                <w:szCs w:val="21"/>
                <w:highlight w:val="none"/>
                <w:lang w:val="en-US" w:eastAsia="zh-CN"/>
              </w:rPr>
            </w:pPr>
          </w:p>
        </w:tc>
        <w:tc>
          <w:tcPr>
            <w:tcW w:w="1095" w:type="dxa"/>
            <w:tcBorders>
              <w:left w:val="single" w:color="auto" w:sz="4" w:space="0"/>
              <w:tl2br w:val="nil"/>
              <w:tr2bl w:val="nil"/>
            </w:tcBorders>
            <w:vAlign w:val="center"/>
          </w:tcPr>
          <w:p>
            <w:pPr>
              <w:widowControl/>
              <w:jc w:val="center"/>
              <w:rPr>
                <w:rFonts w:hint="eastAsia" w:ascii="Times New Roman" w:hAnsi="Times New Roman"/>
                <w:color w:val="auto"/>
                <w:kern w:val="0"/>
                <w:sz w:val="21"/>
                <w:szCs w:val="21"/>
                <w:lang w:val="en-US" w:eastAsia="zh-CN"/>
              </w:rPr>
            </w:pPr>
            <w:r>
              <w:rPr>
                <w:rFonts w:hint="eastAsia" w:ascii="Times New Roman" w:hAnsi="Times New Roman"/>
                <w:color w:val="auto"/>
                <w:kern w:val="0"/>
                <w:sz w:val="21"/>
                <w:szCs w:val="21"/>
                <w:lang w:val="en-US" w:eastAsia="zh-CN"/>
              </w:rPr>
              <w:t>3#南厂界</w:t>
            </w:r>
          </w:p>
        </w:tc>
        <w:tc>
          <w:tcPr>
            <w:tcW w:w="142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eastAsia" w:ascii="宋体" w:hAnsi="宋体" w:eastAsia="宋体" w:cs="宋体"/>
                <w:i w:val="0"/>
                <w:color w:val="auto"/>
                <w:kern w:val="0"/>
                <w:sz w:val="21"/>
                <w:szCs w:val="21"/>
                <w:u w:val="none"/>
                <w:lang w:val="en-US" w:eastAsia="zh-CN" w:bidi="ar"/>
              </w:rPr>
              <w:t xml:space="preserve">44.9 </w:t>
            </w:r>
          </w:p>
        </w:tc>
        <w:tc>
          <w:tcPr>
            <w:tcW w:w="147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eastAsia" w:ascii="宋体" w:hAnsi="宋体" w:eastAsia="宋体" w:cs="宋体"/>
                <w:i w:val="0"/>
                <w:color w:val="auto"/>
                <w:kern w:val="0"/>
                <w:sz w:val="21"/>
                <w:szCs w:val="21"/>
                <w:u w:val="none"/>
                <w:lang w:val="en-US" w:eastAsia="zh-CN" w:bidi="ar"/>
              </w:rPr>
              <w:t xml:space="preserve">40.8 </w:t>
            </w:r>
          </w:p>
        </w:tc>
        <w:tc>
          <w:tcPr>
            <w:tcW w:w="139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eastAsia" w:ascii="宋体" w:hAnsi="宋体" w:eastAsia="宋体" w:cs="宋体"/>
                <w:i w:val="0"/>
                <w:color w:val="auto"/>
                <w:kern w:val="0"/>
                <w:sz w:val="21"/>
                <w:szCs w:val="21"/>
                <w:u w:val="none"/>
                <w:lang w:val="en-US" w:eastAsia="zh-CN" w:bidi="ar"/>
              </w:rPr>
              <w:t xml:space="preserve">44.2 </w:t>
            </w:r>
          </w:p>
        </w:tc>
        <w:tc>
          <w:tcPr>
            <w:tcW w:w="140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eastAsia" w:ascii="宋体" w:hAnsi="宋体" w:eastAsia="宋体" w:cs="宋体"/>
                <w:i w:val="0"/>
                <w:color w:val="auto"/>
                <w:kern w:val="0"/>
                <w:sz w:val="21"/>
                <w:szCs w:val="21"/>
                <w:u w:val="none"/>
                <w:lang w:val="en-US" w:eastAsia="zh-CN" w:bidi="ar"/>
              </w:rPr>
              <w:t xml:space="preserve">40.4 </w:t>
            </w:r>
          </w:p>
        </w:tc>
        <w:tc>
          <w:tcPr>
            <w:tcW w:w="1184" w:type="dxa"/>
            <w:gridSpan w:val="2"/>
            <w:vMerge w:val="continue"/>
            <w:tcBorders>
              <w:tl2br w:val="nil"/>
              <w:tr2bl w:val="nil"/>
            </w:tcBorders>
            <w:vAlign w:val="center"/>
          </w:tcPr>
          <w:p>
            <w:pPr>
              <w:jc w:val="center"/>
              <w:rPr>
                <w:rFonts w:hint="eastAsia" w:ascii="Times New Roman" w:hAnsi="Times New Roman" w:cs="Times New Roman"/>
                <w:color w:val="auto"/>
                <w:szCs w:val="21"/>
                <w:highlight w:val="none"/>
                <w:lang w:val="en-US" w:eastAsia="zh-CN"/>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521" w:hRule="exact"/>
          <w:jc w:val="center"/>
        </w:trPr>
        <w:tc>
          <w:tcPr>
            <w:tcW w:w="554" w:type="dxa"/>
            <w:vMerge w:val="continue"/>
            <w:tcBorders>
              <w:right w:val="single" w:color="auto" w:sz="4" w:space="0"/>
              <w:tl2br w:val="nil"/>
              <w:tr2bl w:val="nil"/>
            </w:tcBorders>
            <w:vAlign w:val="center"/>
          </w:tcPr>
          <w:p>
            <w:pPr>
              <w:widowControl/>
              <w:jc w:val="center"/>
              <w:rPr>
                <w:rFonts w:hint="eastAsia" w:ascii="Times New Roman" w:hAnsi="Times New Roman" w:cs="Times New Roman" w:eastAsiaTheme="minorEastAsia"/>
                <w:color w:val="auto"/>
                <w:szCs w:val="21"/>
                <w:highlight w:val="none"/>
                <w:lang w:val="en-US" w:eastAsia="zh-CN"/>
              </w:rPr>
            </w:pPr>
          </w:p>
        </w:tc>
        <w:tc>
          <w:tcPr>
            <w:tcW w:w="1095" w:type="dxa"/>
            <w:tcBorders>
              <w:left w:val="single" w:color="auto" w:sz="4" w:space="0"/>
              <w:tl2br w:val="nil"/>
              <w:tr2bl w:val="nil"/>
            </w:tcBorders>
            <w:vAlign w:val="center"/>
          </w:tcPr>
          <w:p>
            <w:pPr>
              <w:widowControl/>
              <w:jc w:val="center"/>
              <w:rPr>
                <w:rFonts w:hint="eastAsia" w:ascii="Times New Roman" w:hAnsi="Times New Roman"/>
                <w:color w:val="auto"/>
                <w:kern w:val="0"/>
                <w:sz w:val="21"/>
                <w:szCs w:val="21"/>
                <w:lang w:val="en-US" w:eastAsia="zh-CN"/>
              </w:rPr>
            </w:pPr>
            <w:r>
              <w:rPr>
                <w:rFonts w:hint="eastAsia" w:ascii="Times New Roman" w:hAnsi="Times New Roman"/>
                <w:color w:val="auto"/>
                <w:kern w:val="0"/>
                <w:sz w:val="21"/>
                <w:szCs w:val="21"/>
                <w:lang w:val="en-US" w:eastAsia="zh-CN"/>
              </w:rPr>
              <w:t>4#东厂界</w:t>
            </w:r>
          </w:p>
        </w:tc>
        <w:tc>
          <w:tcPr>
            <w:tcW w:w="142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eastAsia" w:ascii="宋体" w:hAnsi="宋体" w:eastAsia="宋体" w:cs="宋体"/>
                <w:i w:val="0"/>
                <w:color w:val="auto"/>
                <w:kern w:val="0"/>
                <w:sz w:val="21"/>
                <w:szCs w:val="21"/>
                <w:u w:val="none"/>
                <w:lang w:val="en-US" w:eastAsia="zh-CN" w:bidi="ar"/>
              </w:rPr>
              <w:t xml:space="preserve">45.9 </w:t>
            </w:r>
          </w:p>
        </w:tc>
        <w:tc>
          <w:tcPr>
            <w:tcW w:w="147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eastAsia" w:ascii="宋体" w:hAnsi="宋体" w:eastAsia="宋体" w:cs="宋体"/>
                <w:i w:val="0"/>
                <w:color w:val="auto"/>
                <w:kern w:val="0"/>
                <w:sz w:val="21"/>
                <w:szCs w:val="21"/>
                <w:u w:val="none"/>
                <w:lang w:val="en-US" w:eastAsia="zh-CN" w:bidi="ar"/>
              </w:rPr>
              <w:t xml:space="preserve">41.2 </w:t>
            </w:r>
          </w:p>
        </w:tc>
        <w:tc>
          <w:tcPr>
            <w:tcW w:w="139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eastAsia" w:ascii="宋体" w:hAnsi="宋体" w:eastAsia="宋体" w:cs="宋体"/>
                <w:i w:val="0"/>
                <w:color w:val="auto"/>
                <w:kern w:val="0"/>
                <w:sz w:val="21"/>
                <w:szCs w:val="21"/>
                <w:u w:val="none"/>
                <w:lang w:val="en-US" w:eastAsia="zh-CN" w:bidi="ar"/>
              </w:rPr>
              <w:t xml:space="preserve">45.5 </w:t>
            </w:r>
          </w:p>
        </w:tc>
        <w:tc>
          <w:tcPr>
            <w:tcW w:w="140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eastAsia" w:ascii="宋体" w:hAnsi="宋体" w:eastAsia="宋体" w:cs="宋体"/>
                <w:i w:val="0"/>
                <w:color w:val="auto"/>
                <w:kern w:val="0"/>
                <w:sz w:val="21"/>
                <w:szCs w:val="21"/>
                <w:u w:val="none"/>
                <w:lang w:val="en-US" w:eastAsia="zh-CN" w:bidi="ar"/>
              </w:rPr>
              <w:t xml:space="preserve">40.2 </w:t>
            </w:r>
          </w:p>
        </w:tc>
        <w:tc>
          <w:tcPr>
            <w:tcW w:w="1184" w:type="dxa"/>
            <w:gridSpan w:val="2"/>
            <w:vMerge w:val="continue"/>
            <w:tcBorders>
              <w:tl2br w:val="nil"/>
              <w:tr2bl w:val="nil"/>
            </w:tcBorders>
            <w:vAlign w:val="center"/>
          </w:tcPr>
          <w:p>
            <w:pPr>
              <w:jc w:val="center"/>
              <w:rPr>
                <w:rFonts w:hint="eastAsia" w:ascii="Times New Roman" w:hAnsi="Times New Roman" w:cs="Times New Roman"/>
                <w:color w:val="auto"/>
                <w:szCs w:val="21"/>
                <w:highlight w:val="none"/>
                <w:lang w:val="en-US" w:eastAsia="zh-CN"/>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521" w:hRule="exact"/>
          <w:jc w:val="center"/>
        </w:trPr>
        <w:tc>
          <w:tcPr>
            <w:tcW w:w="554" w:type="dxa"/>
            <w:vMerge w:val="restart"/>
            <w:tcBorders>
              <w:right w:val="single" w:color="auto" w:sz="4" w:space="0"/>
              <w:tl2br w:val="nil"/>
              <w:tr2bl w:val="nil"/>
            </w:tcBorders>
            <w:vAlign w:val="center"/>
          </w:tcPr>
          <w:p>
            <w:pPr>
              <w:widowControl/>
              <w:jc w:val="center"/>
              <w:rPr>
                <w:rFonts w:hint="eastAsia" w:ascii="Times New Roman" w:hAnsi="Times New Roman"/>
                <w:color w:val="auto"/>
                <w:kern w:val="0"/>
                <w:sz w:val="21"/>
                <w:szCs w:val="21"/>
                <w:lang w:val="en-US" w:eastAsia="zh-CN"/>
              </w:rPr>
            </w:pPr>
            <w:r>
              <w:rPr>
                <w:rFonts w:hint="eastAsia" w:ascii="Times New Roman" w:hAnsi="Times New Roman"/>
                <w:color w:val="auto"/>
                <w:kern w:val="0"/>
                <w:sz w:val="21"/>
                <w:szCs w:val="21"/>
                <w:lang w:val="en-US" w:eastAsia="zh-CN"/>
              </w:rPr>
              <w:t>采场</w:t>
            </w:r>
          </w:p>
        </w:tc>
        <w:tc>
          <w:tcPr>
            <w:tcW w:w="1095" w:type="dxa"/>
            <w:tcBorders>
              <w:left w:val="single" w:color="auto" w:sz="4" w:space="0"/>
              <w:tl2br w:val="nil"/>
              <w:tr2bl w:val="nil"/>
            </w:tcBorders>
            <w:vAlign w:val="center"/>
          </w:tcPr>
          <w:p>
            <w:pPr>
              <w:widowControl/>
              <w:jc w:val="center"/>
              <w:rPr>
                <w:rFonts w:hint="eastAsia" w:ascii="Times New Roman" w:hAnsi="Times New Roman"/>
                <w:color w:val="auto"/>
                <w:kern w:val="0"/>
                <w:sz w:val="21"/>
                <w:szCs w:val="21"/>
                <w:lang w:val="en-US" w:eastAsia="zh-CN"/>
              </w:rPr>
            </w:pPr>
            <w:r>
              <w:rPr>
                <w:rFonts w:hint="eastAsia" w:ascii="Times New Roman" w:hAnsi="Times New Roman"/>
                <w:color w:val="auto"/>
                <w:kern w:val="0"/>
                <w:sz w:val="21"/>
                <w:szCs w:val="21"/>
                <w:lang w:val="en-US" w:eastAsia="zh-CN"/>
              </w:rPr>
              <w:t>5#北厂界</w:t>
            </w:r>
          </w:p>
        </w:tc>
        <w:tc>
          <w:tcPr>
            <w:tcW w:w="1425" w:type="dxa"/>
            <w:tcBorders>
              <w:tl2br w:val="nil"/>
              <w:tr2bl w:val="nil"/>
            </w:tcBorders>
            <w:vAlign w:val="center"/>
          </w:tcPr>
          <w:p>
            <w:pPr>
              <w:keepNext w:val="0"/>
              <w:keepLines w:val="0"/>
              <w:widowControl/>
              <w:suppressLineNumbers w:val="0"/>
              <w:jc w:val="center"/>
              <w:textAlignment w:val="center"/>
              <w:rPr>
                <w:rFonts w:hint="eastAsia" w:ascii="Times New Roman" w:hAnsi="Times New Roman"/>
                <w:color w:val="auto"/>
                <w:kern w:val="0"/>
                <w:sz w:val="21"/>
                <w:szCs w:val="21"/>
                <w:lang w:val="en-US" w:eastAsia="zh-CN"/>
              </w:rPr>
            </w:pPr>
            <w:r>
              <w:rPr>
                <w:rFonts w:hint="eastAsia" w:ascii="宋体" w:hAnsi="宋体" w:eastAsia="宋体" w:cs="宋体"/>
                <w:i w:val="0"/>
                <w:color w:val="auto"/>
                <w:kern w:val="0"/>
                <w:sz w:val="21"/>
                <w:szCs w:val="21"/>
                <w:u w:val="none"/>
                <w:lang w:val="en-US" w:eastAsia="zh-CN" w:bidi="ar"/>
              </w:rPr>
              <w:t xml:space="preserve">44.2 </w:t>
            </w:r>
          </w:p>
        </w:tc>
        <w:tc>
          <w:tcPr>
            <w:tcW w:w="1470" w:type="dxa"/>
            <w:tcBorders>
              <w:tl2br w:val="nil"/>
              <w:tr2bl w:val="nil"/>
            </w:tcBorders>
            <w:vAlign w:val="center"/>
          </w:tcPr>
          <w:p>
            <w:pPr>
              <w:keepNext w:val="0"/>
              <w:keepLines w:val="0"/>
              <w:widowControl/>
              <w:suppressLineNumbers w:val="0"/>
              <w:jc w:val="center"/>
              <w:textAlignment w:val="center"/>
              <w:rPr>
                <w:rFonts w:hint="eastAsia" w:ascii="Times New Roman" w:hAnsi="Times New Roman"/>
                <w:color w:val="auto"/>
                <w:kern w:val="0"/>
                <w:sz w:val="21"/>
                <w:szCs w:val="21"/>
                <w:lang w:val="en-US" w:eastAsia="zh-CN"/>
              </w:rPr>
            </w:pPr>
            <w:r>
              <w:rPr>
                <w:rFonts w:hint="eastAsia" w:ascii="宋体" w:hAnsi="宋体" w:eastAsia="宋体" w:cs="宋体"/>
                <w:i w:val="0"/>
                <w:color w:val="auto"/>
                <w:kern w:val="0"/>
                <w:sz w:val="21"/>
                <w:szCs w:val="21"/>
                <w:u w:val="none"/>
                <w:lang w:val="en-US" w:eastAsia="zh-CN" w:bidi="ar"/>
              </w:rPr>
              <w:t xml:space="preserve">41.6 </w:t>
            </w:r>
          </w:p>
        </w:tc>
        <w:tc>
          <w:tcPr>
            <w:tcW w:w="1395" w:type="dxa"/>
            <w:tcBorders>
              <w:tl2br w:val="nil"/>
              <w:tr2bl w:val="nil"/>
            </w:tcBorders>
            <w:vAlign w:val="center"/>
          </w:tcPr>
          <w:p>
            <w:pPr>
              <w:keepNext w:val="0"/>
              <w:keepLines w:val="0"/>
              <w:widowControl/>
              <w:suppressLineNumbers w:val="0"/>
              <w:jc w:val="center"/>
              <w:textAlignment w:val="center"/>
              <w:rPr>
                <w:rFonts w:hint="eastAsia" w:ascii="Times New Roman" w:hAnsi="Times New Roman"/>
                <w:color w:val="auto"/>
                <w:kern w:val="0"/>
                <w:sz w:val="21"/>
                <w:szCs w:val="21"/>
                <w:lang w:val="en-US" w:eastAsia="zh-CN"/>
              </w:rPr>
            </w:pPr>
            <w:r>
              <w:rPr>
                <w:rFonts w:hint="eastAsia" w:ascii="宋体" w:hAnsi="宋体" w:eastAsia="宋体" w:cs="宋体"/>
                <w:i w:val="0"/>
                <w:color w:val="auto"/>
                <w:kern w:val="0"/>
                <w:sz w:val="21"/>
                <w:szCs w:val="21"/>
                <w:u w:val="none"/>
                <w:lang w:val="en-US" w:eastAsia="zh-CN" w:bidi="ar"/>
              </w:rPr>
              <w:t xml:space="preserve">44.3 </w:t>
            </w:r>
          </w:p>
        </w:tc>
        <w:tc>
          <w:tcPr>
            <w:tcW w:w="1409" w:type="dxa"/>
            <w:tcBorders>
              <w:tl2br w:val="nil"/>
              <w:tr2bl w:val="nil"/>
            </w:tcBorders>
            <w:vAlign w:val="center"/>
          </w:tcPr>
          <w:p>
            <w:pPr>
              <w:keepNext w:val="0"/>
              <w:keepLines w:val="0"/>
              <w:widowControl/>
              <w:suppressLineNumbers w:val="0"/>
              <w:jc w:val="center"/>
              <w:textAlignment w:val="center"/>
              <w:rPr>
                <w:rFonts w:hint="eastAsia" w:ascii="Times New Roman" w:hAnsi="Times New Roman"/>
                <w:color w:val="auto"/>
                <w:kern w:val="0"/>
                <w:sz w:val="21"/>
                <w:szCs w:val="21"/>
                <w:lang w:val="en-US" w:eastAsia="zh-CN"/>
              </w:rPr>
            </w:pPr>
            <w:r>
              <w:rPr>
                <w:rFonts w:hint="eastAsia" w:ascii="宋体" w:hAnsi="宋体" w:eastAsia="宋体" w:cs="宋体"/>
                <w:i w:val="0"/>
                <w:color w:val="auto"/>
                <w:kern w:val="0"/>
                <w:sz w:val="21"/>
                <w:szCs w:val="21"/>
                <w:u w:val="none"/>
                <w:lang w:val="en-US" w:eastAsia="zh-CN" w:bidi="ar"/>
              </w:rPr>
              <w:t xml:space="preserve">40.3 </w:t>
            </w:r>
          </w:p>
        </w:tc>
        <w:tc>
          <w:tcPr>
            <w:tcW w:w="1184" w:type="dxa"/>
            <w:gridSpan w:val="2"/>
            <w:vMerge w:val="continue"/>
            <w:tcBorders>
              <w:tl2br w:val="nil"/>
              <w:tr2bl w:val="nil"/>
            </w:tcBorders>
            <w:vAlign w:val="center"/>
          </w:tcPr>
          <w:p>
            <w:pPr>
              <w:jc w:val="center"/>
              <w:rPr>
                <w:rFonts w:hint="eastAsia" w:ascii="Times New Roman" w:hAnsi="Times New Roman" w:cs="Times New Roman"/>
                <w:color w:val="auto"/>
                <w:szCs w:val="21"/>
                <w:highlight w:val="none"/>
                <w:lang w:val="en-US" w:eastAsia="zh-CN"/>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521" w:hRule="exact"/>
          <w:jc w:val="center"/>
        </w:trPr>
        <w:tc>
          <w:tcPr>
            <w:tcW w:w="554" w:type="dxa"/>
            <w:vMerge w:val="continue"/>
            <w:tcBorders>
              <w:right w:val="single" w:color="auto" w:sz="4" w:space="0"/>
              <w:tl2br w:val="nil"/>
              <w:tr2bl w:val="nil"/>
            </w:tcBorders>
            <w:vAlign w:val="center"/>
          </w:tcPr>
          <w:p>
            <w:pPr>
              <w:widowControl/>
              <w:jc w:val="center"/>
              <w:rPr>
                <w:rFonts w:hint="eastAsia" w:ascii="Times New Roman" w:hAnsi="Times New Roman"/>
                <w:color w:val="auto"/>
                <w:kern w:val="0"/>
                <w:sz w:val="21"/>
                <w:szCs w:val="21"/>
                <w:lang w:val="en-US" w:eastAsia="zh-CN"/>
              </w:rPr>
            </w:pPr>
          </w:p>
        </w:tc>
        <w:tc>
          <w:tcPr>
            <w:tcW w:w="1095" w:type="dxa"/>
            <w:tcBorders>
              <w:left w:val="single" w:color="auto" w:sz="4" w:space="0"/>
              <w:tl2br w:val="nil"/>
              <w:tr2bl w:val="nil"/>
            </w:tcBorders>
            <w:vAlign w:val="center"/>
          </w:tcPr>
          <w:p>
            <w:pPr>
              <w:widowControl/>
              <w:jc w:val="center"/>
              <w:rPr>
                <w:rFonts w:hint="eastAsia" w:ascii="Times New Roman" w:hAnsi="Times New Roman"/>
                <w:color w:val="auto"/>
                <w:kern w:val="0"/>
                <w:sz w:val="21"/>
                <w:szCs w:val="21"/>
                <w:lang w:val="en-US" w:eastAsia="zh-CN"/>
              </w:rPr>
            </w:pPr>
            <w:r>
              <w:rPr>
                <w:rFonts w:hint="eastAsia" w:ascii="Times New Roman" w:hAnsi="Times New Roman"/>
                <w:color w:val="auto"/>
                <w:kern w:val="0"/>
                <w:sz w:val="21"/>
                <w:szCs w:val="21"/>
                <w:lang w:val="en-US" w:eastAsia="zh-CN"/>
              </w:rPr>
              <w:t>6#南厂界</w:t>
            </w:r>
          </w:p>
        </w:tc>
        <w:tc>
          <w:tcPr>
            <w:tcW w:w="1425" w:type="dxa"/>
            <w:tcBorders>
              <w:tl2br w:val="nil"/>
              <w:tr2bl w:val="nil"/>
            </w:tcBorders>
            <w:vAlign w:val="center"/>
          </w:tcPr>
          <w:p>
            <w:pPr>
              <w:keepNext w:val="0"/>
              <w:keepLines w:val="0"/>
              <w:widowControl/>
              <w:suppressLineNumbers w:val="0"/>
              <w:jc w:val="center"/>
              <w:textAlignment w:val="center"/>
              <w:rPr>
                <w:rFonts w:hint="eastAsia" w:ascii="Times New Roman" w:hAnsi="Times New Roman"/>
                <w:color w:val="auto"/>
                <w:kern w:val="0"/>
                <w:sz w:val="21"/>
                <w:szCs w:val="21"/>
                <w:lang w:val="en-US" w:eastAsia="zh-CN"/>
              </w:rPr>
            </w:pPr>
            <w:r>
              <w:rPr>
                <w:rFonts w:hint="eastAsia" w:ascii="宋体" w:hAnsi="宋体" w:eastAsia="宋体" w:cs="宋体"/>
                <w:i w:val="0"/>
                <w:color w:val="auto"/>
                <w:kern w:val="0"/>
                <w:sz w:val="21"/>
                <w:szCs w:val="21"/>
                <w:u w:val="none"/>
                <w:lang w:val="en-US" w:eastAsia="zh-CN" w:bidi="ar"/>
              </w:rPr>
              <w:t xml:space="preserve">45.1 </w:t>
            </w:r>
          </w:p>
        </w:tc>
        <w:tc>
          <w:tcPr>
            <w:tcW w:w="1470" w:type="dxa"/>
            <w:tcBorders>
              <w:tl2br w:val="nil"/>
              <w:tr2bl w:val="nil"/>
            </w:tcBorders>
            <w:vAlign w:val="center"/>
          </w:tcPr>
          <w:p>
            <w:pPr>
              <w:keepNext w:val="0"/>
              <w:keepLines w:val="0"/>
              <w:widowControl/>
              <w:suppressLineNumbers w:val="0"/>
              <w:jc w:val="center"/>
              <w:textAlignment w:val="center"/>
              <w:rPr>
                <w:rFonts w:hint="eastAsia" w:ascii="Times New Roman" w:hAnsi="Times New Roman"/>
                <w:color w:val="auto"/>
                <w:kern w:val="0"/>
                <w:sz w:val="21"/>
                <w:szCs w:val="21"/>
                <w:lang w:val="en-US" w:eastAsia="zh-CN"/>
              </w:rPr>
            </w:pPr>
            <w:r>
              <w:rPr>
                <w:rFonts w:hint="eastAsia" w:ascii="宋体" w:hAnsi="宋体" w:eastAsia="宋体" w:cs="宋体"/>
                <w:i w:val="0"/>
                <w:color w:val="auto"/>
                <w:kern w:val="0"/>
                <w:sz w:val="21"/>
                <w:szCs w:val="21"/>
                <w:u w:val="none"/>
                <w:lang w:val="en-US" w:eastAsia="zh-CN" w:bidi="ar"/>
              </w:rPr>
              <w:t xml:space="preserve">40.2 </w:t>
            </w:r>
          </w:p>
        </w:tc>
        <w:tc>
          <w:tcPr>
            <w:tcW w:w="1395" w:type="dxa"/>
            <w:tcBorders>
              <w:tl2br w:val="nil"/>
              <w:tr2bl w:val="nil"/>
            </w:tcBorders>
            <w:vAlign w:val="center"/>
          </w:tcPr>
          <w:p>
            <w:pPr>
              <w:keepNext w:val="0"/>
              <w:keepLines w:val="0"/>
              <w:widowControl/>
              <w:suppressLineNumbers w:val="0"/>
              <w:jc w:val="center"/>
              <w:textAlignment w:val="center"/>
              <w:rPr>
                <w:rFonts w:hint="eastAsia" w:ascii="Times New Roman" w:hAnsi="Times New Roman"/>
                <w:color w:val="auto"/>
                <w:kern w:val="0"/>
                <w:sz w:val="21"/>
                <w:szCs w:val="21"/>
                <w:lang w:val="en-US" w:eastAsia="zh-CN"/>
              </w:rPr>
            </w:pPr>
            <w:r>
              <w:rPr>
                <w:rFonts w:hint="eastAsia" w:ascii="宋体" w:hAnsi="宋体" w:eastAsia="宋体" w:cs="宋体"/>
                <w:i w:val="0"/>
                <w:color w:val="auto"/>
                <w:kern w:val="0"/>
                <w:sz w:val="21"/>
                <w:szCs w:val="21"/>
                <w:u w:val="none"/>
                <w:lang w:val="en-US" w:eastAsia="zh-CN" w:bidi="ar"/>
              </w:rPr>
              <w:t xml:space="preserve">45.3 </w:t>
            </w:r>
          </w:p>
        </w:tc>
        <w:tc>
          <w:tcPr>
            <w:tcW w:w="1409" w:type="dxa"/>
            <w:tcBorders>
              <w:tl2br w:val="nil"/>
              <w:tr2bl w:val="nil"/>
            </w:tcBorders>
            <w:vAlign w:val="center"/>
          </w:tcPr>
          <w:p>
            <w:pPr>
              <w:keepNext w:val="0"/>
              <w:keepLines w:val="0"/>
              <w:widowControl/>
              <w:suppressLineNumbers w:val="0"/>
              <w:jc w:val="center"/>
              <w:textAlignment w:val="center"/>
              <w:rPr>
                <w:rFonts w:hint="eastAsia" w:ascii="Times New Roman" w:hAnsi="Times New Roman"/>
                <w:color w:val="auto"/>
                <w:kern w:val="0"/>
                <w:sz w:val="21"/>
                <w:szCs w:val="21"/>
                <w:lang w:val="en-US" w:eastAsia="zh-CN"/>
              </w:rPr>
            </w:pPr>
            <w:r>
              <w:rPr>
                <w:rFonts w:hint="eastAsia" w:ascii="宋体" w:hAnsi="宋体" w:eastAsia="宋体" w:cs="宋体"/>
                <w:i w:val="0"/>
                <w:color w:val="auto"/>
                <w:kern w:val="0"/>
                <w:sz w:val="21"/>
                <w:szCs w:val="21"/>
                <w:u w:val="none"/>
                <w:lang w:val="en-US" w:eastAsia="zh-CN" w:bidi="ar"/>
              </w:rPr>
              <w:t xml:space="preserve">41.7 </w:t>
            </w:r>
          </w:p>
        </w:tc>
        <w:tc>
          <w:tcPr>
            <w:tcW w:w="1184" w:type="dxa"/>
            <w:gridSpan w:val="2"/>
            <w:vMerge w:val="continue"/>
            <w:tcBorders>
              <w:tl2br w:val="nil"/>
              <w:tr2bl w:val="nil"/>
            </w:tcBorders>
            <w:vAlign w:val="center"/>
          </w:tcPr>
          <w:p>
            <w:pPr>
              <w:jc w:val="center"/>
              <w:rPr>
                <w:rFonts w:hint="eastAsia" w:ascii="Times New Roman" w:hAnsi="Times New Roman" w:cs="Times New Roman"/>
                <w:color w:val="auto"/>
                <w:szCs w:val="21"/>
                <w:highlight w:val="none"/>
                <w:lang w:val="en-US" w:eastAsia="zh-CN"/>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521" w:hRule="exact"/>
          <w:jc w:val="center"/>
        </w:trPr>
        <w:tc>
          <w:tcPr>
            <w:tcW w:w="554" w:type="dxa"/>
            <w:vMerge w:val="continue"/>
            <w:tcBorders>
              <w:right w:val="single" w:color="auto" w:sz="4" w:space="0"/>
              <w:tl2br w:val="nil"/>
              <w:tr2bl w:val="nil"/>
            </w:tcBorders>
            <w:vAlign w:val="center"/>
          </w:tcPr>
          <w:p>
            <w:pPr>
              <w:widowControl/>
              <w:jc w:val="center"/>
              <w:rPr>
                <w:rFonts w:hint="eastAsia" w:ascii="Times New Roman" w:hAnsi="Times New Roman"/>
                <w:color w:val="auto"/>
                <w:kern w:val="0"/>
                <w:sz w:val="21"/>
                <w:szCs w:val="21"/>
                <w:lang w:val="en-US" w:eastAsia="zh-CN"/>
              </w:rPr>
            </w:pPr>
          </w:p>
        </w:tc>
        <w:tc>
          <w:tcPr>
            <w:tcW w:w="1095" w:type="dxa"/>
            <w:tcBorders>
              <w:left w:val="single" w:color="auto" w:sz="4" w:space="0"/>
              <w:tl2br w:val="nil"/>
              <w:tr2bl w:val="nil"/>
            </w:tcBorders>
            <w:vAlign w:val="center"/>
          </w:tcPr>
          <w:p>
            <w:pPr>
              <w:widowControl/>
              <w:jc w:val="center"/>
              <w:rPr>
                <w:rFonts w:hint="eastAsia" w:ascii="Times New Roman" w:hAnsi="Times New Roman"/>
                <w:color w:val="auto"/>
                <w:kern w:val="0"/>
                <w:sz w:val="21"/>
                <w:szCs w:val="21"/>
                <w:lang w:val="en-US" w:eastAsia="zh-CN"/>
              </w:rPr>
            </w:pPr>
            <w:r>
              <w:rPr>
                <w:rFonts w:hint="eastAsia" w:ascii="Times New Roman" w:hAnsi="Times New Roman"/>
                <w:color w:val="auto"/>
                <w:kern w:val="0"/>
                <w:sz w:val="21"/>
                <w:szCs w:val="21"/>
                <w:lang w:val="en-US" w:eastAsia="zh-CN"/>
              </w:rPr>
              <w:t>7#西厂界</w:t>
            </w:r>
          </w:p>
        </w:tc>
        <w:tc>
          <w:tcPr>
            <w:tcW w:w="1425" w:type="dxa"/>
            <w:tcBorders>
              <w:tl2br w:val="nil"/>
              <w:tr2bl w:val="nil"/>
            </w:tcBorders>
            <w:vAlign w:val="center"/>
          </w:tcPr>
          <w:p>
            <w:pPr>
              <w:keepNext w:val="0"/>
              <w:keepLines w:val="0"/>
              <w:widowControl/>
              <w:suppressLineNumbers w:val="0"/>
              <w:jc w:val="center"/>
              <w:textAlignment w:val="center"/>
              <w:rPr>
                <w:rFonts w:hint="eastAsia" w:ascii="Times New Roman" w:hAnsi="Times New Roman"/>
                <w:color w:val="auto"/>
                <w:kern w:val="0"/>
                <w:sz w:val="21"/>
                <w:szCs w:val="21"/>
                <w:lang w:val="en-US" w:eastAsia="zh-CN"/>
              </w:rPr>
            </w:pPr>
            <w:r>
              <w:rPr>
                <w:rFonts w:hint="eastAsia" w:ascii="宋体" w:hAnsi="宋体" w:eastAsia="宋体" w:cs="宋体"/>
                <w:i w:val="0"/>
                <w:color w:val="auto"/>
                <w:kern w:val="0"/>
                <w:sz w:val="21"/>
                <w:szCs w:val="21"/>
                <w:u w:val="none"/>
                <w:lang w:val="en-US" w:eastAsia="zh-CN" w:bidi="ar"/>
              </w:rPr>
              <w:t xml:space="preserve">45.9 </w:t>
            </w:r>
          </w:p>
        </w:tc>
        <w:tc>
          <w:tcPr>
            <w:tcW w:w="1470" w:type="dxa"/>
            <w:tcBorders>
              <w:tl2br w:val="nil"/>
              <w:tr2bl w:val="nil"/>
            </w:tcBorders>
            <w:vAlign w:val="center"/>
          </w:tcPr>
          <w:p>
            <w:pPr>
              <w:keepNext w:val="0"/>
              <w:keepLines w:val="0"/>
              <w:widowControl/>
              <w:suppressLineNumbers w:val="0"/>
              <w:jc w:val="center"/>
              <w:textAlignment w:val="center"/>
              <w:rPr>
                <w:rFonts w:hint="eastAsia" w:ascii="Times New Roman" w:hAnsi="Times New Roman"/>
                <w:color w:val="auto"/>
                <w:kern w:val="0"/>
                <w:sz w:val="21"/>
                <w:szCs w:val="21"/>
                <w:lang w:val="en-US" w:eastAsia="zh-CN"/>
              </w:rPr>
            </w:pPr>
            <w:r>
              <w:rPr>
                <w:rFonts w:hint="eastAsia" w:ascii="宋体" w:hAnsi="宋体" w:eastAsia="宋体" w:cs="宋体"/>
                <w:i w:val="0"/>
                <w:color w:val="auto"/>
                <w:kern w:val="0"/>
                <w:sz w:val="21"/>
                <w:szCs w:val="21"/>
                <w:u w:val="none"/>
                <w:lang w:val="en-US" w:eastAsia="zh-CN" w:bidi="ar"/>
              </w:rPr>
              <w:t xml:space="preserve">41.7 </w:t>
            </w:r>
          </w:p>
        </w:tc>
        <w:tc>
          <w:tcPr>
            <w:tcW w:w="1395" w:type="dxa"/>
            <w:tcBorders>
              <w:tl2br w:val="nil"/>
              <w:tr2bl w:val="nil"/>
            </w:tcBorders>
            <w:vAlign w:val="center"/>
          </w:tcPr>
          <w:p>
            <w:pPr>
              <w:keepNext w:val="0"/>
              <w:keepLines w:val="0"/>
              <w:widowControl/>
              <w:suppressLineNumbers w:val="0"/>
              <w:jc w:val="center"/>
              <w:textAlignment w:val="center"/>
              <w:rPr>
                <w:rFonts w:hint="eastAsia" w:ascii="Times New Roman" w:hAnsi="Times New Roman"/>
                <w:color w:val="auto"/>
                <w:kern w:val="0"/>
                <w:sz w:val="21"/>
                <w:szCs w:val="21"/>
                <w:lang w:val="en-US" w:eastAsia="zh-CN"/>
              </w:rPr>
            </w:pPr>
            <w:r>
              <w:rPr>
                <w:rFonts w:hint="eastAsia" w:ascii="宋体" w:hAnsi="宋体" w:eastAsia="宋体" w:cs="宋体"/>
                <w:i w:val="0"/>
                <w:color w:val="auto"/>
                <w:kern w:val="0"/>
                <w:sz w:val="21"/>
                <w:szCs w:val="21"/>
                <w:u w:val="none"/>
                <w:lang w:val="en-US" w:eastAsia="zh-CN" w:bidi="ar"/>
              </w:rPr>
              <w:t xml:space="preserve">45.5 </w:t>
            </w:r>
          </w:p>
        </w:tc>
        <w:tc>
          <w:tcPr>
            <w:tcW w:w="1409" w:type="dxa"/>
            <w:tcBorders>
              <w:tl2br w:val="nil"/>
              <w:tr2bl w:val="nil"/>
            </w:tcBorders>
            <w:vAlign w:val="center"/>
          </w:tcPr>
          <w:p>
            <w:pPr>
              <w:keepNext w:val="0"/>
              <w:keepLines w:val="0"/>
              <w:widowControl/>
              <w:suppressLineNumbers w:val="0"/>
              <w:jc w:val="center"/>
              <w:textAlignment w:val="center"/>
              <w:rPr>
                <w:rFonts w:hint="eastAsia" w:ascii="Times New Roman" w:hAnsi="Times New Roman"/>
                <w:color w:val="auto"/>
                <w:kern w:val="0"/>
                <w:sz w:val="21"/>
                <w:szCs w:val="21"/>
                <w:lang w:val="en-US" w:eastAsia="zh-CN"/>
              </w:rPr>
            </w:pPr>
            <w:r>
              <w:rPr>
                <w:rFonts w:hint="eastAsia" w:ascii="宋体" w:hAnsi="宋体" w:eastAsia="宋体" w:cs="宋体"/>
                <w:i w:val="0"/>
                <w:color w:val="auto"/>
                <w:kern w:val="0"/>
                <w:sz w:val="21"/>
                <w:szCs w:val="21"/>
                <w:u w:val="none"/>
                <w:lang w:val="en-US" w:eastAsia="zh-CN" w:bidi="ar"/>
              </w:rPr>
              <w:t xml:space="preserve">40.5 </w:t>
            </w:r>
          </w:p>
        </w:tc>
        <w:tc>
          <w:tcPr>
            <w:tcW w:w="1184" w:type="dxa"/>
            <w:gridSpan w:val="2"/>
            <w:vMerge w:val="continue"/>
            <w:tcBorders>
              <w:tl2br w:val="nil"/>
              <w:tr2bl w:val="nil"/>
            </w:tcBorders>
            <w:vAlign w:val="center"/>
          </w:tcPr>
          <w:p>
            <w:pPr>
              <w:jc w:val="center"/>
              <w:rPr>
                <w:rFonts w:hint="eastAsia" w:ascii="Times New Roman" w:hAnsi="Times New Roman" w:cs="Times New Roman"/>
                <w:color w:val="auto"/>
                <w:szCs w:val="21"/>
                <w:highlight w:val="none"/>
                <w:lang w:val="en-US" w:eastAsia="zh-CN"/>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521" w:hRule="exact"/>
          <w:jc w:val="center"/>
        </w:trPr>
        <w:tc>
          <w:tcPr>
            <w:tcW w:w="554" w:type="dxa"/>
            <w:vMerge w:val="continue"/>
            <w:tcBorders>
              <w:right w:val="single" w:color="auto" w:sz="4" w:space="0"/>
              <w:tl2br w:val="nil"/>
              <w:tr2bl w:val="nil"/>
            </w:tcBorders>
            <w:vAlign w:val="center"/>
          </w:tcPr>
          <w:p>
            <w:pPr>
              <w:widowControl/>
              <w:jc w:val="center"/>
              <w:rPr>
                <w:rFonts w:hint="eastAsia" w:ascii="Times New Roman" w:hAnsi="Times New Roman"/>
                <w:color w:val="auto"/>
                <w:kern w:val="0"/>
                <w:sz w:val="21"/>
                <w:szCs w:val="21"/>
                <w:lang w:val="en-US" w:eastAsia="zh-CN"/>
              </w:rPr>
            </w:pPr>
          </w:p>
        </w:tc>
        <w:tc>
          <w:tcPr>
            <w:tcW w:w="1095" w:type="dxa"/>
            <w:tcBorders>
              <w:left w:val="single" w:color="auto" w:sz="4" w:space="0"/>
              <w:tl2br w:val="nil"/>
              <w:tr2bl w:val="nil"/>
            </w:tcBorders>
            <w:vAlign w:val="center"/>
          </w:tcPr>
          <w:p>
            <w:pPr>
              <w:widowControl/>
              <w:jc w:val="center"/>
              <w:rPr>
                <w:rFonts w:hint="eastAsia" w:ascii="Times New Roman" w:hAnsi="Times New Roman"/>
                <w:color w:val="auto"/>
                <w:kern w:val="0"/>
                <w:sz w:val="21"/>
                <w:szCs w:val="21"/>
                <w:lang w:val="en-US" w:eastAsia="zh-CN"/>
              </w:rPr>
            </w:pPr>
            <w:r>
              <w:rPr>
                <w:rFonts w:hint="eastAsia" w:ascii="Times New Roman" w:hAnsi="Times New Roman"/>
                <w:color w:val="auto"/>
                <w:kern w:val="0"/>
                <w:sz w:val="21"/>
                <w:szCs w:val="21"/>
                <w:lang w:val="en-US" w:eastAsia="zh-CN"/>
              </w:rPr>
              <w:t>8#东厂界</w:t>
            </w:r>
          </w:p>
        </w:tc>
        <w:tc>
          <w:tcPr>
            <w:tcW w:w="1425" w:type="dxa"/>
            <w:tcBorders>
              <w:tl2br w:val="nil"/>
              <w:tr2bl w:val="nil"/>
            </w:tcBorders>
            <w:vAlign w:val="center"/>
          </w:tcPr>
          <w:p>
            <w:pPr>
              <w:keepNext w:val="0"/>
              <w:keepLines w:val="0"/>
              <w:widowControl/>
              <w:suppressLineNumbers w:val="0"/>
              <w:jc w:val="center"/>
              <w:textAlignment w:val="center"/>
              <w:rPr>
                <w:rFonts w:hint="eastAsia" w:ascii="Times New Roman" w:hAnsi="Times New Roman"/>
                <w:color w:val="auto"/>
                <w:kern w:val="0"/>
                <w:sz w:val="21"/>
                <w:szCs w:val="21"/>
                <w:lang w:val="en-US" w:eastAsia="zh-CN"/>
              </w:rPr>
            </w:pPr>
            <w:r>
              <w:rPr>
                <w:rFonts w:hint="eastAsia" w:ascii="宋体" w:hAnsi="宋体" w:eastAsia="宋体" w:cs="宋体"/>
                <w:i w:val="0"/>
                <w:color w:val="auto"/>
                <w:kern w:val="0"/>
                <w:sz w:val="21"/>
                <w:szCs w:val="21"/>
                <w:u w:val="none"/>
                <w:lang w:val="en-US" w:eastAsia="zh-CN" w:bidi="ar"/>
              </w:rPr>
              <w:t xml:space="preserve">44.6 </w:t>
            </w:r>
          </w:p>
        </w:tc>
        <w:tc>
          <w:tcPr>
            <w:tcW w:w="1470" w:type="dxa"/>
            <w:tcBorders>
              <w:tl2br w:val="nil"/>
              <w:tr2bl w:val="nil"/>
            </w:tcBorders>
            <w:vAlign w:val="center"/>
          </w:tcPr>
          <w:p>
            <w:pPr>
              <w:keepNext w:val="0"/>
              <w:keepLines w:val="0"/>
              <w:widowControl/>
              <w:suppressLineNumbers w:val="0"/>
              <w:jc w:val="center"/>
              <w:textAlignment w:val="center"/>
              <w:rPr>
                <w:rFonts w:hint="eastAsia" w:ascii="Times New Roman" w:hAnsi="Times New Roman"/>
                <w:color w:val="auto"/>
                <w:kern w:val="0"/>
                <w:sz w:val="21"/>
                <w:szCs w:val="21"/>
                <w:lang w:val="en-US" w:eastAsia="zh-CN"/>
              </w:rPr>
            </w:pPr>
            <w:r>
              <w:rPr>
                <w:rFonts w:hint="eastAsia" w:ascii="宋体" w:hAnsi="宋体" w:eastAsia="宋体" w:cs="宋体"/>
                <w:i w:val="0"/>
                <w:color w:val="auto"/>
                <w:kern w:val="0"/>
                <w:sz w:val="21"/>
                <w:szCs w:val="21"/>
                <w:u w:val="none"/>
                <w:lang w:val="en-US" w:eastAsia="zh-CN" w:bidi="ar"/>
              </w:rPr>
              <w:t xml:space="preserve">41.2 </w:t>
            </w:r>
          </w:p>
        </w:tc>
        <w:tc>
          <w:tcPr>
            <w:tcW w:w="1395" w:type="dxa"/>
            <w:tcBorders>
              <w:tl2br w:val="nil"/>
              <w:tr2bl w:val="nil"/>
            </w:tcBorders>
            <w:vAlign w:val="center"/>
          </w:tcPr>
          <w:p>
            <w:pPr>
              <w:keepNext w:val="0"/>
              <w:keepLines w:val="0"/>
              <w:widowControl/>
              <w:suppressLineNumbers w:val="0"/>
              <w:jc w:val="center"/>
              <w:textAlignment w:val="center"/>
              <w:rPr>
                <w:rFonts w:hint="eastAsia" w:ascii="Times New Roman" w:hAnsi="Times New Roman"/>
                <w:color w:val="auto"/>
                <w:kern w:val="0"/>
                <w:sz w:val="21"/>
                <w:szCs w:val="21"/>
                <w:lang w:val="en-US" w:eastAsia="zh-CN"/>
              </w:rPr>
            </w:pPr>
            <w:r>
              <w:rPr>
                <w:rFonts w:hint="eastAsia" w:ascii="宋体" w:hAnsi="宋体" w:eastAsia="宋体" w:cs="宋体"/>
                <w:i w:val="0"/>
                <w:color w:val="auto"/>
                <w:kern w:val="0"/>
                <w:sz w:val="21"/>
                <w:szCs w:val="21"/>
                <w:u w:val="none"/>
                <w:lang w:val="en-US" w:eastAsia="zh-CN" w:bidi="ar"/>
              </w:rPr>
              <w:t xml:space="preserve">44.6 </w:t>
            </w:r>
          </w:p>
        </w:tc>
        <w:tc>
          <w:tcPr>
            <w:tcW w:w="1409" w:type="dxa"/>
            <w:tcBorders>
              <w:tl2br w:val="nil"/>
              <w:tr2bl w:val="nil"/>
            </w:tcBorders>
            <w:vAlign w:val="center"/>
          </w:tcPr>
          <w:p>
            <w:pPr>
              <w:keepNext w:val="0"/>
              <w:keepLines w:val="0"/>
              <w:widowControl/>
              <w:suppressLineNumbers w:val="0"/>
              <w:jc w:val="center"/>
              <w:textAlignment w:val="center"/>
              <w:rPr>
                <w:rFonts w:hint="eastAsia" w:ascii="Times New Roman" w:hAnsi="Times New Roman"/>
                <w:color w:val="auto"/>
                <w:kern w:val="0"/>
                <w:sz w:val="21"/>
                <w:szCs w:val="21"/>
                <w:lang w:val="en-US" w:eastAsia="zh-CN"/>
              </w:rPr>
            </w:pPr>
            <w:r>
              <w:rPr>
                <w:rFonts w:hint="eastAsia" w:ascii="宋体" w:hAnsi="宋体" w:eastAsia="宋体" w:cs="宋体"/>
                <w:i w:val="0"/>
                <w:color w:val="auto"/>
                <w:kern w:val="0"/>
                <w:sz w:val="21"/>
                <w:szCs w:val="21"/>
                <w:u w:val="none"/>
                <w:lang w:val="en-US" w:eastAsia="zh-CN" w:bidi="ar"/>
              </w:rPr>
              <w:t xml:space="preserve">40.9 </w:t>
            </w:r>
          </w:p>
        </w:tc>
        <w:tc>
          <w:tcPr>
            <w:tcW w:w="1184" w:type="dxa"/>
            <w:gridSpan w:val="2"/>
            <w:vMerge w:val="continue"/>
            <w:tcBorders>
              <w:tl2br w:val="nil"/>
              <w:tr2bl w:val="nil"/>
            </w:tcBorders>
            <w:vAlign w:val="center"/>
          </w:tcPr>
          <w:p>
            <w:pPr>
              <w:jc w:val="center"/>
              <w:rPr>
                <w:rFonts w:hint="eastAsia" w:ascii="Times New Roman" w:hAnsi="Times New Roman" w:cs="Times New Roman"/>
                <w:color w:val="auto"/>
                <w:szCs w:val="21"/>
                <w:highlight w:val="none"/>
                <w:lang w:val="en-US" w:eastAsia="zh-CN"/>
              </w:rPr>
            </w:pPr>
          </w:p>
        </w:tc>
      </w:tr>
    </w:tbl>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4.5.2声环境质量现状评价</w:t>
      </w:r>
      <w:bookmarkEnd w:id="187"/>
      <w:bookmarkEnd w:id="188"/>
      <w:bookmarkEnd w:id="189"/>
      <w:bookmarkEnd w:id="190"/>
    </w:p>
    <w:p>
      <w:pPr>
        <w:pStyle w:val="276"/>
        <w:rPr>
          <w:rFonts w:eastAsiaTheme="minorEastAsia"/>
          <w:color w:val="auto"/>
        </w:rPr>
      </w:pPr>
      <w:r>
        <w:rPr>
          <w:rFonts w:eastAsiaTheme="minorEastAsia"/>
          <w:color w:val="auto"/>
        </w:rPr>
        <w:t>（1）评价方法</w:t>
      </w:r>
    </w:p>
    <w:p>
      <w:pPr>
        <w:pStyle w:val="276"/>
        <w:rPr>
          <w:rFonts w:eastAsiaTheme="minorEastAsia"/>
          <w:color w:val="auto"/>
        </w:rPr>
      </w:pPr>
      <w:r>
        <w:rPr>
          <w:rFonts w:eastAsiaTheme="minorEastAsia"/>
          <w:color w:val="auto"/>
        </w:rPr>
        <w:t>根据噪声现状的监测统计结果，采用与评价标准直接比较的方法（单因子法）对评价范围内的声环境质量现状进行评价。</w:t>
      </w:r>
    </w:p>
    <w:p>
      <w:pPr>
        <w:pStyle w:val="276"/>
        <w:rPr>
          <w:rFonts w:eastAsiaTheme="minorEastAsia"/>
          <w:color w:val="auto"/>
        </w:rPr>
      </w:pPr>
      <w:r>
        <w:rPr>
          <w:rFonts w:eastAsiaTheme="minorEastAsia"/>
          <w:color w:val="auto"/>
        </w:rPr>
        <w:t>（2）评价标准</w:t>
      </w:r>
    </w:p>
    <w:p>
      <w:pPr>
        <w:pStyle w:val="276"/>
        <w:rPr>
          <w:rFonts w:eastAsiaTheme="minorEastAsia"/>
          <w:color w:val="auto"/>
        </w:rPr>
      </w:pPr>
      <w:r>
        <w:rPr>
          <w:rFonts w:eastAsiaTheme="minorEastAsia"/>
          <w:color w:val="auto"/>
        </w:rPr>
        <w:t>现状评价采用《声环境质量标准》（GB3096-2008）中2类标准。</w:t>
      </w:r>
    </w:p>
    <w:p>
      <w:pPr>
        <w:pStyle w:val="276"/>
        <w:rPr>
          <w:rFonts w:eastAsiaTheme="minorEastAsia"/>
          <w:color w:val="auto"/>
        </w:rPr>
      </w:pPr>
      <w:r>
        <w:rPr>
          <w:rFonts w:eastAsiaTheme="minorEastAsia"/>
          <w:color w:val="auto"/>
        </w:rPr>
        <w:t>（3）评价结论</w:t>
      </w:r>
    </w:p>
    <w:p>
      <w:pPr>
        <w:pStyle w:val="276"/>
        <w:rPr>
          <w:rFonts w:eastAsiaTheme="minorEastAsia"/>
          <w:color w:val="auto"/>
        </w:rPr>
      </w:pPr>
      <w:r>
        <w:rPr>
          <w:rFonts w:hint="eastAsia" w:eastAsiaTheme="minorEastAsia"/>
          <w:color w:val="auto"/>
          <w:lang w:eastAsia="zh-CN"/>
        </w:rPr>
        <w:t>本项目厂界声环境质量</w:t>
      </w:r>
      <w:r>
        <w:rPr>
          <w:rFonts w:eastAsiaTheme="minorEastAsia"/>
          <w:color w:val="auto"/>
        </w:rPr>
        <w:t>满足《声环境质量标准》（GB3096-2008）中2类标准</w:t>
      </w:r>
      <w:r>
        <w:rPr>
          <w:rFonts w:hint="eastAsia" w:eastAsiaTheme="minorEastAsia"/>
          <w:color w:val="auto"/>
          <w:lang w:eastAsia="zh-CN"/>
        </w:rPr>
        <w:t>要求。</w:t>
      </w:r>
    </w:p>
    <w:p>
      <w:pPr>
        <w:pStyle w:val="238"/>
        <w:rPr>
          <w:rFonts w:hAnsi="Times New Roman" w:eastAsiaTheme="minorEastAsia"/>
          <w:color w:val="auto"/>
        </w:rPr>
      </w:pPr>
      <w:bookmarkStart w:id="191" w:name="_Toc440973489"/>
      <w:bookmarkStart w:id="192" w:name="_Toc519693576"/>
      <w:bookmarkStart w:id="193" w:name="_Toc486324164"/>
      <w:bookmarkStart w:id="194" w:name="_Toc440973755"/>
      <w:r>
        <w:rPr>
          <w:rFonts w:hAnsi="Times New Roman" w:eastAsiaTheme="minorEastAsia"/>
          <w:color w:val="auto"/>
        </w:rPr>
        <w:t>4.6生态环境现状调查</w:t>
      </w:r>
      <w:bookmarkEnd w:id="191"/>
      <w:bookmarkEnd w:id="192"/>
      <w:bookmarkEnd w:id="193"/>
      <w:bookmarkEnd w:id="194"/>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4.6.1调查范围</w:t>
      </w:r>
    </w:p>
    <w:p>
      <w:pPr>
        <w:pStyle w:val="276"/>
        <w:rPr>
          <w:rFonts w:eastAsiaTheme="minorEastAsia"/>
          <w:color w:val="auto"/>
        </w:rPr>
      </w:pPr>
      <w:r>
        <w:rPr>
          <w:rFonts w:eastAsiaTheme="minorEastAsia"/>
          <w:color w:val="auto"/>
        </w:rPr>
        <w:t>根据《环境影响评价技术导则 生态影响》（HJ19-2011）及项目所在区域环境特征，本项目生态环境调查范围包括露天采场及</w:t>
      </w:r>
      <w:r>
        <w:rPr>
          <w:rFonts w:hint="eastAsia" w:eastAsiaTheme="minorEastAsia"/>
          <w:color w:val="auto"/>
          <w:lang w:eastAsia="zh-CN"/>
        </w:rPr>
        <w:t>工业场地</w:t>
      </w:r>
      <w:r>
        <w:rPr>
          <w:rFonts w:eastAsiaTheme="minorEastAsia"/>
          <w:color w:val="auto"/>
        </w:rPr>
        <w:t>等外延0.5km。</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4.6.2调查方法</w:t>
      </w:r>
    </w:p>
    <w:p>
      <w:pPr>
        <w:pStyle w:val="276"/>
        <w:rPr>
          <w:rFonts w:eastAsiaTheme="minorEastAsia"/>
          <w:color w:val="auto"/>
        </w:rPr>
      </w:pPr>
      <w:r>
        <w:rPr>
          <w:rFonts w:eastAsiaTheme="minorEastAsia"/>
          <w:color w:val="auto"/>
        </w:rPr>
        <w:t>根据项目所在区域特征，本项目调查方法主要采用资料收集和现场调查。收集整理本项目评价区及邻近地区现有生物多样性资料，并向当地生态保护技术人员、政府管理部门、农民等访问调查，了解调查范围内动植物资源情况、区域生态系统类型和景观环境状况等。</w:t>
      </w:r>
    </w:p>
    <w:p>
      <w:pPr>
        <w:pStyle w:val="276"/>
        <w:spacing w:line="240" w:lineRule="auto"/>
        <w:ind w:firstLine="0" w:firstLineChars="0"/>
        <w:rPr>
          <w:rFonts w:eastAsiaTheme="minorEastAsia"/>
          <w:color w:val="auto"/>
        </w:rPr>
      </w:pPr>
      <w:r>
        <w:rPr>
          <w:rFonts w:eastAsiaTheme="minorEastAsia"/>
          <w:color w:val="auto"/>
        </w:rPr>
        <mc:AlternateContent>
          <mc:Choice Requires="wps">
            <w:drawing>
              <wp:anchor distT="0" distB="0" distL="114300" distR="114300" simplePos="0" relativeHeight="270125056" behindDoc="0" locked="0" layoutInCell="1" allowOverlap="1">
                <wp:simplePos x="0" y="0"/>
                <wp:positionH relativeFrom="column">
                  <wp:posOffset>238125</wp:posOffset>
                </wp:positionH>
                <wp:positionV relativeFrom="paragraph">
                  <wp:posOffset>3785870</wp:posOffset>
                </wp:positionV>
                <wp:extent cx="238125" cy="152400"/>
                <wp:effectExtent l="0" t="0" r="28575" b="19050"/>
                <wp:wrapNone/>
                <wp:docPr id="78" name="矩形 78"/>
                <wp:cNvGraphicFramePr/>
                <a:graphic xmlns:a="http://schemas.openxmlformats.org/drawingml/2006/main">
                  <a:graphicData uri="http://schemas.microsoft.com/office/word/2010/wordprocessingShape">
                    <wps:wsp>
                      <wps:cNvSpPr/>
                      <wps:spPr>
                        <a:xfrm>
                          <a:off x="0" y="0"/>
                          <a:ext cx="238125" cy="152400"/>
                        </a:xfrm>
                        <a:prstGeom prst="rect">
                          <a:avLst/>
                        </a:prstGeom>
                        <a:solidFill>
                          <a:schemeClr val="bg1"/>
                        </a:solid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8.75pt;margin-top:298.1pt;height:12pt;width:18.75pt;z-index:270125056;v-text-anchor:middle;mso-width-relative:page;mso-height-relative:page;" fillcolor="#FFFFFF [3212]" filled="t" stroked="t" coordsize="21600,21600" o:gfxdata="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mu4YAtkAAAAJAQAADwAAAAAA&#10;AAABACAAAAAiAAAAZHJzL2Rvd25yZXYueG1sUEsBAhQAFAAAAAgAh07iQFGHo7xLAgAAkAQAAA4A&#10;AAAAAAAAAQAgAAAAKAEAAGRycy9lMm9Eb2MueG1sUEsFBgAAAAAGAAYAWQEAAOUFAAAAAA==&#10;">
                <v:fill on="t" focussize="0,0"/>
                <v:stroke weight="2pt" color="#0070C0 [3204]" joinstyle="round"/>
                <v:imagedata o:title=""/>
                <o:lock v:ext="edit" aspectratio="f"/>
              </v:rect>
            </w:pict>
          </mc:Fallback>
        </mc:AlternateContent>
      </w:r>
      <w:r>
        <w:rPr>
          <w:rFonts w:eastAsiaTheme="minorEastAsia"/>
          <w:color w:val="auto"/>
        </w:rPr>
        <w:drawing>
          <wp:anchor distT="0" distB="0" distL="114300" distR="114300" simplePos="0" relativeHeight="251674624" behindDoc="0" locked="0" layoutInCell="1" allowOverlap="1">
            <wp:simplePos x="0" y="0"/>
            <wp:positionH relativeFrom="column">
              <wp:posOffset>113665</wp:posOffset>
            </wp:positionH>
            <wp:positionV relativeFrom="paragraph">
              <wp:posOffset>2981325</wp:posOffset>
            </wp:positionV>
            <wp:extent cx="1636395" cy="1017905"/>
            <wp:effectExtent l="0" t="0" r="1905" b="0"/>
            <wp:wrapNone/>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38">
                      <a:extLst>
                        <a:ext uri="{28A0092B-C50C-407E-A947-70E740481C1C}">
                          <a14:useLocalDpi xmlns:a14="http://schemas.microsoft.com/office/drawing/2010/main" val="0"/>
                        </a:ext>
                      </a:extLst>
                    </a:blip>
                    <a:stretch>
                      <a:fillRect/>
                    </a:stretch>
                  </pic:blipFill>
                  <pic:spPr>
                    <a:xfrm>
                      <a:off x="0" y="0"/>
                      <a:ext cx="1636395" cy="1017905"/>
                    </a:xfrm>
                    <a:prstGeom prst="rect">
                      <a:avLst/>
                    </a:prstGeom>
                  </pic:spPr>
                </pic:pic>
              </a:graphicData>
            </a:graphic>
          </wp:anchor>
        </w:drawing>
      </w:r>
    </w:p>
    <w:p>
      <w:pPr>
        <w:pStyle w:val="276"/>
        <w:keepNext w:val="0"/>
        <w:keepLines w:val="0"/>
        <w:pageBreakBefore w:val="0"/>
        <w:widowControl w:val="0"/>
        <w:kinsoku/>
        <w:wordWrap/>
        <w:overflowPunct/>
        <w:topLinePunct w:val="0"/>
        <w:autoSpaceDE/>
        <w:autoSpaceDN/>
        <w:bidi w:val="0"/>
        <w:adjustRightInd/>
        <w:snapToGrid/>
        <w:spacing w:line="240" w:lineRule="auto"/>
        <w:ind w:firstLine="2400" w:firstLineChars="1000"/>
        <w:textAlignment w:val="auto"/>
        <w:outlineLvl w:val="9"/>
        <w:rPr>
          <w:rFonts w:hint="eastAsia" w:eastAsiaTheme="minorEastAsia"/>
          <w:color w:val="auto"/>
          <w:highlight w:val="yellow"/>
          <w:lang w:eastAsia="zh-CN"/>
        </w:rPr>
      </w:pPr>
    </w:p>
    <w:p>
      <w:pPr>
        <w:pStyle w:val="276"/>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eastAsiaTheme="minorEastAsia"/>
          <w:color w:val="auto"/>
          <w:highlight w:val="yellow"/>
          <w:lang w:eastAsia="zh-CN"/>
        </w:rPr>
      </w:pPr>
      <w:r>
        <w:rPr>
          <w:color w:val="auto"/>
          <w:sz w:val="24"/>
        </w:rPr>
        <mc:AlternateContent>
          <mc:Choice Requires="wps">
            <w:drawing>
              <wp:anchor distT="0" distB="0" distL="114300" distR="114300" simplePos="0" relativeHeight="327046144" behindDoc="0" locked="0" layoutInCell="1" allowOverlap="1">
                <wp:simplePos x="0" y="0"/>
                <wp:positionH relativeFrom="column">
                  <wp:posOffset>3502025</wp:posOffset>
                </wp:positionH>
                <wp:positionV relativeFrom="paragraph">
                  <wp:posOffset>2036445</wp:posOffset>
                </wp:positionV>
                <wp:extent cx="1165860" cy="351155"/>
                <wp:effectExtent l="12700" t="12700" r="21590" b="779145"/>
                <wp:wrapNone/>
                <wp:docPr id="32" name="矩形标注 32"/>
                <wp:cNvGraphicFramePr/>
                <a:graphic xmlns:a="http://schemas.openxmlformats.org/drawingml/2006/main">
                  <a:graphicData uri="http://schemas.microsoft.com/office/word/2010/wordprocessingShape">
                    <wps:wsp>
                      <wps:cNvSpPr/>
                      <wps:spPr>
                        <a:xfrm>
                          <a:off x="4737100" y="3952240"/>
                          <a:ext cx="1165860" cy="351155"/>
                        </a:xfrm>
                        <a:prstGeom prst="wedgeRectCallout">
                          <a:avLst>
                            <a:gd name="adj1" fmla="val -48257"/>
                            <a:gd name="adj2" fmla="val 264647"/>
                          </a:avLst>
                        </a:prstGeom>
                        <a:noFill/>
                        <a:ln>
                          <a:solidFill>
                            <a:schemeClr val="bg1">
                              <a:lumMod val="65000"/>
                            </a:schemeClr>
                          </a:solidFill>
                        </a:ln>
                        <a:extLst>
                          <a:ext uri="{909E8E84-426E-40DD-AFC4-6F175D3DCCD1}">
                            <a14:hiddenFill xmlns:a14="http://schemas.microsoft.com/office/drawing/2010/main">
                              <a:solidFill>
                                <a:schemeClr val="accent1"/>
                              </a:solidFill>
                            </a14:hiddenFill>
                          </a:ext>
                        </a:extLst>
                      </wps:spPr>
                      <wps:style>
                        <a:lnRef idx="2">
                          <a:schemeClr val="accent1">
                            <a:shade val="50000"/>
                          </a:schemeClr>
                        </a:lnRef>
                        <a:fillRef idx="1">
                          <a:schemeClr val="accent1"/>
                        </a:fillRef>
                        <a:effectRef idx="0">
                          <a:schemeClr val="accent1"/>
                        </a:effectRef>
                        <a:fontRef idx="minor">
                          <a:schemeClr val="lt1"/>
                        </a:fontRef>
                      </wps:style>
                      <wps:txbx>
                        <w:txbxContent>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eastAsia="宋体"/>
                                <w:color w:val="auto"/>
                                <w:lang w:eastAsia="zh-CN"/>
                              </w:rPr>
                            </w:pPr>
                            <w:r>
                              <w:rPr>
                                <w:rFonts w:hint="eastAsia"/>
                                <w:color w:val="auto"/>
                                <w:lang w:eastAsia="zh-CN"/>
                              </w:rPr>
                              <w:t>本项目所在地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275.75pt;margin-top:160.35pt;height:27.65pt;width:91.8pt;z-index:327046144;v-text-anchor:middle;mso-width-relative:page;mso-height-relative:page;" filled="f" stroked="t" coordsize="21600,21600" o:gfxdata="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" adj="376,67964">
                <v:fill on="f" focussize="0,0"/>
                <v:stroke weight="2pt" color="#A6A6A6 [2092]"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eastAsia="宋体"/>
                          <w:color w:val="auto"/>
                          <w:lang w:eastAsia="zh-CN"/>
                        </w:rPr>
                      </w:pPr>
                      <w:r>
                        <w:rPr>
                          <w:rFonts w:hint="eastAsia"/>
                          <w:color w:val="auto"/>
                          <w:lang w:eastAsia="zh-CN"/>
                        </w:rPr>
                        <w:t>本项目所在地</w:t>
                      </w:r>
                    </w:p>
                  </w:txbxContent>
                </v:textbox>
              </v:shape>
            </w:pict>
          </mc:Fallback>
        </mc:AlternateContent>
      </w:r>
      <w:r>
        <w:rPr>
          <w:color w:val="auto"/>
        </w:rPr>
        <w:drawing>
          <wp:anchor distT="0" distB="0" distL="114300" distR="114300" simplePos="0" relativeHeight="327045120" behindDoc="0" locked="0" layoutInCell="1" allowOverlap="1">
            <wp:simplePos x="0" y="0"/>
            <wp:positionH relativeFrom="column">
              <wp:posOffset>765175</wp:posOffset>
            </wp:positionH>
            <wp:positionV relativeFrom="paragraph">
              <wp:posOffset>3443605</wp:posOffset>
            </wp:positionV>
            <wp:extent cx="1171575" cy="1306195"/>
            <wp:effectExtent l="0" t="0" r="9525" b="8255"/>
            <wp:wrapNone/>
            <wp:docPr id="29"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6"/>
                    <pic:cNvPicPr>
                      <a:picLocks noChangeAspect="1"/>
                    </pic:cNvPicPr>
                  </pic:nvPicPr>
                  <pic:blipFill>
                    <a:blip r:embed="rId39"/>
                    <a:stretch>
                      <a:fillRect/>
                    </a:stretch>
                  </pic:blipFill>
                  <pic:spPr>
                    <a:xfrm>
                      <a:off x="0" y="0"/>
                      <a:ext cx="1171575" cy="1306195"/>
                    </a:xfrm>
                    <a:prstGeom prst="rect">
                      <a:avLst/>
                    </a:prstGeom>
                    <a:noFill/>
                    <a:ln w="9525">
                      <a:noFill/>
                    </a:ln>
                  </pic:spPr>
                </pic:pic>
              </a:graphicData>
            </a:graphic>
          </wp:anchor>
        </w:drawing>
      </w:r>
      <w:r>
        <w:rPr>
          <w:rFonts w:hint="eastAsia" w:eastAsiaTheme="minorEastAsia"/>
          <w:color w:val="auto"/>
          <w:highlight w:val="none"/>
          <w:lang w:eastAsia="zh-CN"/>
        </w:rPr>
        <w:drawing>
          <wp:inline distT="0" distB="0" distL="114300" distR="114300">
            <wp:extent cx="4040505" cy="4775200"/>
            <wp:effectExtent l="0" t="0" r="17145" b="6350"/>
            <wp:docPr id="10" name="图片 10" descr="土地利用现状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土地利用现状图"/>
                    <pic:cNvPicPr>
                      <a:picLocks noChangeAspect="1"/>
                    </pic:cNvPicPr>
                  </pic:nvPicPr>
                  <pic:blipFill>
                    <a:blip r:embed="rId40"/>
                    <a:srcRect t="16452"/>
                    <a:stretch>
                      <a:fillRect/>
                    </a:stretch>
                  </pic:blipFill>
                  <pic:spPr>
                    <a:xfrm>
                      <a:off x="0" y="0"/>
                      <a:ext cx="4040505" cy="4775200"/>
                    </a:xfrm>
                    <a:prstGeom prst="rect">
                      <a:avLst/>
                    </a:prstGeom>
                  </pic:spPr>
                </pic:pic>
              </a:graphicData>
            </a:graphic>
          </wp:inline>
        </w:drawing>
      </w:r>
    </w:p>
    <w:p>
      <w:pPr>
        <w:pStyle w:val="276"/>
        <w:ind w:firstLine="2400" w:firstLineChars="1000"/>
        <w:rPr>
          <w:rFonts w:eastAsiaTheme="minorEastAsia"/>
          <w:color w:val="auto"/>
          <w:highlight w:val="none"/>
        </w:rPr>
      </w:pPr>
      <w:r>
        <w:rPr>
          <w:rFonts w:eastAsiaTheme="minorEastAsia"/>
          <w:color w:val="auto"/>
          <w:highlight w:val="none"/>
        </w:rPr>
        <w:t>图4-6-1土地利用现状图</w:t>
      </w:r>
    </w:p>
    <w:p>
      <w:pPr>
        <w:pStyle w:val="276"/>
        <w:rPr>
          <w:rFonts w:eastAsiaTheme="minorEastAsia"/>
          <w:color w:val="auto"/>
        </w:rPr>
      </w:pPr>
      <w:r>
        <w:rPr>
          <w:rFonts w:eastAsiaTheme="minorEastAsia"/>
          <w:color w:val="auto"/>
        </w:rPr>
        <w:t>评价区土地利用情况划分为采矿用地及林地2 种类型。土地利用现状图见4-6</w:t>
      </w:r>
      <w:r>
        <w:rPr>
          <w:rFonts w:hint="eastAsia" w:eastAsiaTheme="minorEastAsia"/>
          <w:color w:val="auto"/>
          <w:lang w:val="en-US" w:eastAsia="zh-CN"/>
        </w:rPr>
        <w:t>-</w:t>
      </w:r>
      <w:r>
        <w:rPr>
          <w:rFonts w:eastAsiaTheme="minorEastAsia"/>
          <w:color w:val="auto"/>
        </w:rPr>
        <w:t>1，评价区土地利用及面积统计见表4-6-1。</w:t>
      </w:r>
    </w:p>
    <w:p>
      <w:pPr>
        <w:pStyle w:val="276"/>
        <w:jc w:val="center"/>
        <w:rPr>
          <w:rFonts w:eastAsiaTheme="minorEastAsia"/>
          <w:color w:val="auto"/>
        </w:rPr>
      </w:pPr>
      <w:r>
        <w:rPr>
          <w:rFonts w:eastAsiaTheme="minorEastAsia"/>
          <w:color w:val="auto"/>
        </w:rPr>
        <w:t>表4-6-1 评价区土地利用及面积统计表</w:t>
      </w:r>
    </w:p>
    <w:tbl>
      <w:tblPr>
        <w:tblStyle w:val="53"/>
        <w:tblW w:w="8306" w:type="dxa"/>
        <w:jc w:val="center"/>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162"/>
        <w:gridCol w:w="3758"/>
        <w:gridCol w:w="1693"/>
        <w:gridCol w:w="1693"/>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atLeast"/>
          <w:jc w:val="center"/>
        </w:trPr>
        <w:tc>
          <w:tcPr>
            <w:tcW w:w="1162" w:type="dxa"/>
            <w:vAlign w:val="center"/>
          </w:tcPr>
          <w:p>
            <w:pPr>
              <w:pStyle w:val="206"/>
              <w:rPr>
                <w:rFonts w:eastAsiaTheme="minorEastAsia"/>
                <w:color w:val="auto"/>
              </w:rPr>
            </w:pPr>
            <w:r>
              <w:rPr>
                <w:rFonts w:eastAsiaTheme="minorEastAsia"/>
                <w:color w:val="auto"/>
              </w:rPr>
              <w:t>土地利用类型</w:t>
            </w:r>
          </w:p>
        </w:tc>
        <w:tc>
          <w:tcPr>
            <w:tcW w:w="3758" w:type="dxa"/>
            <w:vAlign w:val="center"/>
          </w:tcPr>
          <w:p>
            <w:pPr>
              <w:pStyle w:val="206"/>
              <w:rPr>
                <w:rFonts w:eastAsiaTheme="minorEastAsia"/>
                <w:color w:val="auto"/>
              </w:rPr>
            </w:pPr>
            <w:r>
              <w:rPr>
                <w:rFonts w:eastAsiaTheme="minorEastAsia"/>
                <w:color w:val="auto"/>
              </w:rPr>
              <w:t>面积（km</w:t>
            </w:r>
            <w:r>
              <w:rPr>
                <w:rFonts w:eastAsiaTheme="minorEastAsia"/>
                <w:color w:val="auto"/>
                <w:vertAlign w:val="superscript"/>
              </w:rPr>
              <w:t>2</w:t>
            </w:r>
            <w:r>
              <w:rPr>
                <w:rFonts w:eastAsiaTheme="minorEastAsia"/>
                <w:color w:val="auto"/>
              </w:rPr>
              <w:t>）</w:t>
            </w:r>
          </w:p>
        </w:tc>
        <w:tc>
          <w:tcPr>
            <w:tcW w:w="1693" w:type="dxa"/>
          </w:tcPr>
          <w:p>
            <w:pPr>
              <w:pStyle w:val="206"/>
              <w:rPr>
                <w:rFonts w:eastAsiaTheme="minorEastAsia"/>
                <w:color w:val="auto"/>
              </w:rPr>
            </w:pPr>
            <w:r>
              <w:rPr>
                <w:rFonts w:eastAsiaTheme="minorEastAsia"/>
                <w:color w:val="auto"/>
              </w:rPr>
              <w:t>所占比例</w:t>
            </w:r>
          </w:p>
        </w:tc>
        <w:tc>
          <w:tcPr>
            <w:tcW w:w="1693" w:type="dxa"/>
            <w:vAlign w:val="center"/>
          </w:tcPr>
          <w:p>
            <w:pPr>
              <w:pStyle w:val="206"/>
              <w:rPr>
                <w:rFonts w:eastAsiaTheme="minorEastAsia"/>
                <w:color w:val="auto"/>
              </w:rPr>
            </w:pPr>
            <w:r>
              <w:rPr>
                <w:rFonts w:eastAsiaTheme="minorEastAsia"/>
                <w:color w:val="auto"/>
              </w:rPr>
              <w:t>土地权属</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atLeast"/>
          <w:jc w:val="center"/>
        </w:trPr>
        <w:tc>
          <w:tcPr>
            <w:tcW w:w="1162" w:type="dxa"/>
            <w:vAlign w:val="center"/>
          </w:tcPr>
          <w:p>
            <w:pPr>
              <w:pStyle w:val="206"/>
              <w:rPr>
                <w:rFonts w:eastAsiaTheme="minorEastAsia"/>
                <w:color w:val="auto"/>
              </w:rPr>
            </w:pPr>
            <w:r>
              <w:rPr>
                <w:rFonts w:eastAsiaTheme="minorEastAsia"/>
                <w:color w:val="auto"/>
              </w:rPr>
              <w:t>有林地</w:t>
            </w:r>
          </w:p>
        </w:tc>
        <w:tc>
          <w:tcPr>
            <w:tcW w:w="3758" w:type="dxa"/>
            <w:vAlign w:val="center"/>
          </w:tcPr>
          <w:p>
            <w:pPr>
              <w:pStyle w:val="206"/>
              <w:rPr>
                <w:rFonts w:eastAsiaTheme="minorEastAsia"/>
                <w:color w:val="auto"/>
              </w:rPr>
            </w:pPr>
            <w:r>
              <w:rPr>
                <w:rFonts w:eastAsiaTheme="minorEastAsia"/>
                <w:color w:val="auto"/>
              </w:rPr>
              <w:t>0.0134</w:t>
            </w:r>
          </w:p>
        </w:tc>
        <w:tc>
          <w:tcPr>
            <w:tcW w:w="1693" w:type="dxa"/>
          </w:tcPr>
          <w:p>
            <w:pPr>
              <w:pStyle w:val="206"/>
              <w:rPr>
                <w:rFonts w:eastAsiaTheme="minorEastAsia"/>
                <w:color w:val="auto"/>
              </w:rPr>
            </w:pPr>
            <w:r>
              <w:rPr>
                <w:rFonts w:eastAsiaTheme="minorEastAsia"/>
                <w:color w:val="auto"/>
              </w:rPr>
              <w:t>24.9%</w:t>
            </w:r>
          </w:p>
        </w:tc>
        <w:tc>
          <w:tcPr>
            <w:tcW w:w="1693" w:type="dxa"/>
            <w:vMerge w:val="restart"/>
            <w:vAlign w:val="center"/>
          </w:tcPr>
          <w:p>
            <w:pPr>
              <w:pStyle w:val="206"/>
              <w:rPr>
                <w:rFonts w:eastAsiaTheme="minorEastAsia"/>
                <w:color w:val="auto"/>
              </w:rPr>
            </w:pPr>
            <w:r>
              <w:rPr>
                <w:rFonts w:eastAsiaTheme="minorEastAsia"/>
                <w:color w:val="auto"/>
              </w:rPr>
              <w:t>村委会</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atLeast"/>
          <w:jc w:val="center"/>
        </w:trPr>
        <w:tc>
          <w:tcPr>
            <w:tcW w:w="1162" w:type="dxa"/>
            <w:vAlign w:val="center"/>
          </w:tcPr>
          <w:p>
            <w:pPr>
              <w:pStyle w:val="206"/>
              <w:rPr>
                <w:rFonts w:eastAsiaTheme="minorEastAsia"/>
                <w:color w:val="auto"/>
              </w:rPr>
            </w:pPr>
            <w:r>
              <w:rPr>
                <w:rFonts w:eastAsiaTheme="minorEastAsia"/>
                <w:color w:val="auto"/>
              </w:rPr>
              <w:t>采矿用地</w:t>
            </w:r>
          </w:p>
        </w:tc>
        <w:tc>
          <w:tcPr>
            <w:tcW w:w="3758" w:type="dxa"/>
            <w:vAlign w:val="center"/>
          </w:tcPr>
          <w:p>
            <w:pPr>
              <w:pStyle w:val="206"/>
              <w:rPr>
                <w:rFonts w:eastAsiaTheme="minorEastAsia"/>
                <w:color w:val="auto"/>
              </w:rPr>
            </w:pPr>
            <w:r>
              <w:rPr>
                <w:rFonts w:eastAsiaTheme="minorEastAsia"/>
                <w:color w:val="auto"/>
              </w:rPr>
              <w:t>0.0403</w:t>
            </w:r>
          </w:p>
        </w:tc>
        <w:tc>
          <w:tcPr>
            <w:tcW w:w="1693" w:type="dxa"/>
          </w:tcPr>
          <w:p>
            <w:pPr>
              <w:pStyle w:val="206"/>
              <w:rPr>
                <w:rFonts w:eastAsiaTheme="minorEastAsia"/>
                <w:color w:val="auto"/>
              </w:rPr>
            </w:pPr>
            <w:r>
              <w:rPr>
                <w:rFonts w:eastAsiaTheme="minorEastAsia"/>
                <w:color w:val="auto"/>
              </w:rPr>
              <w:t>75.1%</w:t>
            </w:r>
          </w:p>
        </w:tc>
        <w:tc>
          <w:tcPr>
            <w:tcW w:w="1693" w:type="dxa"/>
            <w:vMerge w:val="continue"/>
            <w:vAlign w:val="center"/>
          </w:tcPr>
          <w:p>
            <w:pPr>
              <w:pStyle w:val="206"/>
              <w:rPr>
                <w:rFonts w:eastAsiaTheme="minorEastAsia"/>
                <w:color w:val="auto"/>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atLeast"/>
          <w:jc w:val="center"/>
        </w:trPr>
        <w:tc>
          <w:tcPr>
            <w:tcW w:w="1162" w:type="dxa"/>
            <w:vAlign w:val="center"/>
          </w:tcPr>
          <w:p>
            <w:pPr>
              <w:pStyle w:val="206"/>
              <w:rPr>
                <w:rFonts w:eastAsiaTheme="minorEastAsia"/>
                <w:color w:val="auto"/>
              </w:rPr>
            </w:pPr>
            <w:r>
              <w:rPr>
                <w:rFonts w:eastAsiaTheme="minorEastAsia"/>
                <w:color w:val="auto"/>
              </w:rPr>
              <w:t>合计</w:t>
            </w:r>
          </w:p>
        </w:tc>
        <w:tc>
          <w:tcPr>
            <w:tcW w:w="3758" w:type="dxa"/>
            <w:vAlign w:val="center"/>
          </w:tcPr>
          <w:p>
            <w:pPr>
              <w:pStyle w:val="206"/>
              <w:rPr>
                <w:rFonts w:hint="eastAsia" w:eastAsiaTheme="minorEastAsia"/>
                <w:color w:val="auto"/>
                <w:lang w:eastAsia="zh-CN"/>
              </w:rPr>
            </w:pPr>
            <w:r>
              <w:rPr>
                <w:rFonts w:hint="eastAsia" w:eastAsiaTheme="minorEastAsia"/>
                <w:color w:val="auto"/>
                <w:lang w:eastAsia="zh-CN"/>
              </w:rPr>
              <w:t>0.014185</w:t>
            </w:r>
          </w:p>
        </w:tc>
        <w:tc>
          <w:tcPr>
            <w:tcW w:w="1693" w:type="dxa"/>
          </w:tcPr>
          <w:p>
            <w:pPr>
              <w:pStyle w:val="206"/>
              <w:rPr>
                <w:rFonts w:eastAsiaTheme="minorEastAsia"/>
                <w:color w:val="auto"/>
              </w:rPr>
            </w:pPr>
            <w:r>
              <w:rPr>
                <w:rFonts w:eastAsiaTheme="minorEastAsia"/>
                <w:color w:val="auto"/>
              </w:rPr>
              <w:t>100%</w:t>
            </w:r>
          </w:p>
        </w:tc>
        <w:tc>
          <w:tcPr>
            <w:tcW w:w="1693" w:type="dxa"/>
            <w:vAlign w:val="center"/>
          </w:tcPr>
          <w:p>
            <w:pPr>
              <w:pStyle w:val="206"/>
              <w:rPr>
                <w:rFonts w:eastAsiaTheme="minorEastAsia"/>
                <w:color w:val="auto"/>
              </w:rPr>
            </w:pPr>
            <w:r>
              <w:rPr>
                <w:rFonts w:eastAsiaTheme="minorEastAsia"/>
                <w:color w:val="auto"/>
              </w:rPr>
              <w:t>/</w:t>
            </w:r>
          </w:p>
        </w:tc>
      </w:tr>
    </w:tbl>
    <w:p>
      <w:pPr>
        <w:autoSpaceDE w:val="0"/>
        <w:autoSpaceDN w:val="0"/>
        <w:adjustRightInd w:val="0"/>
        <w:spacing w:line="500" w:lineRule="exact"/>
        <w:ind w:firstLine="480" w:firstLineChars="200"/>
        <w:jc w:val="left"/>
        <w:rPr>
          <w:rFonts w:eastAsiaTheme="minorEastAsia"/>
          <w:color w:val="auto"/>
          <w:kern w:val="0"/>
          <w:szCs w:val="24"/>
        </w:rPr>
      </w:pPr>
      <w:r>
        <w:rPr>
          <w:rFonts w:eastAsiaTheme="minorEastAsia"/>
          <w:color w:val="auto"/>
          <w:kern w:val="0"/>
          <w:szCs w:val="24"/>
        </w:rPr>
        <w:t>有林地：评价区域内的林地主要树种为杨树。分布在丘陵地带，总面积0.00134km</w:t>
      </w:r>
      <w:r>
        <w:rPr>
          <w:rFonts w:eastAsiaTheme="minorEastAsia"/>
          <w:color w:val="auto"/>
          <w:kern w:val="0"/>
          <w:szCs w:val="24"/>
          <w:vertAlign w:val="superscript"/>
        </w:rPr>
        <w:t>2</w:t>
      </w:r>
      <w:r>
        <w:rPr>
          <w:rFonts w:eastAsiaTheme="minorEastAsia"/>
          <w:color w:val="auto"/>
          <w:kern w:val="0"/>
          <w:szCs w:val="24"/>
        </w:rPr>
        <w:t xml:space="preserve">，占评价区总面积的24.9％。 </w:t>
      </w:r>
    </w:p>
    <w:p>
      <w:pPr>
        <w:pStyle w:val="276"/>
        <w:adjustRightInd w:val="0"/>
        <w:rPr>
          <w:rFonts w:eastAsiaTheme="minorEastAsia"/>
          <w:color w:val="auto"/>
        </w:rPr>
      </w:pPr>
      <w:r>
        <w:rPr>
          <w:rFonts w:eastAsiaTheme="minorEastAsia"/>
          <w:color w:val="auto"/>
        </w:rPr>
        <w:t>采矿用地：以采石场用地为主，总面积为0.0403km</w:t>
      </w:r>
      <w:r>
        <w:rPr>
          <w:rFonts w:eastAsiaTheme="minorEastAsia"/>
          <w:color w:val="auto"/>
          <w:vertAlign w:val="superscript"/>
        </w:rPr>
        <w:t>2</w:t>
      </w:r>
      <w:r>
        <w:rPr>
          <w:rFonts w:eastAsiaTheme="minorEastAsia"/>
          <w:color w:val="auto"/>
        </w:rPr>
        <w:t>，占评价区面积的75.1％。</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4.6.3生态系统</w:t>
      </w:r>
    </w:p>
    <w:p>
      <w:pPr>
        <w:ind w:firstLine="480" w:firstLineChars="200"/>
        <w:rPr>
          <w:rFonts w:eastAsiaTheme="minorEastAsia"/>
          <w:color w:val="auto"/>
        </w:rPr>
      </w:pPr>
      <w:r>
        <w:rPr>
          <w:rFonts w:eastAsiaTheme="minorEastAsia"/>
          <w:color w:val="auto"/>
        </w:rPr>
        <w:t>据实地调查，评价区主要以森林生态系统为主。采矿用地占生态评价区面积的75.1%；有林地分布于评价区丘陵地带，主要为杨树及低矮灌木，有林地占评价区面积的24.9%，主要生态系统服务功能为水源涵养、土壤保持及生物多样性保护。</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4.6.4植被现状</w:t>
      </w:r>
    </w:p>
    <w:p>
      <w:pPr>
        <w:ind w:firstLine="480" w:firstLineChars="200"/>
        <w:rPr>
          <w:rFonts w:hint="eastAsia" w:eastAsiaTheme="minorEastAsia"/>
          <w:color w:val="auto"/>
          <w:lang w:eastAsia="zh-CN"/>
        </w:rPr>
      </w:pPr>
      <w:r>
        <w:rPr>
          <w:rFonts w:eastAsiaTheme="minorEastAsia"/>
          <w:color w:val="auto"/>
        </w:rPr>
        <w:t>评价区域内有林地</w:t>
      </w:r>
      <w:r>
        <w:rPr>
          <w:rFonts w:hint="eastAsia" w:eastAsiaTheme="minorEastAsia"/>
          <w:color w:val="auto"/>
          <w:lang w:eastAsia="zh-CN"/>
        </w:rPr>
        <w:t>和一般农田，</w:t>
      </w:r>
      <w:r>
        <w:rPr>
          <w:rFonts w:eastAsiaTheme="minorEastAsia"/>
          <w:color w:val="auto"/>
        </w:rPr>
        <w:t>主要树种为杨树，其它植被包括山丁子、黄蒿及万年蒿，多分布在丘陵地带，长势一般，主要为野生次生林物种，多数杨树的胸径不超过1.5m，丰度较低，每平方米林地内约有1棵杨树。</w:t>
      </w:r>
      <w:r>
        <w:rPr>
          <w:rFonts w:hint="eastAsia" w:eastAsiaTheme="minorEastAsia"/>
          <w:color w:val="auto"/>
          <w:lang w:eastAsia="zh-CN"/>
        </w:rPr>
        <w:t>农田主要作物为玉米。</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4.6.5野生动物资源</w:t>
      </w:r>
    </w:p>
    <w:p>
      <w:pPr>
        <w:ind w:firstLine="480" w:firstLineChars="200"/>
        <w:rPr>
          <w:rFonts w:eastAsiaTheme="minorEastAsia"/>
          <w:color w:val="auto"/>
        </w:rPr>
      </w:pPr>
      <w:r>
        <w:rPr>
          <w:rFonts w:eastAsiaTheme="minorEastAsia"/>
          <w:color w:val="auto"/>
        </w:rPr>
        <w:t xml:space="preserve">本项目周围无生态环境敏感点，项目所在区域无珍稀野生动植物资源。野生动物一般多为常见的鸟类、鼠类，此外还有一些常见昆虫。 </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4.6.6水土流失概况</w:t>
      </w:r>
    </w:p>
    <w:p>
      <w:pPr>
        <w:pStyle w:val="242"/>
        <w:rPr>
          <w:rFonts w:ascii="Times New Roman" w:hAnsi="Times New Roman" w:cs="Times New Roman" w:eastAsiaTheme="minorEastAsia"/>
          <w:color w:val="auto"/>
          <w:kern w:val="2"/>
        </w:rPr>
      </w:pPr>
      <w:r>
        <w:rPr>
          <w:rFonts w:ascii="Times New Roman" w:hAnsi="Times New Roman" w:cs="Times New Roman" w:eastAsiaTheme="minorEastAsia"/>
          <w:color w:val="auto"/>
          <w:kern w:val="2"/>
        </w:rPr>
        <w:t>4.6.6.1区域水土流失现状</w:t>
      </w:r>
    </w:p>
    <w:p>
      <w:pPr>
        <w:pStyle w:val="276"/>
        <w:jc w:val="both"/>
        <w:rPr>
          <w:rFonts w:eastAsiaTheme="minorEastAsia"/>
          <w:color w:val="auto"/>
          <w:kern w:val="2"/>
          <w:szCs w:val="22"/>
        </w:rPr>
      </w:pPr>
      <w:r>
        <w:rPr>
          <w:rFonts w:eastAsiaTheme="minorEastAsia"/>
          <w:color w:val="auto"/>
          <w:kern w:val="2"/>
          <w:szCs w:val="22"/>
        </w:rPr>
        <w:t>根据2012年全国第一次水利普查成果，黑龙江省水土流失面积为81938.93km</w:t>
      </w:r>
      <w:r>
        <w:rPr>
          <w:rFonts w:eastAsiaTheme="minorEastAsia"/>
          <w:color w:val="auto"/>
          <w:kern w:val="2"/>
          <w:szCs w:val="22"/>
          <w:vertAlign w:val="superscript"/>
        </w:rPr>
        <w:t>2</w:t>
      </w:r>
      <w:r>
        <w:rPr>
          <w:rFonts w:eastAsiaTheme="minorEastAsia"/>
          <w:color w:val="auto"/>
          <w:kern w:val="2"/>
          <w:szCs w:val="22"/>
        </w:rPr>
        <w:t>，占全省总土地面积的18.11%。其中森工系统18313.79km</w:t>
      </w:r>
      <w:r>
        <w:rPr>
          <w:rFonts w:eastAsiaTheme="minorEastAsia"/>
          <w:color w:val="auto"/>
          <w:kern w:val="2"/>
          <w:szCs w:val="22"/>
          <w:vertAlign w:val="superscript"/>
        </w:rPr>
        <w:t>2</w:t>
      </w:r>
      <w:r>
        <w:rPr>
          <w:rFonts w:eastAsiaTheme="minorEastAsia"/>
          <w:color w:val="auto"/>
          <w:kern w:val="2"/>
          <w:szCs w:val="22"/>
        </w:rPr>
        <w:t>，农垦系统15586.00km</w:t>
      </w:r>
      <w:r>
        <w:rPr>
          <w:rFonts w:eastAsiaTheme="minorEastAsia"/>
          <w:color w:val="auto"/>
          <w:kern w:val="2"/>
          <w:szCs w:val="22"/>
          <w:vertAlign w:val="superscript"/>
        </w:rPr>
        <w:t>2</w:t>
      </w:r>
      <w:r>
        <w:rPr>
          <w:rFonts w:eastAsiaTheme="minorEastAsia"/>
          <w:color w:val="auto"/>
          <w:kern w:val="2"/>
          <w:szCs w:val="22"/>
        </w:rPr>
        <w:t>。按水土流失类型划分：水力侵蚀73251.75km</w:t>
      </w:r>
      <w:r>
        <w:rPr>
          <w:rFonts w:eastAsiaTheme="minorEastAsia"/>
          <w:color w:val="auto"/>
          <w:kern w:val="2"/>
          <w:szCs w:val="22"/>
          <w:vertAlign w:val="superscript"/>
        </w:rPr>
        <w:t>2</w:t>
      </w:r>
      <w:r>
        <w:rPr>
          <w:rFonts w:eastAsiaTheme="minorEastAsia"/>
          <w:color w:val="auto"/>
          <w:kern w:val="2"/>
          <w:szCs w:val="22"/>
        </w:rPr>
        <w:t>，风力侵蚀8687.18km</w:t>
      </w:r>
      <w:r>
        <w:rPr>
          <w:rFonts w:eastAsiaTheme="minorEastAsia"/>
          <w:color w:val="auto"/>
          <w:kern w:val="2"/>
          <w:szCs w:val="22"/>
          <w:vertAlign w:val="superscript"/>
        </w:rPr>
        <w:t>2</w:t>
      </w:r>
      <w:r>
        <w:rPr>
          <w:rFonts w:eastAsiaTheme="minorEastAsia"/>
          <w:color w:val="auto"/>
          <w:kern w:val="2"/>
          <w:szCs w:val="22"/>
        </w:rPr>
        <w:t>，分别占全省水土流失面积的89.40%和10.60%。按水土流失强度划分：轻度侵蚀40454.71km</w:t>
      </w:r>
      <w:r>
        <w:rPr>
          <w:rFonts w:eastAsiaTheme="minorEastAsia"/>
          <w:color w:val="auto"/>
          <w:kern w:val="2"/>
          <w:szCs w:val="22"/>
          <w:vertAlign w:val="superscript"/>
        </w:rPr>
        <w:t>2</w:t>
      </w:r>
      <w:r>
        <w:rPr>
          <w:rFonts w:eastAsiaTheme="minorEastAsia"/>
          <w:color w:val="auto"/>
          <w:kern w:val="2"/>
          <w:szCs w:val="22"/>
        </w:rPr>
        <w:t>，中度侵蚀21515.33km</w:t>
      </w:r>
      <w:r>
        <w:rPr>
          <w:rFonts w:eastAsiaTheme="minorEastAsia"/>
          <w:color w:val="auto"/>
          <w:kern w:val="2"/>
          <w:szCs w:val="22"/>
          <w:vertAlign w:val="superscript"/>
        </w:rPr>
        <w:t>2</w:t>
      </w:r>
      <w:r>
        <w:rPr>
          <w:rFonts w:eastAsiaTheme="minorEastAsia"/>
          <w:color w:val="auto"/>
          <w:kern w:val="2"/>
          <w:szCs w:val="22"/>
        </w:rPr>
        <w:t>，强烈侵蚀12871.22km</w:t>
      </w:r>
      <w:r>
        <w:rPr>
          <w:rFonts w:eastAsiaTheme="minorEastAsia"/>
          <w:color w:val="auto"/>
          <w:kern w:val="2"/>
          <w:szCs w:val="22"/>
          <w:vertAlign w:val="superscript"/>
        </w:rPr>
        <w:t>2</w:t>
      </w:r>
      <w:r>
        <w:rPr>
          <w:rFonts w:eastAsiaTheme="minorEastAsia"/>
          <w:color w:val="auto"/>
          <w:kern w:val="2"/>
          <w:szCs w:val="22"/>
        </w:rPr>
        <w:t>，极强烈侵蚀5466.72km</w:t>
      </w:r>
      <w:r>
        <w:rPr>
          <w:rFonts w:eastAsiaTheme="minorEastAsia"/>
          <w:color w:val="auto"/>
          <w:kern w:val="2"/>
          <w:szCs w:val="22"/>
          <w:vertAlign w:val="superscript"/>
        </w:rPr>
        <w:t>2</w:t>
      </w:r>
      <w:r>
        <w:rPr>
          <w:rFonts w:eastAsiaTheme="minorEastAsia"/>
          <w:color w:val="auto"/>
          <w:kern w:val="2"/>
          <w:szCs w:val="22"/>
        </w:rPr>
        <w:t>，剧烈侵蚀1630.95km</w:t>
      </w:r>
      <w:r>
        <w:rPr>
          <w:rFonts w:eastAsiaTheme="minorEastAsia"/>
          <w:color w:val="auto"/>
          <w:kern w:val="2"/>
          <w:szCs w:val="22"/>
          <w:vertAlign w:val="superscript"/>
        </w:rPr>
        <w:t>2</w:t>
      </w:r>
      <w:r>
        <w:rPr>
          <w:rFonts w:eastAsiaTheme="minorEastAsia"/>
          <w:color w:val="auto"/>
          <w:kern w:val="2"/>
          <w:szCs w:val="22"/>
        </w:rPr>
        <w:t>，分别占全省水土流失面积的49.37%、26.26%、15.71%、6.67%和1.99%。</w:t>
      </w:r>
    </w:p>
    <w:p>
      <w:pPr>
        <w:pStyle w:val="276"/>
        <w:jc w:val="both"/>
        <w:rPr>
          <w:rFonts w:eastAsiaTheme="minorEastAsia"/>
          <w:color w:val="auto"/>
          <w:kern w:val="2"/>
          <w:szCs w:val="22"/>
        </w:rPr>
      </w:pPr>
      <w:r>
        <w:rPr>
          <w:rFonts w:eastAsiaTheme="minorEastAsia"/>
          <w:color w:val="auto"/>
          <w:kern w:val="2"/>
          <w:szCs w:val="22"/>
        </w:rPr>
        <w:t>按地理位置，水力侵蚀主要分布于黑龙江省东部、北部和中部，风力侵蚀主 要分布于黑龙江省西部。按行政区划分，全省水土流失率最高的为大庆市，属风水蚀交错类型，以土地沙化为主要表现形式，水土流失率为 40.32 %；其次为齐齐哈尔市，属水力侵蚀类型，以农地、疏残林地和低覆盖草地面蚀、沟蚀为主要表现形式，水土流失率为 32.53 %；再次为哈尔滨市，属水力侵蚀类型，以农地面蚀、沟蚀为主要表现形式，水土流失率为 24.79 %</w:t>
      </w:r>
      <w:r>
        <w:rPr>
          <w:rFonts w:hint="eastAsia" w:eastAsiaTheme="minorEastAsia"/>
          <w:color w:val="auto"/>
          <w:kern w:val="2"/>
          <w:szCs w:val="22"/>
          <w:lang w:eastAsia="zh-CN"/>
        </w:rPr>
        <w:t>。佳木斯市，</w:t>
      </w:r>
      <w:r>
        <w:rPr>
          <w:rFonts w:eastAsiaTheme="minorEastAsia"/>
          <w:color w:val="auto"/>
          <w:kern w:val="2"/>
          <w:szCs w:val="22"/>
        </w:rPr>
        <w:t>水土流失率为</w:t>
      </w:r>
      <w:r>
        <w:rPr>
          <w:rFonts w:hint="eastAsia" w:eastAsiaTheme="minorEastAsia"/>
          <w:color w:val="auto"/>
          <w:kern w:val="2"/>
          <w:szCs w:val="22"/>
          <w:lang w:val="en-US" w:eastAsia="zh-CN"/>
        </w:rPr>
        <w:t>8.73</w:t>
      </w:r>
      <w:r>
        <w:rPr>
          <w:rFonts w:eastAsiaTheme="minorEastAsia"/>
          <w:color w:val="auto"/>
          <w:kern w:val="2"/>
          <w:szCs w:val="22"/>
        </w:rPr>
        <w:t xml:space="preserve"> %</w:t>
      </w:r>
      <w:r>
        <w:rPr>
          <w:rFonts w:hint="eastAsia" w:eastAsiaTheme="minorEastAsia"/>
          <w:color w:val="auto"/>
          <w:kern w:val="2"/>
          <w:szCs w:val="22"/>
          <w:lang w:eastAsia="zh-CN"/>
        </w:rPr>
        <w:t>。</w:t>
      </w:r>
      <w:r>
        <w:rPr>
          <w:rFonts w:eastAsiaTheme="minorEastAsia"/>
          <w:color w:val="auto"/>
          <w:kern w:val="2"/>
          <w:szCs w:val="22"/>
        </w:rPr>
        <w:t>根据《黑龙江省水土保持规划》（2015-2030年），本项目属于轻度水力侵蚀区。</w:t>
      </w:r>
    </w:p>
    <w:p>
      <w:pPr>
        <w:pStyle w:val="242"/>
        <w:rPr>
          <w:rFonts w:ascii="Times New Roman" w:hAnsi="Times New Roman" w:cs="Times New Roman" w:eastAsiaTheme="minorEastAsia"/>
          <w:color w:val="auto"/>
        </w:rPr>
      </w:pPr>
      <w:r>
        <w:rPr>
          <w:rFonts w:ascii="Times New Roman" w:hAnsi="Times New Roman" w:cs="Times New Roman" w:eastAsiaTheme="minorEastAsia"/>
          <w:color w:val="auto"/>
        </w:rPr>
        <w:t>4.6.6.2水土流失治理现状</w:t>
      </w:r>
    </w:p>
    <w:p>
      <w:pPr>
        <w:pStyle w:val="276"/>
        <w:rPr>
          <w:rFonts w:eastAsiaTheme="minorEastAsia"/>
          <w:color w:val="auto"/>
        </w:rPr>
      </w:pPr>
      <w:r>
        <w:rPr>
          <w:rFonts w:eastAsiaTheme="minorEastAsia"/>
          <w:color w:val="auto"/>
        </w:rPr>
        <w:t>根据2012年全国第一次水利普查成果，截至2012年，黑龙江省水土保持措施面积为26563.59 km</w:t>
      </w:r>
      <w:r>
        <w:rPr>
          <w:rFonts w:eastAsiaTheme="minorEastAsia"/>
          <w:color w:val="auto"/>
          <w:vertAlign w:val="superscript"/>
        </w:rPr>
        <w:t>2</w:t>
      </w:r>
      <w:r>
        <w:rPr>
          <w:rFonts w:eastAsiaTheme="minorEastAsia"/>
          <w:color w:val="auto"/>
        </w:rPr>
        <w:t>，其中：工程措施面积为 1552.15 km</w:t>
      </w:r>
      <w:r>
        <w:rPr>
          <w:rFonts w:eastAsiaTheme="minorEastAsia"/>
          <w:color w:val="auto"/>
          <w:vertAlign w:val="superscript"/>
        </w:rPr>
        <w:t>2</w:t>
      </w:r>
      <w:r>
        <w:rPr>
          <w:rFonts w:eastAsiaTheme="minorEastAsia"/>
          <w:color w:val="auto"/>
        </w:rPr>
        <w:t>，植物措施面积为21255.32 km</w:t>
      </w:r>
      <w:r>
        <w:rPr>
          <w:rFonts w:eastAsiaTheme="minorEastAsia"/>
          <w:color w:val="auto"/>
          <w:vertAlign w:val="superscript"/>
        </w:rPr>
        <w:t>2</w:t>
      </w:r>
      <w:r>
        <w:rPr>
          <w:rFonts w:eastAsiaTheme="minorEastAsia"/>
          <w:color w:val="auto"/>
        </w:rPr>
        <w:t>，其它措施面积为3756.12km</w:t>
      </w:r>
      <w:r>
        <w:rPr>
          <w:rFonts w:eastAsiaTheme="minorEastAsia"/>
          <w:color w:val="auto"/>
          <w:vertAlign w:val="superscript"/>
        </w:rPr>
        <w:t>2</w:t>
      </w:r>
      <w:r>
        <w:rPr>
          <w:rFonts w:eastAsiaTheme="minorEastAsia"/>
          <w:color w:val="auto"/>
        </w:rPr>
        <w:t xml:space="preserve">。小型蓄水保土点状工程为94120个，线状工程为28513.9 km。 </w:t>
      </w:r>
    </w:p>
    <w:p>
      <w:pPr>
        <w:pStyle w:val="276"/>
        <w:rPr>
          <w:rFonts w:eastAsiaTheme="minorEastAsia"/>
          <w:color w:val="auto"/>
        </w:rPr>
      </w:pPr>
      <w:r>
        <w:rPr>
          <w:rFonts w:hint="eastAsia" w:eastAsiaTheme="minorEastAsia"/>
          <w:color w:val="auto"/>
          <w:lang w:eastAsia="zh-CN"/>
        </w:rPr>
        <w:t>佳木斯市水土保持措施面积</w:t>
      </w:r>
      <w:r>
        <w:rPr>
          <w:rFonts w:hint="eastAsia" w:eastAsiaTheme="minorEastAsia"/>
          <w:color w:val="auto"/>
          <w:lang w:val="en-US" w:eastAsia="zh-CN"/>
        </w:rPr>
        <w:t>2113.91</w:t>
      </w:r>
      <w:r>
        <w:rPr>
          <w:rFonts w:eastAsiaTheme="minorEastAsia"/>
          <w:color w:val="auto"/>
        </w:rPr>
        <w:t xml:space="preserve"> km</w:t>
      </w:r>
      <w:r>
        <w:rPr>
          <w:rFonts w:eastAsiaTheme="minorEastAsia"/>
          <w:color w:val="auto"/>
          <w:vertAlign w:val="superscript"/>
        </w:rPr>
        <w:t>2</w:t>
      </w:r>
      <w:r>
        <w:rPr>
          <w:rFonts w:hint="eastAsia" w:eastAsiaTheme="minorEastAsia"/>
          <w:color w:val="auto"/>
          <w:lang w:val="en-US" w:eastAsia="zh-CN"/>
        </w:rPr>
        <w:t>，其中工程措施48.32</w:t>
      </w:r>
      <w:r>
        <w:rPr>
          <w:rFonts w:eastAsiaTheme="minorEastAsia"/>
          <w:color w:val="auto"/>
        </w:rPr>
        <w:t xml:space="preserve"> km</w:t>
      </w:r>
      <w:r>
        <w:rPr>
          <w:rFonts w:eastAsiaTheme="minorEastAsia"/>
          <w:color w:val="auto"/>
          <w:vertAlign w:val="superscript"/>
        </w:rPr>
        <w:t>2</w:t>
      </w:r>
      <w:r>
        <w:rPr>
          <w:rFonts w:hint="eastAsia" w:eastAsiaTheme="minorEastAsia"/>
          <w:color w:val="auto"/>
          <w:lang w:val="en-US" w:eastAsia="zh-CN"/>
        </w:rPr>
        <w:t>，植物措施</w:t>
      </w:r>
      <w:r>
        <w:rPr>
          <w:rFonts w:eastAsiaTheme="minorEastAsia"/>
          <w:color w:val="auto"/>
        </w:rPr>
        <w:t xml:space="preserve"> </w:t>
      </w:r>
      <w:r>
        <w:rPr>
          <w:rFonts w:hint="eastAsia" w:eastAsiaTheme="minorEastAsia"/>
          <w:color w:val="auto"/>
          <w:lang w:val="en-US" w:eastAsia="zh-CN"/>
        </w:rPr>
        <w:t>1985.60</w:t>
      </w:r>
      <w:r>
        <w:rPr>
          <w:rFonts w:eastAsiaTheme="minorEastAsia"/>
          <w:color w:val="auto"/>
        </w:rPr>
        <w:t xml:space="preserve"> km</w:t>
      </w:r>
      <w:r>
        <w:rPr>
          <w:rFonts w:eastAsiaTheme="minorEastAsia"/>
          <w:color w:val="auto"/>
          <w:vertAlign w:val="superscript"/>
        </w:rPr>
        <w:t>2</w:t>
      </w:r>
      <w:r>
        <w:rPr>
          <w:rFonts w:hint="eastAsia" w:eastAsiaTheme="minorEastAsia"/>
          <w:color w:val="auto"/>
          <w:lang w:val="en-US" w:eastAsia="zh-CN"/>
        </w:rPr>
        <w:t>，其它措施80</w:t>
      </w:r>
      <w:r>
        <w:rPr>
          <w:rFonts w:eastAsiaTheme="minorEastAsia"/>
          <w:color w:val="auto"/>
        </w:rPr>
        <w:t xml:space="preserve"> km</w:t>
      </w:r>
      <w:r>
        <w:rPr>
          <w:rFonts w:eastAsiaTheme="minorEastAsia"/>
          <w:color w:val="auto"/>
          <w:vertAlign w:val="superscript"/>
        </w:rPr>
        <w:t>2</w:t>
      </w:r>
      <w:r>
        <w:rPr>
          <w:rFonts w:hint="eastAsia" w:eastAsiaTheme="minorEastAsia"/>
          <w:color w:val="auto"/>
          <w:lang w:val="en-US" w:eastAsia="zh-CN"/>
        </w:rPr>
        <w:t>。</w:t>
      </w:r>
      <w:r>
        <w:rPr>
          <w:rFonts w:eastAsiaTheme="minorEastAsia"/>
          <w:color w:val="auto"/>
        </w:rPr>
        <w:t>小型蓄水保土点状工程为</w:t>
      </w:r>
      <w:r>
        <w:rPr>
          <w:rFonts w:hint="eastAsia" w:eastAsiaTheme="minorEastAsia"/>
          <w:color w:val="auto"/>
          <w:lang w:val="en-US" w:eastAsia="zh-CN"/>
        </w:rPr>
        <w:t>440</w:t>
      </w:r>
      <w:r>
        <w:rPr>
          <w:rFonts w:eastAsiaTheme="minorEastAsia"/>
          <w:color w:val="auto"/>
        </w:rPr>
        <w:t>个，线状工程为</w:t>
      </w:r>
      <w:r>
        <w:rPr>
          <w:rFonts w:hint="eastAsia" w:eastAsiaTheme="minorEastAsia"/>
          <w:color w:val="auto"/>
          <w:lang w:val="en-US" w:eastAsia="zh-CN"/>
        </w:rPr>
        <w:t>92.4</w:t>
      </w:r>
      <w:r>
        <w:rPr>
          <w:rFonts w:eastAsiaTheme="minorEastAsia"/>
          <w:color w:val="auto"/>
        </w:rPr>
        <w:t xml:space="preserve"> km。</w:t>
      </w:r>
      <w:r>
        <w:rPr>
          <w:rFonts w:eastAsiaTheme="minorEastAsia"/>
          <w:color w:val="auto"/>
        </w:rPr>
        <w:t xml:space="preserve"> </w:t>
      </w:r>
    </w:p>
    <w:p>
      <w:pPr>
        <w:pStyle w:val="242"/>
        <w:rPr>
          <w:rFonts w:ascii="Times New Roman" w:hAnsi="Times New Roman" w:cs="Times New Roman" w:eastAsiaTheme="minorEastAsia"/>
          <w:color w:val="auto"/>
        </w:rPr>
      </w:pPr>
      <w:r>
        <w:rPr>
          <w:rFonts w:ascii="Times New Roman" w:hAnsi="Times New Roman" w:cs="Times New Roman" w:eastAsiaTheme="minorEastAsia"/>
          <w:color w:val="auto"/>
        </w:rPr>
        <w:t>4.6.6.3评价区水土流失现状</w:t>
      </w:r>
    </w:p>
    <w:p>
      <w:pPr>
        <w:pStyle w:val="276"/>
        <w:rPr>
          <w:rFonts w:eastAsiaTheme="minorEastAsia"/>
          <w:color w:val="auto"/>
        </w:rPr>
      </w:pPr>
      <w:r>
        <w:rPr>
          <w:rFonts w:eastAsiaTheme="minorEastAsia"/>
          <w:color w:val="auto"/>
        </w:rPr>
        <w:t>评价区局部地段坡度较大，土地利用类型以林地</w:t>
      </w:r>
      <w:r>
        <w:rPr>
          <w:rFonts w:hint="eastAsia" w:eastAsiaTheme="minorEastAsia"/>
          <w:color w:val="auto"/>
          <w:lang w:eastAsia="zh-CN"/>
        </w:rPr>
        <w:t>、耕地</w:t>
      </w:r>
      <w:r>
        <w:rPr>
          <w:rFonts w:eastAsiaTheme="minorEastAsia"/>
          <w:color w:val="auto"/>
        </w:rPr>
        <w:t>和工矿用地为主。由于矿山开采导致裸露面较多，局部地区水土流失较强；发生特点是在降水、地表径流作用下，土壤被破坏、搬运和沉积，评价区内的土壤侵蚀伴随降雨和地表径流而发生，在雨季或暴雨时尤为明显。项目所在区域局部地段矿体表层土壤陆续被剥离，植被受到严重破坏，植被覆盖率急剧下降。在雨水的冲刷作用下，土壤中的有机质和细粒物质流失，形成水土侵蚀现象。分布范围小、其危险性小。</w:t>
      </w:r>
    </w:p>
    <w:p>
      <w:pPr>
        <w:pStyle w:val="276"/>
        <w:jc w:val="both"/>
        <w:rPr>
          <w:rFonts w:eastAsiaTheme="minorEastAsia"/>
          <w:color w:val="auto"/>
        </w:rPr>
      </w:pPr>
      <w:r>
        <w:rPr>
          <w:rFonts w:eastAsiaTheme="minorEastAsia"/>
          <w:color w:val="auto"/>
        </w:rPr>
        <w:t>本地区主要侵蚀类型为水力侵蚀。自然因素仍是导致水土流失发生发展的基础和先决条件，项目区降雨量80％集中在7～9月是引起该区产生水力侵蚀的主要原因。而人为因素则对水土流失起着推动和加速作用。主要表现在开发建设项目的人为侵蚀、不合理的生产方式和掠夺性经营，破坏了自然生态平衡。目前，项目区植被覆盖率较低，受水力侵蚀影响较大。</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4.6.7生态现状评价</w:t>
      </w:r>
    </w:p>
    <w:p>
      <w:pPr>
        <w:pStyle w:val="276"/>
        <w:jc w:val="both"/>
        <w:rPr>
          <w:rFonts w:eastAsiaTheme="minorEastAsia"/>
          <w:color w:val="auto"/>
        </w:rPr>
      </w:pPr>
      <w:r>
        <w:rPr>
          <w:rFonts w:eastAsiaTheme="minorEastAsia"/>
          <w:color w:val="auto"/>
        </w:rPr>
        <w:t>综合上述分析，本评价区内主要生态系统为森林生态系统。</w:t>
      </w:r>
      <w:r>
        <w:rPr>
          <w:rFonts w:hint="eastAsia" w:eastAsiaTheme="minorEastAsia"/>
          <w:color w:val="auto"/>
          <w:lang w:eastAsia="zh-CN"/>
        </w:rPr>
        <w:t>本项目占地类型为采矿用地，项目周边为林地及耕地，因此，评价区</w:t>
      </w:r>
      <w:r>
        <w:rPr>
          <w:rFonts w:eastAsiaTheme="minorEastAsia"/>
          <w:color w:val="auto"/>
        </w:rPr>
        <w:t>内主要用地类型为采矿用地</w:t>
      </w:r>
      <w:r>
        <w:rPr>
          <w:rFonts w:hint="eastAsia" w:eastAsiaTheme="minorEastAsia"/>
          <w:color w:val="auto"/>
          <w:lang w:eastAsia="zh-CN"/>
        </w:rPr>
        <w:t>、林地、耕地。</w:t>
      </w:r>
      <w:r>
        <w:rPr>
          <w:rFonts w:eastAsiaTheme="minorEastAsia"/>
          <w:color w:val="auto"/>
        </w:rPr>
        <w:t>在林地中，主要树种为杨树，其它植被包括山丁子、黄蒿及万年蒿，项目评价区域内无国家级重点保护珍稀濒危物种、黑龙江省重点保护物种和古树名木，故对当地生态影响不大。评价区内工矿用地导致裸露地面较多，对评价区内生态系统内部的物种、能量、营养物质的流通形成一定的阻隔作用，是生态系统目前面临的压力。随着采矿迹地的恢复和采矿境界内绿化工作的进行，工矿用地对生态系统的阻隔作用会逐渐减少，生态系统总体变化趋势是向系统更稳定、生物多样性更高的方向发展。</w:t>
      </w:r>
    </w:p>
    <w:p>
      <w:pPr>
        <w:ind w:firstLine="480" w:firstLineChars="200"/>
        <w:rPr>
          <w:rFonts w:eastAsiaTheme="minorEastAsia"/>
          <w:color w:val="auto"/>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pPr>
        <w:pStyle w:val="236"/>
        <w:rPr>
          <w:rFonts w:eastAsiaTheme="minorEastAsia"/>
          <w:color w:val="auto"/>
        </w:rPr>
      </w:pPr>
      <w:bookmarkStart w:id="195" w:name="_Toc392154057"/>
      <w:bookmarkStart w:id="196" w:name="_Toc440973762"/>
      <w:bookmarkStart w:id="197" w:name="_Toc440973496"/>
      <w:bookmarkStart w:id="198" w:name="_Toc437783960"/>
      <w:bookmarkStart w:id="199" w:name="_Toc519693578"/>
      <w:r>
        <w:rPr>
          <w:rFonts w:eastAsiaTheme="minorEastAsia"/>
          <w:color w:val="auto"/>
        </w:rPr>
        <w:t>5环境影响预测与评价</w:t>
      </w:r>
      <w:bookmarkEnd w:id="195"/>
      <w:bookmarkEnd w:id="196"/>
      <w:bookmarkEnd w:id="197"/>
      <w:bookmarkEnd w:id="198"/>
      <w:bookmarkEnd w:id="199"/>
    </w:p>
    <w:p>
      <w:pPr>
        <w:pStyle w:val="238"/>
        <w:spacing w:before="120" w:after="120"/>
        <w:rPr>
          <w:rFonts w:hAnsi="Times New Roman" w:eastAsiaTheme="minorEastAsia"/>
          <w:color w:val="auto"/>
        </w:rPr>
      </w:pPr>
      <w:bookmarkStart w:id="200" w:name="_Toc519693579"/>
      <w:r>
        <w:rPr>
          <w:rFonts w:hAnsi="Times New Roman" w:eastAsiaTheme="minorEastAsia"/>
          <w:color w:val="auto"/>
        </w:rPr>
        <w:t>5.1施工期环境影响预测与评价</w:t>
      </w:r>
      <w:bookmarkEnd w:id="200"/>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5.1.1 施工期生态环境影响分析</w:t>
      </w:r>
    </w:p>
    <w:p>
      <w:pPr>
        <w:pStyle w:val="242"/>
        <w:rPr>
          <w:rFonts w:ascii="Times New Roman" w:hAnsi="Times New Roman" w:cs="Times New Roman" w:eastAsiaTheme="minorEastAsia"/>
          <w:color w:val="auto"/>
        </w:rPr>
      </w:pPr>
      <w:r>
        <w:rPr>
          <w:rFonts w:ascii="Times New Roman" w:hAnsi="Times New Roman" w:cs="Times New Roman" w:eastAsiaTheme="minorEastAsia"/>
          <w:color w:val="auto"/>
        </w:rPr>
        <w:t>5.1.1.1对土地利用的影响</w:t>
      </w:r>
    </w:p>
    <w:p>
      <w:pPr>
        <w:pStyle w:val="276"/>
        <w:rPr>
          <w:rFonts w:eastAsiaTheme="minorEastAsia"/>
          <w:color w:val="auto"/>
        </w:rPr>
      </w:pPr>
      <w:r>
        <w:rPr>
          <w:rFonts w:eastAsiaTheme="minorEastAsia"/>
          <w:color w:val="auto"/>
        </w:rPr>
        <w:t>本项目占地面积为</w:t>
      </w:r>
      <w:r>
        <w:rPr>
          <w:rFonts w:hint="eastAsia" w:eastAsiaTheme="minorEastAsia"/>
          <w:color w:val="auto"/>
          <w:lang w:eastAsia="zh-CN"/>
        </w:rPr>
        <w:t>0.014185</w:t>
      </w:r>
      <w:r>
        <w:rPr>
          <w:rFonts w:eastAsiaTheme="minorEastAsia"/>
          <w:color w:val="auto"/>
        </w:rPr>
        <w:t>km</w:t>
      </w:r>
      <w:r>
        <w:rPr>
          <w:rFonts w:eastAsiaTheme="minorEastAsia"/>
          <w:color w:val="auto"/>
          <w:vertAlign w:val="superscript"/>
        </w:rPr>
        <w:t>2</w:t>
      </w:r>
      <w:r>
        <w:rPr>
          <w:rFonts w:eastAsiaTheme="minorEastAsia"/>
          <w:color w:val="auto"/>
        </w:rPr>
        <w:t>，</w:t>
      </w:r>
      <w:r>
        <w:rPr>
          <w:rFonts w:hint="eastAsia" w:eastAsiaTheme="minorEastAsia"/>
          <w:color w:val="auto"/>
          <w:lang w:eastAsia="zh-CN"/>
        </w:rPr>
        <w:t>均为</w:t>
      </w:r>
      <w:r>
        <w:rPr>
          <w:rFonts w:eastAsiaTheme="minorEastAsia"/>
          <w:color w:val="auto"/>
        </w:rPr>
        <w:t>采矿用地。项目施工期对周围生态环境影响主要表现为扰动地表、改变局部地形地貌、引发水土流失等生态环境问题。</w:t>
      </w:r>
    </w:p>
    <w:p>
      <w:pPr>
        <w:pStyle w:val="242"/>
        <w:rPr>
          <w:rFonts w:ascii="Times New Roman" w:hAnsi="Times New Roman" w:cs="Times New Roman" w:eastAsiaTheme="minorEastAsia"/>
          <w:color w:val="auto"/>
        </w:rPr>
      </w:pPr>
      <w:r>
        <w:rPr>
          <w:rFonts w:ascii="Times New Roman" w:hAnsi="Times New Roman" w:cs="Times New Roman" w:eastAsiaTheme="minorEastAsia"/>
          <w:color w:val="auto"/>
        </w:rPr>
        <w:t>5.1.1.2对生态系统的影响</w:t>
      </w:r>
    </w:p>
    <w:p>
      <w:pPr>
        <w:pStyle w:val="276"/>
        <w:rPr>
          <w:rFonts w:eastAsiaTheme="minorEastAsia"/>
          <w:color w:val="auto"/>
        </w:rPr>
      </w:pPr>
      <w:r>
        <w:rPr>
          <w:rFonts w:eastAsiaTheme="minorEastAsia"/>
          <w:color w:val="auto"/>
        </w:rPr>
        <w:t>项目</w:t>
      </w:r>
      <w:r>
        <w:rPr>
          <w:rFonts w:hint="eastAsia" w:eastAsiaTheme="minorEastAsia"/>
          <w:color w:val="auto"/>
          <w:lang w:eastAsia="zh-CN"/>
        </w:rPr>
        <w:t>不新增占地，</w:t>
      </w:r>
      <w:r>
        <w:rPr>
          <w:rFonts w:eastAsiaTheme="minorEastAsia"/>
          <w:color w:val="auto"/>
        </w:rPr>
        <w:t>采场</w:t>
      </w:r>
      <w:r>
        <w:rPr>
          <w:rFonts w:hint="eastAsia" w:eastAsiaTheme="minorEastAsia"/>
          <w:color w:val="auto"/>
          <w:lang w:eastAsia="zh-CN"/>
        </w:rPr>
        <w:t>、工业场地等均在采矿用地范围内，</w:t>
      </w:r>
      <w:r>
        <w:rPr>
          <w:rFonts w:eastAsiaTheme="minorEastAsia"/>
          <w:color w:val="auto"/>
        </w:rPr>
        <w:t>该区域原有物种组成不会有很大的变化，因此本项目对所在区域的生态系统的稳定性影响不大。</w:t>
      </w:r>
    </w:p>
    <w:p>
      <w:pPr>
        <w:pStyle w:val="242"/>
        <w:rPr>
          <w:rFonts w:ascii="Times New Roman" w:hAnsi="Times New Roman" w:cs="Times New Roman" w:eastAsiaTheme="minorEastAsia"/>
          <w:color w:val="auto"/>
        </w:rPr>
      </w:pPr>
      <w:r>
        <w:rPr>
          <w:rFonts w:ascii="Times New Roman" w:hAnsi="Times New Roman" w:cs="Times New Roman" w:eastAsiaTheme="minorEastAsia"/>
          <w:color w:val="auto"/>
        </w:rPr>
        <w:t>5.1.1.3对植物资源的影响</w:t>
      </w:r>
    </w:p>
    <w:p>
      <w:pPr>
        <w:pStyle w:val="276"/>
        <w:rPr>
          <w:rFonts w:eastAsiaTheme="minorEastAsia"/>
          <w:color w:val="auto"/>
        </w:rPr>
      </w:pPr>
      <w:r>
        <w:rPr>
          <w:rFonts w:hint="eastAsia" w:eastAsiaTheme="minorEastAsia"/>
          <w:color w:val="auto"/>
          <w:lang w:eastAsia="zh-CN"/>
        </w:rPr>
        <w:t>项目区所占土地为采矿用地，目前基本已无植被覆盖，由于既有项目的建设对植被造成了一定生物量损失，本项目</w:t>
      </w:r>
      <w:r>
        <w:rPr>
          <w:rFonts w:eastAsiaTheme="minorEastAsia"/>
          <w:color w:val="auto"/>
        </w:rPr>
        <w:t>采矿结束后</w:t>
      </w:r>
      <w:r>
        <w:rPr>
          <w:rFonts w:hint="eastAsia" w:eastAsiaTheme="minorEastAsia"/>
          <w:color w:val="auto"/>
          <w:lang w:eastAsia="zh-CN"/>
        </w:rPr>
        <w:t>将</w:t>
      </w:r>
      <w:r>
        <w:rPr>
          <w:rFonts w:eastAsiaTheme="minorEastAsia"/>
          <w:color w:val="auto"/>
        </w:rPr>
        <w:t>进行植被恢复，对损失植被进行补偿，因此，本项目对植被影响很小</w:t>
      </w:r>
      <w:r>
        <w:rPr>
          <w:rFonts w:eastAsiaTheme="minorEastAsia"/>
          <w:color w:val="auto"/>
          <w:sz w:val="23"/>
          <w:szCs w:val="23"/>
        </w:rPr>
        <w:t>。</w:t>
      </w:r>
    </w:p>
    <w:p>
      <w:pPr>
        <w:pStyle w:val="242"/>
        <w:rPr>
          <w:rFonts w:ascii="Times New Roman" w:hAnsi="Times New Roman" w:cs="Times New Roman" w:eastAsiaTheme="minorEastAsia"/>
          <w:color w:val="auto"/>
        </w:rPr>
      </w:pPr>
      <w:r>
        <w:rPr>
          <w:rFonts w:ascii="Times New Roman" w:hAnsi="Times New Roman" w:cs="Times New Roman" w:eastAsiaTheme="minorEastAsia"/>
          <w:color w:val="auto"/>
        </w:rPr>
        <w:t>5.1.1.4对动物的影响</w:t>
      </w:r>
    </w:p>
    <w:p>
      <w:pPr>
        <w:pStyle w:val="242"/>
        <w:ind w:firstLine="480" w:firstLineChars="200"/>
        <w:outlineLvl w:val="9"/>
        <w:rPr>
          <w:rFonts w:ascii="Times New Roman" w:hAnsi="Times New Roman" w:cs="Times New Roman" w:eastAsiaTheme="minorEastAsia"/>
          <w:color w:val="auto"/>
        </w:rPr>
      </w:pPr>
      <w:r>
        <w:rPr>
          <w:rFonts w:ascii="Times New Roman" w:hAnsi="Times New Roman" w:cs="Times New Roman" w:eastAsiaTheme="minorEastAsia"/>
          <w:color w:val="auto"/>
        </w:rPr>
        <w:t>本项目经过的区域人类活动频繁，受项目施工期影响的基本为两栖动物和小型鼠类等。项目占地将破坏该区域动物青蛙、蟾蜍等两栖动物以及小型鼠类的生境，导致动物发生局部迁移，但项目周边区域均为相似栖息环境，故不会对两栖动物的种类和数量产生影响。经现场踏勘，工程区域范围未见无珍稀保护动物存在，也未发现大型野生动物，故矿山施工期基本不会对野生动物产生不良影响。</w:t>
      </w:r>
    </w:p>
    <w:p>
      <w:pPr>
        <w:pStyle w:val="242"/>
        <w:rPr>
          <w:rFonts w:ascii="Times New Roman" w:hAnsi="Times New Roman" w:cs="Times New Roman" w:eastAsiaTheme="minorEastAsia"/>
          <w:color w:val="auto"/>
        </w:rPr>
      </w:pPr>
      <w:r>
        <w:rPr>
          <w:rFonts w:ascii="Times New Roman" w:hAnsi="Times New Roman" w:cs="Times New Roman" w:eastAsiaTheme="minorEastAsia"/>
          <w:color w:val="auto"/>
        </w:rPr>
        <w:t>5.1.1.5水土流失</w:t>
      </w:r>
    </w:p>
    <w:p>
      <w:pPr>
        <w:pStyle w:val="276"/>
        <w:rPr>
          <w:rFonts w:eastAsiaTheme="minorEastAsia"/>
          <w:color w:val="auto"/>
        </w:rPr>
      </w:pPr>
      <w:r>
        <w:rPr>
          <w:rFonts w:eastAsiaTheme="minorEastAsia"/>
          <w:color w:val="auto"/>
        </w:rPr>
        <w:t>本项目施工期将破坏原有水土保持设施和地表植被，土体被剥离、扰动，土壤可蚀性相应增加，抗侵蚀能力降低，地形切割加剧，从而导致土壤侵蚀程度加大，水土流失增加；土岩堆存过程易发生水土流失，同时开挖形成的边坡，会造成水土流失。故施工期应严格落实各项水土保持和生态保护措施，防止施工期发生水土流失。</w:t>
      </w:r>
    </w:p>
    <w:p>
      <w:pPr>
        <w:pStyle w:val="276"/>
        <w:rPr>
          <w:rFonts w:eastAsiaTheme="minorEastAsia"/>
          <w:color w:val="auto"/>
        </w:rPr>
      </w:pPr>
      <w:r>
        <w:rPr>
          <w:rFonts w:eastAsiaTheme="minorEastAsia"/>
          <w:color w:val="auto"/>
        </w:rPr>
        <w:t>本项目所占</w:t>
      </w:r>
      <w:r>
        <w:rPr>
          <w:rFonts w:hint="eastAsia" w:eastAsiaTheme="minorEastAsia"/>
          <w:color w:val="auto"/>
          <w:lang w:eastAsia="zh-CN"/>
        </w:rPr>
        <w:t>土地类型为采矿用地，</w:t>
      </w:r>
      <w:r>
        <w:rPr>
          <w:rFonts w:eastAsiaTheme="minorEastAsia"/>
          <w:color w:val="auto"/>
        </w:rPr>
        <w:t>项目评价区域内无国家级重点保护珍稀濒危物种、黑龙江省重点保护物种和古树名木，因此项目对重点保护植物及古树无影响。采矿结束后进行植被恢复，对损失植被进行补偿，因此，本项目对植被影响很小。</w:t>
      </w:r>
    </w:p>
    <w:p>
      <w:pPr>
        <w:pStyle w:val="242"/>
        <w:rPr>
          <w:rFonts w:ascii="Times New Roman" w:hAnsi="Times New Roman" w:cs="Times New Roman" w:eastAsiaTheme="minorEastAsia"/>
          <w:color w:val="auto"/>
        </w:rPr>
      </w:pPr>
      <w:r>
        <w:rPr>
          <w:rFonts w:ascii="Times New Roman" w:hAnsi="Times New Roman" w:cs="Times New Roman" w:eastAsiaTheme="minorEastAsia"/>
          <w:color w:val="auto"/>
        </w:rPr>
        <w:t>5.1.1.6对农作物的影响</w:t>
      </w:r>
    </w:p>
    <w:p>
      <w:pPr>
        <w:pStyle w:val="276"/>
        <w:rPr>
          <w:rFonts w:eastAsiaTheme="minorEastAsia"/>
          <w:color w:val="auto"/>
        </w:rPr>
      </w:pPr>
      <w:r>
        <w:rPr>
          <w:rFonts w:eastAsiaTheme="minorEastAsia"/>
          <w:color w:val="auto"/>
        </w:rPr>
        <w:t>本项目露天矿山开采，开采过程严格采取粉尘防治措施，可有效降低粉尘对植物及周边农作物的影响，矿山开采占用采矿</w:t>
      </w:r>
      <w:r>
        <w:rPr>
          <w:rFonts w:hint="eastAsia" w:eastAsiaTheme="minorEastAsia"/>
          <w:color w:val="auto"/>
          <w:lang w:eastAsia="zh-CN"/>
        </w:rPr>
        <w:t>用地</w:t>
      </w:r>
      <w:r>
        <w:rPr>
          <w:rFonts w:eastAsiaTheme="minorEastAsia"/>
          <w:color w:val="auto"/>
        </w:rPr>
        <w:t>，不占用农田，矿区</w:t>
      </w:r>
      <w:r>
        <w:rPr>
          <w:rFonts w:hint="eastAsia" w:eastAsiaTheme="minorEastAsia"/>
          <w:color w:val="auto"/>
          <w:lang w:eastAsia="zh-CN"/>
        </w:rPr>
        <w:t>周边</w:t>
      </w:r>
      <w:r>
        <w:rPr>
          <w:rFonts w:eastAsiaTheme="minorEastAsia"/>
          <w:color w:val="auto"/>
        </w:rPr>
        <w:t>分布少量玉米农作物，企业采取严格粉尘防治措施，对矿区南侧玉米农作物影响较小。</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5.1.2施工期大气环境影响分析</w:t>
      </w:r>
    </w:p>
    <w:p>
      <w:pPr>
        <w:pStyle w:val="276"/>
        <w:rPr>
          <w:rFonts w:eastAsiaTheme="minorEastAsia"/>
          <w:color w:val="auto"/>
        </w:rPr>
      </w:pPr>
      <w:r>
        <w:rPr>
          <w:rFonts w:eastAsiaTheme="minorEastAsia"/>
          <w:color w:val="auto"/>
        </w:rPr>
        <w:t>本项目施工期对环境空气的主要影响为露天采区剥离废土石产生扬尘及土方运输车辆行驶产生的扬尘等，均为无组织排放。</w:t>
      </w:r>
    </w:p>
    <w:p>
      <w:pPr>
        <w:pStyle w:val="276"/>
        <w:rPr>
          <w:rFonts w:eastAsiaTheme="minorEastAsia"/>
          <w:color w:val="auto"/>
        </w:rPr>
      </w:pPr>
      <w:r>
        <w:rPr>
          <w:rFonts w:hint="eastAsia" w:ascii="宋体" w:hAnsi="宋体" w:cs="宋体"/>
          <w:color w:val="auto"/>
        </w:rPr>
        <w:t>①</w:t>
      </w:r>
      <w:r>
        <w:rPr>
          <w:rFonts w:eastAsiaTheme="minorEastAsia"/>
          <w:color w:val="auto"/>
        </w:rPr>
        <w:t xml:space="preserve"> 采区</w:t>
      </w:r>
      <w:r>
        <w:rPr>
          <w:rFonts w:hint="eastAsia" w:eastAsiaTheme="minorEastAsia"/>
          <w:color w:val="auto"/>
          <w:lang w:eastAsia="zh-CN"/>
        </w:rPr>
        <w:t>废土石</w:t>
      </w:r>
      <w:r>
        <w:rPr>
          <w:rFonts w:eastAsiaTheme="minorEastAsia"/>
          <w:color w:val="auto"/>
        </w:rPr>
        <w:t xml:space="preserve">剥离产生的扬尘 </w:t>
      </w:r>
    </w:p>
    <w:p>
      <w:pPr>
        <w:pStyle w:val="276"/>
        <w:rPr>
          <w:rFonts w:eastAsiaTheme="minorEastAsia"/>
          <w:color w:val="auto"/>
        </w:rPr>
      </w:pPr>
      <w:r>
        <w:rPr>
          <w:rFonts w:eastAsiaTheme="minorEastAsia"/>
          <w:color w:val="auto"/>
        </w:rPr>
        <w:t>类比已通过审批的《黑龙江省延寿县延河镇团山子陶粒页岩矿建设项目环境影响报告书》(哈环审书［2015］89号)的分析数据，在不采取防护措施和土壤较为干燥时，施工区域空气中扬尘浓度可达 20 mg/m</w:t>
      </w:r>
      <w:r>
        <w:rPr>
          <w:rFonts w:eastAsiaTheme="minorEastAsia"/>
          <w:color w:val="auto"/>
          <w:vertAlign w:val="superscript"/>
        </w:rPr>
        <w:t>3</w:t>
      </w:r>
      <w:r>
        <w:rPr>
          <w:rFonts w:eastAsiaTheme="minorEastAsia"/>
          <w:color w:val="auto"/>
        </w:rPr>
        <w:t>，施工扬尘影响范围在其下风向可达 150m，影响范围内 TSP浓度平均值可达 0.49mg/m</w:t>
      </w:r>
      <w:r>
        <w:rPr>
          <w:rFonts w:eastAsiaTheme="minorEastAsia"/>
          <w:color w:val="auto"/>
          <w:vertAlign w:val="superscript"/>
        </w:rPr>
        <w:t>3</w:t>
      </w:r>
      <w:r>
        <w:rPr>
          <w:rFonts w:eastAsiaTheme="minorEastAsia"/>
          <w:color w:val="auto"/>
        </w:rPr>
        <w:t>。</w:t>
      </w:r>
    </w:p>
    <w:p>
      <w:pPr>
        <w:pStyle w:val="276"/>
        <w:rPr>
          <w:rFonts w:eastAsiaTheme="minorEastAsia"/>
          <w:color w:val="auto"/>
        </w:rPr>
      </w:pPr>
      <w:r>
        <w:rPr>
          <w:rFonts w:eastAsiaTheme="minorEastAsia"/>
          <w:color w:val="auto"/>
        </w:rPr>
        <w:t>露天采区工作面布置和临时堆土场施工期间，建设单位应严格制定洒水降尘制度，配套移动式洒水设备，专人负责，定期洒水，在大风日要加大洒水量和洒水次数；临时堆土场设洒水设备，定期喷淋。</w:t>
      </w:r>
    </w:p>
    <w:p>
      <w:pPr>
        <w:pStyle w:val="276"/>
        <w:rPr>
          <w:rFonts w:eastAsiaTheme="minorEastAsia"/>
          <w:color w:val="auto"/>
        </w:rPr>
      </w:pPr>
      <w:r>
        <w:rPr>
          <w:rFonts w:hint="eastAsia" w:ascii="宋体" w:hAnsi="宋体" w:cs="宋体"/>
          <w:color w:val="auto"/>
        </w:rPr>
        <w:t>②</w:t>
      </w:r>
      <w:r>
        <w:rPr>
          <w:rFonts w:eastAsiaTheme="minorEastAsia"/>
          <w:color w:val="auto"/>
        </w:rPr>
        <w:t>运输扬尘</w:t>
      </w:r>
    </w:p>
    <w:p>
      <w:pPr>
        <w:pStyle w:val="276"/>
        <w:keepNext w:val="0"/>
        <w:keepLines w:val="0"/>
        <w:pageBreakBefore w:val="0"/>
        <w:widowControl w:val="0"/>
        <w:kinsoku/>
        <w:wordWrap/>
        <w:overflowPunct/>
        <w:topLinePunct w:val="0"/>
        <w:autoSpaceDE/>
        <w:autoSpaceDN/>
        <w:bidi w:val="0"/>
        <w:adjustRightInd/>
        <w:snapToGrid/>
        <w:jc w:val="both"/>
        <w:textAlignment w:val="auto"/>
        <w:outlineLvl w:val="9"/>
        <w:rPr>
          <w:rFonts w:eastAsiaTheme="minorEastAsia"/>
          <w:color w:val="auto"/>
        </w:rPr>
      </w:pPr>
      <w:r>
        <w:rPr>
          <w:rFonts w:eastAsiaTheme="minorEastAsia"/>
          <w:color w:val="auto"/>
        </w:rPr>
        <w:t>本项目施工期除运输建筑材料和少量设备外，露天采区剥离废土石需运输至临时堆土场，导致施工现场车辆来往频繁，产生扬尘量较大。根据类比相关资料，行车道路两侧扬尘浓度可达 8～10mg/m</w:t>
      </w:r>
      <w:r>
        <w:rPr>
          <w:rFonts w:eastAsiaTheme="minorEastAsia"/>
          <w:color w:val="auto"/>
          <w:vertAlign w:val="superscript"/>
        </w:rPr>
        <w:t>3</w:t>
      </w:r>
      <w:r>
        <w:rPr>
          <w:rFonts w:eastAsiaTheme="minorEastAsia"/>
          <w:color w:val="auto"/>
        </w:rPr>
        <w:t>，扬尘浓度随距离增加而迅速下降，影响范围一般为道路两侧各约 50m 内，矿区内施工运输车辆行驶速度限制在 15km/h 以下，对运输道路洒水抑尘。</w:t>
      </w:r>
    </w:p>
    <w:p>
      <w:pPr>
        <w:pStyle w:val="276"/>
        <w:keepNext w:val="0"/>
        <w:keepLines w:val="0"/>
        <w:pageBreakBefore w:val="0"/>
        <w:widowControl w:val="0"/>
        <w:kinsoku/>
        <w:wordWrap/>
        <w:overflowPunct/>
        <w:topLinePunct w:val="0"/>
        <w:autoSpaceDE/>
        <w:autoSpaceDN/>
        <w:bidi w:val="0"/>
        <w:adjustRightInd/>
        <w:snapToGrid/>
        <w:jc w:val="both"/>
        <w:textAlignment w:val="auto"/>
        <w:outlineLvl w:val="9"/>
        <w:rPr>
          <w:rFonts w:eastAsiaTheme="minorEastAsia"/>
          <w:color w:val="auto"/>
        </w:rPr>
      </w:pPr>
      <w:r>
        <w:rPr>
          <w:rFonts w:eastAsiaTheme="minorEastAsia"/>
          <w:color w:val="auto"/>
        </w:rPr>
        <w:t>通过采取上述措施后本项目施工期扬尘对周围环境的影响会大大降低，施工期对大气环境的影响暂时的，随着施工活动结束，影响消除，不会遗留环境问题。施工期间应严格落实上述环保措施，减少施工行为对大气环境的影响。</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5.1.3施工期水环境影响分析</w:t>
      </w:r>
    </w:p>
    <w:p>
      <w:pPr>
        <w:pStyle w:val="276"/>
        <w:rPr>
          <w:rFonts w:eastAsiaTheme="minorEastAsia"/>
          <w:color w:val="auto"/>
        </w:rPr>
      </w:pPr>
      <w:r>
        <w:rPr>
          <w:rFonts w:eastAsiaTheme="minorEastAsia"/>
          <w:color w:val="auto"/>
        </w:rPr>
        <w:t>本项目施工期废水主要为施工生产废水和施工人员生活污水。</w:t>
      </w:r>
    </w:p>
    <w:p>
      <w:pPr>
        <w:pStyle w:val="276"/>
        <w:rPr>
          <w:rFonts w:eastAsiaTheme="minorEastAsia"/>
          <w:color w:val="auto"/>
        </w:rPr>
      </w:pPr>
      <w:r>
        <w:rPr>
          <w:rFonts w:eastAsiaTheme="minorEastAsia"/>
          <w:color w:val="auto"/>
        </w:rPr>
        <w:t>（1）生产废水</w:t>
      </w:r>
    </w:p>
    <w:p>
      <w:pPr>
        <w:pStyle w:val="276"/>
        <w:rPr>
          <w:rFonts w:eastAsiaTheme="minorEastAsia"/>
          <w:color w:val="auto"/>
        </w:rPr>
      </w:pPr>
      <w:r>
        <w:rPr>
          <w:rFonts w:eastAsiaTheme="minorEastAsia"/>
          <w:color w:val="auto"/>
        </w:rPr>
        <w:t>施工生产废水包括场地冲洗水等，可设置临时沉砂池处理后回用于场地降尘，不会对周围环境产生影响。</w:t>
      </w:r>
    </w:p>
    <w:p>
      <w:pPr>
        <w:pStyle w:val="276"/>
        <w:rPr>
          <w:rFonts w:eastAsiaTheme="minorEastAsia"/>
          <w:color w:val="auto"/>
        </w:rPr>
      </w:pPr>
      <w:r>
        <w:rPr>
          <w:rFonts w:eastAsiaTheme="minorEastAsia"/>
          <w:color w:val="auto"/>
        </w:rPr>
        <w:t>（2）生活污水</w:t>
      </w:r>
    </w:p>
    <w:p>
      <w:pPr>
        <w:pStyle w:val="276"/>
        <w:rPr>
          <w:rFonts w:eastAsiaTheme="minorEastAsia"/>
          <w:color w:val="auto"/>
        </w:rPr>
      </w:pPr>
      <w:r>
        <w:rPr>
          <w:rFonts w:eastAsiaTheme="minorEastAsia"/>
          <w:color w:val="auto"/>
        </w:rPr>
        <w:t>本项目施工人员共 10 人， 生活用水按 20L/d·人、废水排放系数按 0.8 计，则施工生活污水共计 0.16m</w:t>
      </w:r>
      <w:r>
        <w:rPr>
          <w:rFonts w:eastAsiaTheme="minorEastAsia"/>
          <w:color w:val="auto"/>
          <w:vertAlign w:val="superscript"/>
        </w:rPr>
        <w:t>3</w:t>
      </w:r>
      <w:r>
        <w:rPr>
          <w:rFonts w:eastAsiaTheme="minorEastAsia"/>
          <w:color w:val="auto"/>
        </w:rPr>
        <w:t>/d，拟建项目施工期约 1个月，施工期共产生生活污水4.8m</w:t>
      </w:r>
      <w:r>
        <w:rPr>
          <w:rFonts w:eastAsiaTheme="minorEastAsia"/>
          <w:color w:val="auto"/>
          <w:vertAlign w:val="superscript"/>
        </w:rPr>
        <w:t>3</w:t>
      </w:r>
      <w:r>
        <w:rPr>
          <w:rFonts w:eastAsiaTheme="minorEastAsia"/>
          <w:color w:val="auto"/>
        </w:rPr>
        <w:t>，生活污水排入防渗旱厕，定期清掏。</w:t>
      </w:r>
    </w:p>
    <w:p>
      <w:pPr>
        <w:pStyle w:val="276"/>
        <w:rPr>
          <w:rFonts w:eastAsiaTheme="minorEastAsia"/>
          <w:color w:val="auto"/>
        </w:rPr>
      </w:pPr>
      <w:r>
        <w:rPr>
          <w:rFonts w:eastAsiaTheme="minorEastAsia"/>
          <w:color w:val="auto"/>
        </w:rPr>
        <w:t>本项目施工期废水不外排，不会对水环境产生影响。</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5.1.4施工期噪声环境影响分析</w:t>
      </w:r>
    </w:p>
    <w:p>
      <w:pPr>
        <w:pStyle w:val="276"/>
        <w:rPr>
          <w:rFonts w:eastAsiaTheme="minorEastAsia"/>
          <w:color w:val="auto"/>
        </w:rPr>
      </w:pPr>
      <w:r>
        <w:rPr>
          <w:rFonts w:eastAsiaTheme="minorEastAsia"/>
          <w:color w:val="auto"/>
        </w:rPr>
        <w:t>施工期噪声主要来源于露天采场、临时堆土场建设过程和运输道路施工设备运转噪声。噪声源主要有挖掘机、装载机、推土机、自卸车等大型设备产生的噪声。由于施工机械多在露天作业，噪声传播远，影响范围大但有时段性；施工结束后，其噪声影响也将随之消失。</w:t>
      </w:r>
    </w:p>
    <w:p>
      <w:pPr>
        <w:pStyle w:val="276"/>
        <w:rPr>
          <w:rFonts w:eastAsiaTheme="minorEastAsia"/>
          <w:color w:val="auto"/>
        </w:rPr>
      </w:pPr>
      <w:r>
        <w:rPr>
          <w:rFonts w:eastAsiaTheme="minorEastAsia"/>
          <w:color w:val="auto"/>
        </w:rPr>
        <w:t>（1）预测模式</w:t>
      </w:r>
    </w:p>
    <w:p>
      <w:pPr>
        <w:pStyle w:val="276"/>
        <w:rPr>
          <w:rFonts w:eastAsiaTheme="minorEastAsia"/>
          <w:color w:val="auto"/>
        </w:rPr>
      </w:pPr>
      <w:r>
        <w:rPr>
          <w:rFonts w:eastAsiaTheme="minorEastAsia"/>
          <w:color w:val="auto"/>
        </w:rPr>
        <w:t>通过公式计算噪声的影响，本项目仅考虑噪声随距离衰减，无指向性点声源几何发散衰减的基本公式是：</w:t>
      </w:r>
    </w:p>
    <w:p>
      <w:pPr>
        <w:pStyle w:val="276"/>
        <w:ind w:firstLine="420"/>
        <w:rPr>
          <w:rFonts w:eastAsiaTheme="minorEastAsia"/>
          <w:color w:val="auto"/>
        </w:rPr>
      </w:pPr>
      <w:r>
        <w:rPr>
          <w:rFonts w:eastAsiaTheme="minorEastAsia"/>
          <w:color w:val="auto"/>
          <w:position w:val="-10"/>
          <w:sz w:val="21"/>
        </w:rPr>
        <w:object>
          <v:shape id="_x0000_i1035" o:spt="75" type="#_x0000_t75" style="height:21.75pt;width:129.75pt;" o:ole="t" filled="f" o:preferrelative="t" stroked="f" coordsize="21600,21600">
            <v:path/>
            <v:fill on="f" focussize="0,0"/>
            <v:stroke on="f" joinstyle="miter"/>
            <v:imagedata r:id="rId42" o:title=""/>
            <o:lock v:ext="edit" aspectratio="t"/>
            <w10:wrap type="none"/>
            <w10:anchorlock/>
          </v:shape>
          <o:OLEObject Type="Embed" ProgID="Equation.DSMT4" ShapeID="_x0000_i1035" DrawAspect="Content" ObjectID="_1468075735" r:id="rId41">
            <o:LockedField>false</o:LockedField>
          </o:OLEObject>
        </w:object>
      </w:r>
    </w:p>
    <w:p>
      <w:pPr>
        <w:pStyle w:val="276"/>
        <w:rPr>
          <w:rFonts w:eastAsiaTheme="minorEastAsia"/>
          <w:color w:val="auto"/>
        </w:rPr>
      </w:pPr>
      <w:r>
        <w:rPr>
          <w:rFonts w:eastAsiaTheme="minorEastAsia"/>
          <w:color w:val="auto"/>
        </w:rPr>
        <w:t>式中：L</w:t>
      </w:r>
      <w:r>
        <w:rPr>
          <w:rFonts w:eastAsiaTheme="minorEastAsia"/>
          <w:color w:val="auto"/>
          <w:vertAlign w:val="subscript"/>
        </w:rPr>
        <w:t>p</w:t>
      </w:r>
      <w:r>
        <w:rPr>
          <w:rFonts w:eastAsiaTheme="minorEastAsia"/>
          <w:color w:val="auto"/>
        </w:rPr>
        <w:t>(r)—距离声源r处的倍频带声压级，dB(A)；</w:t>
      </w:r>
    </w:p>
    <w:p>
      <w:pPr>
        <w:pStyle w:val="276"/>
        <w:rPr>
          <w:rFonts w:eastAsiaTheme="minorEastAsia"/>
          <w:color w:val="auto"/>
        </w:rPr>
      </w:pPr>
      <w:r>
        <w:rPr>
          <w:rFonts w:eastAsiaTheme="minorEastAsia"/>
          <w:color w:val="auto"/>
        </w:rPr>
        <w:t xml:space="preserve">      L</w:t>
      </w:r>
      <w:r>
        <w:rPr>
          <w:rFonts w:eastAsiaTheme="minorEastAsia"/>
          <w:color w:val="auto"/>
          <w:vertAlign w:val="subscript"/>
        </w:rPr>
        <w:t>p</w:t>
      </w:r>
      <w:r>
        <w:rPr>
          <w:rFonts w:eastAsiaTheme="minorEastAsia"/>
          <w:color w:val="auto"/>
        </w:rPr>
        <w:t>(r</w:t>
      </w:r>
      <w:r>
        <w:rPr>
          <w:rFonts w:eastAsiaTheme="minorEastAsia"/>
          <w:color w:val="auto"/>
          <w:vertAlign w:val="subscript"/>
        </w:rPr>
        <w:t>0</w:t>
      </w:r>
      <w:r>
        <w:rPr>
          <w:rFonts w:eastAsiaTheme="minorEastAsia"/>
          <w:color w:val="auto"/>
        </w:rPr>
        <w:t>)—参考位置r</w:t>
      </w:r>
      <w:r>
        <w:rPr>
          <w:rFonts w:eastAsiaTheme="minorEastAsia"/>
          <w:color w:val="auto"/>
          <w:vertAlign w:val="subscript"/>
        </w:rPr>
        <w:t>0</w:t>
      </w:r>
      <w:r>
        <w:rPr>
          <w:rFonts w:eastAsiaTheme="minorEastAsia"/>
          <w:color w:val="auto"/>
        </w:rPr>
        <w:t>处的倍频带声压级，dB(A)；</w:t>
      </w:r>
    </w:p>
    <w:p>
      <w:pPr>
        <w:pStyle w:val="276"/>
        <w:rPr>
          <w:rFonts w:eastAsiaTheme="minorEastAsia"/>
          <w:color w:val="auto"/>
        </w:rPr>
      </w:pPr>
      <w:r>
        <w:rPr>
          <w:rFonts w:eastAsiaTheme="minorEastAsia"/>
          <w:color w:val="auto"/>
        </w:rPr>
        <w:t>r—预测点距离声源的距离，m。</w:t>
      </w:r>
    </w:p>
    <w:p>
      <w:pPr>
        <w:pStyle w:val="276"/>
        <w:rPr>
          <w:rFonts w:eastAsiaTheme="minorEastAsia"/>
          <w:color w:val="auto"/>
        </w:rPr>
      </w:pPr>
      <w:r>
        <w:rPr>
          <w:rFonts w:eastAsiaTheme="minorEastAsia"/>
          <w:color w:val="auto"/>
        </w:rPr>
        <w:t>r</w:t>
      </w:r>
      <w:r>
        <w:rPr>
          <w:rFonts w:eastAsiaTheme="minorEastAsia"/>
          <w:color w:val="auto"/>
          <w:vertAlign w:val="subscript"/>
        </w:rPr>
        <w:t>0</w:t>
      </w:r>
      <w:r>
        <w:rPr>
          <w:rFonts w:eastAsiaTheme="minorEastAsia"/>
          <w:color w:val="auto"/>
        </w:rPr>
        <w:t>—参考位置距离声源的距离，m</w:t>
      </w:r>
    </w:p>
    <w:p>
      <w:pPr>
        <w:pStyle w:val="276"/>
        <w:rPr>
          <w:rFonts w:eastAsiaTheme="minorEastAsia"/>
          <w:color w:val="auto"/>
        </w:rPr>
      </w:pPr>
      <w:r>
        <w:rPr>
          <w:rFonts w:eastAsiaTheme="minorEastAsia"/>
          <w:color w:val="auto"/>
        </w:rPr>
        <w:t>（2）计算结果</w:t>
      </w:r>
    </w:p>
    <w:p>
      <w:pPr>
        <w:pStyle w:val="276"/>
        <w:rPr>
          <w:rFonts w:eastAsiaTheme="minorEastAsia"/>
          <w:color w:val="auto"/>
        </w:rPr>
      </w:pPr>
      <w:r>
        <w:rPr>
          <w:rFonts w:eastAsiaTheme="minorEastAsia"/>
          <w:color w:val="auto"/>
        </w:rPr>
        <w:t>根据前述预测方法和预测模式，主要高噪声施工设备声源在不同距离的衰减计算结果见表5-1-1。</w:t>
      </w:r>
    </w:p>
    <w:p>
      <w:pPr>
        <w:pStyle w:val="244"/>
        <w:rPr>
          <w:rFonts w:eastAsiaTheme="minorEastAsia"/>
          <w:color w:val="auto"/>
        </w:rPr>
      </w:pPr>
      <w:r>
        <w:rPr>
          <w:rFonts w:eastAsiaTheme="minorEastAsia"/>
          <w:color w:val="auto"/>
        </w:rPr>
        <w:t>表5-1-1  施工期环境噪声预测结果</w:t>
      </w:r>
    </w:p>
    <w:tbl>
      <w:tblPr>
        <w:tblStyle w:val="53"/>
        <w:tblW w:w="8637"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47"/>
        <w:gridCol w:w="992"/>
        <w:gridCol w:w="850"/>
        <w:gridCol w:w="851"/>
        <w:gridCol w:w="850"/>
        <w:gridCol w:w="732"/>
        <w:gridCol w:w="828"/>
        <w:gridCol w:w="828"/>
        <w:gridCol w:w="708"/>
        <w:gridCol w:w="85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2" w:hRule="atLeast"/>
          <w:jc w:val="center"/>
        </w:trPr>
        <w:tc>
          <w:tcPr>
            <w:tcW w:w="1147" w:type="dxa"/>
            <w:vMerge w:val="restart"/>
            <w:vAlign w:val="center"/>
          </w:tcPr>
          <w:p>
            <w:pPr>
              <w:pStyle w:val="246"/>
              <w:rPr>
                <w:rFonts w:eastAsiaTheme="minorEastAsia"/>
                <w:color w:val="auto"/>
              </w:rPr>
            </w:pPr>
            <w:r>
              <w:rPr>
                <w:rFonts w:eastAsiaTheme="minorEastAsia"/>
                <w:color w:val="auto"/>
              </w:rPr>
              <w:t>噪声源</w:t>
            </w:r>
          </w:p>
        </w:tc>
        <w:tc>
          <w:tcPr>
            <w:tcW w:w="992" w:type="dxa"/>
            <w:vMerge w:val="restart"/>
            <w:vAlign w:val="center"/>
          </w:tcPr>
          <w:p>
            <w:pPr>
              <w:pStyle w:val="246"/>
              <w:rPr>
                <w:rFonts w:eastAsiaTheme="minorEastAsia"/>
                <w:color w:val="auto"/>
              </w:rPr>
            </w:pPr>
            <w:r>
              <w:rPr>
                <w:rFonts w:eastAsiaTheme="minorEastAsia"/>
                <w:color w:val="auto"/>
              </w:rPr>
              <w:t>噪声级dB（A）（1m）</w:t>
            </w:r>
          </w:p>
        </w:tc>
        <w:tc>
          <w:tcPr>
            <w:tcW w:w="6498" w:type="dxa"/>
            <w:gridSpan w:val="8"/>
          </w:tcPr>
          <w:p>
            <w:pPr>
              <w:pStyle w:val="246"/>
              <w:rPr>
                <w:rFonts w:eastAsiaTheme="minorEastAsia"/>
                <w:color w:val="auto"/>
              </w:rPr>
            </w:pPr>
            <w:r>
              <w:rPr>
                <w:rFonts w:eastAsiaTheme="minorEastAsia"/>
                <w:color w:val="auto"/>
              </w:rPr>
              <w:t>预测噪声级dB（A）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0" w:hRule="atLeast"/>
          <w:jc w:val="center"/>
        </w:trPr>
        <w:tc>
          <w:tcPr>
            <w:tcW w:w="1147" w:type="dxa"/>
            <w:vMerge w:val="continue"/>
            <w:vAlign w:val="center"/>
          </w:tcPr>
          <w:p>
            <w:pPr>
              <w:pStyle w:val="246"/>
              <w:rPr>
                <w:rFonts w:eastAsiaTheme="minorEastAsia"/>
                <w:color w:val="auto"/>
              </w:rPr>
            </w:pPr>
          </w:p>
        </w:tc>
        <w:tc>
          <w:tcPr>
            <w:tcW w:w="992" w:type="dxa"/>
            <w:vMerge w:val="continue"/>
            <w:vAlign w:val="center"/>
          </w:tcPr>
          <w:p>
            <w:pPr>
              <w:pStyle w:val="246"/>
              <w:rPr>
                <w:rFonts w:eastAsiaTheme="minorEastAsia"/>
                <w:color w:val="auto"/>
              </w:rPr>
            </w:pPr>
          </w:p>
        </w:tc>
        <w:tc>
          <w:tcPr>
            <w:tcW w:w="850" w:type="dxa"/>
            <w:tcBorders>
              <w:right w:val="single" w:color="auto" w:sz="2" w:space="0"/>
            </w:tcBorders>
            <w:vAlign w:val="center"/>
          </w:tcPr>
          <w:p>
            <w:pPr>
              <w:pStyle w:val="246"/>
              <w:rPr>
                <w:rFonts w:eastAsiaTheme="minorEastAsia"/>
                <w:color w:val="auto"/>
              </w:rPr>
            </w:pPr>
            <w:r>
              <w:rPr>
                <w:rFonts w:eastAsiaTheme="minorEastAsia"/>
                <w:color w:val="auto"/>
              </w:rPr>
              <w:t>5m</w:t>
            </w:r>
          </w:p>
        </w:tc>
        <w:tc>
          <w:tcPr>
            <w:tcW w:w="851" w:type="dxa"/>
            <w:tcBorders>
              <w:left w:val="single" w:color="auto" w:sz="2" w:space="0"/>
            </w:tcBorders>
            <w:vAlign w:val="center"/>
          </w:tcPr>
          <w:p>
            <w:pPr>
              <w:pStyle w:val="246"/>
              <w:rPr>
                <w:rFonts w:eastAsiaTheme="minorEastAsia"/>
                <w:color w:val="auto"/>
              </w:rPr>
            </w:pPr>
            <w:r>
              <w:rPr>
                <w:rFonts w:eastAsiaTheme="minorEastAsia"/>
                <w:color w:val="auto"/>
              </w:rPr>
              <w:t>10m</w:t>
            </w:r>
          </w:p>
        </w:tc>
        <w:tc>
          <w:tcPr>
            <w:tcW w:w="850" w:type="dxa"/>
            <w:vAlign w:val="center"/>
          </w:tcPr>
          <w:p>
            <w:pPr>
              <w:pStyle w:val="246"/>
              <w:rPr>
                <w:rFonts w:eastAsiaTheme="minorEastAsia"/>
                <w:color w:val="auto"/>
              </w:rPr>
            </w:pPr>
            <w:r>
              <w:rPr>
                <w:rFonts w:eastAsiaTheme="minorEastAsia"/>
                <w:color w:val="auto"/>
              </w:rPr>
              <w:t>20m</w:t>
            </w:r>
          </w:p>
        </w:tc>
        <w:tc>
          <w:tcPr>
            <w:tcW w:w="732" w:type="dxa"/>
            <w:vAlign w:val="center"/>
          </w:tcPr>
          <w:p>
            <w:pPr>
              <w:pStyle w:val="246"/>
              <w:rPr>
                <w:rFonts w:eastAsiaTheme="minorEastAsia"/>
                <w:color w:val="auto"/>
              </w:rPr>
            </w:pPr>
            <w:r>
              <w:rPr>
                <w:rFonts w:eastAsiaTheme="minorEastAsia"/>
                <w:color w:val="auto"/>
              </w:rPr>
              <w:t>40m</w:t>
            </w:r>
          </w:p>
        </w:tc>
        <w:tc>
          <w:tcPr>
            <w:tcW w:w="828" w:type="dxa"/>
            <w:vAlign w:val="center"/>
          </w:tcPr>
          <w:p>
            <w:pPr>
              <w:pStyle w:val="246"/>
              <w:rPr>
                <w:rFonts w:eastAsiaTheme="minorEastAsia"/>
                <w:color w:val="auto"/>
              </w:rPr>
            </w:pPr>
            <w:r>
              <w:rPr>
                <w:rFonts w:eastAsiaTheme="minorEastAsia"/>
                <w:color w:val="auto"/>
              </w:rPr>
              <w:t>50m</w:t>
            </w:r>
          </w:p>
        </w:tc>
        <w:tc>
          <w:tcPr>
            <w:tcW w:w="828" w:type="dxa"/>
            <w:vAlign w:val="center"/>
          </w:tcPr>
          <w:p>
            <w:pPr>
              <w:pStyle w:val="246"/>
              <w:rPr>
                <w:rFonts w:eastAsiaTheme="minorEastAsia"/>
                <w:color w:val="auto"/>
              </w:rPr>
            </w:pPr>
            <w:r>
              <w:rPr>
                <w:rFonts w:eastAsiaTheme="minorEastAsia"/>
                <w:color w:val="auto"/>
              </w:rPr>
              <w:t>80m</w:t>
            </w:r>
          </w:p>
        </w:tc>
        <w:tc>
          <w:tcPr>
            <w:tcW w:w="708" w:type="dxa"/>
            <w:vAlign w:val="center"/>
          </w:tcPr>
          <w:p>
            <w:pPr>
              <w:pStyle w:val="246"/>
              <w:rPr>
                <w:rFonts w:eastAsiaTheme="minorEastAsia"/>
                <w:color w:val="auto"/>
              </w:rPr>
            </w:pPr>
            <w:r>
              <w:rPr>
                <w:rFonts w:eastAsiaTheme="minorEastAsia"/>
                <w:color w:val="auto"/>
              </w:rPr>
              <w:t>100m</w:t>
            </w:r>
          </w:p>
        </w:tc>
        <w:tc>
          <w:tcPr>
            <w:tcW w:w="851" w:type="dxa"/>
            <w:vAlign w:val="center"/>
          </w:tcPr>
          <w:p>
            <w:pPr>
              <w:pStyle w:val="246"/>
              <w:rPr>
                <w:rFonts w:eastAsiaTheme="minorEastAsia"/>
                <w:color w:val="auto"/>
              </w:rPr>
            </w:pPr>
            <w:r>
              <w:rPr>
                <w:rFonts w:eastAsiaTheme="minorEastAsia"/>
                <w:color w:val="auto"/>
              </w:rPr>
              <w:t>200m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39" w:hRule="atLeast"/>
          <w:jc w:val="center"/>
        </w:trPr>
        <w:tc>
          <w:tcPr>
            <w:tcW w:w="1147" w:type="dxa"/>
            <w:vAlign w:val="center"/>
          </w:tcPr>
          <w:p>
            <w:pPr>
              <w:pStyle w:val="246"/>
              <w:rPr>
                <w:rFonts w:eastAsiaTheme="minorEastAsia"/>
                <w:color w:val="auto"/>
              </w:rPr>
            </w:pPr>
            <w:r>
              <w:rPr>
                <w:rFonts w:eastAsiaTheme="minorEastAsia"/>
                <w:color w:val="auto"/>
              </w:rPr>
              <w:t>液压挖掘机</w:t>
            </w:r>
          </w:p>
        </w:tc>
        <w:tc>
          <w:tcPr>
            <w:tcW w:w="992" w:type="dxa"/>
            <w:vAlign w:val="center"/>
          </w:tcPr>
          <w:p>
            <w:pPr>
              <w:pStyle w:val="246"/>
              <w:rPr>
                <w:rFonts w:eastAsiaTheme="minorEastAsia"/>
                <w:color w:val="auto"/>
              </w:rPr>
            </w:pPr>
            <w:r>
              <w:rPr>
                <w:rFonts w:eastAsiaTheme="minorEastAsia"/>
                <w:color w:val="auto"/>
              </w:rPr>
              <w:t>96</w:t>
            </w:r>
          </w:p>
        </w:tc>
        <w:tc>
          <w:tcPr>
            <w:tcW w:w="850" w:type="dxa"/>
            <w:tcBorders>
              <w:right w:val="single" w:color="auto" w:sz="2" w:space="0"/>
            </w:tcBorders>
            <w:vAlign w:val="center"/>
          </w:tcPr>
          <w:p>
            <w:pPr>
              <w:pStyle w:val="246"/>
              <w:rPr>
                <w:rFonts w:eastAsiaTheme="minorEastAsia"/>
                <w:color w:val="auto"/>
              </w:rPr>
            </w:pPr>
            <w:r>
              <w:rPr>
                <w:rFonts w:eastAsiaTheme="minorEastAsia"/>
                <w:color w:val="auto"/>
              </w:rPr>
              <w:t>82.02</w:t>
            </w:r>
          </w:p>
        </w:tc>
        <w:tc>
          <w:tcPr>
            <w:tcW w:w="851" w:type="dxa"/>
            <w:tcBorders>
              <w:left w:val="single" w:color="auto" w:sz="2" w:space="0"/>
            </w:tcBorders>
            <w:vAlign w:val="center"/>
          </w:tcPr>
          <w:p>
            <w:pPr>
              <w:pStyle w:val="246"/>
              <w:rPr>
                <w:rFonts w:eastAsiaTheme="minorEastAsia"/>
                <w:color w:val="auto"/>
              </w:rPr>
            </w:pPr>
            <w:r>
              <w:rPr>
                <w:rFonts w:eastAsiaTheme="minorEastAsia"/>
                <w:color w:val="auto"/>
              </w:rPr>
              <w:t>76.00</w:t>
            </w:r>
          </w:p>
        </w:tc>
        <w:tc>
          <w:tcPr>
            <w:tcW w:w="850" w:type="dxa"/>
            <w:vAlign w:val="center"/>
          </w:tcPr>
          <w:p>
            <w:pPr>
              <w:pStyle w:val="246"/>
              <w:rPr>
                <w:rFonts w:eastAsiaTheme="minorEastAsia"/>
                <w:color w:val="auto"/>
              </w:rPr>
            </w:pPr>
            <w:r>
              <w:rPr>
                <w:rFonts w:eastAsiaTheme="minorEastAsia"/>
                <w:color w:val="auto"/>
              </w:rPr>
              <w:t>69.98</w:t>
            </w:r>
          </w:p>
        </w:tc>
        <w:tc>
          <w:tcPr>
            <w:tcW w:w="732" w:type="dxa"/>
            <w:vAlign w:val="center"/>
          </w:tcPr>
          <w:p>
            <w:pPr>
              <w:pStyle w:val="246"/>
              <w:rPr>
                <w:rFonts w:eastAsiaTheme="minorEastAsia"/>
                <w:color w:val="auto"/>
              </w:rPr>
            </w:pPr>
            <w:r>
              <w:rPr>
                <w:rFonts w:eastAsiaTheme="minorEastAsia"/>
                <w:color w:val="auto"/>
              </w:rPr>
              <w:t>63.96</w:t>
            </w:r>
          </w:p>
        </w:tc>
        <w:tc>
          <w:tcPr>
            <w:tcW w:w="828" w:type="dxa"/>
            <w:vAlign w:val="center"/>
          </w:tcPr>
          <w:p>
            <w:pPr>
              <w:pStyle w:val="246"/>
              <w:rPr>
                <w:rFonts w:eastAsiaTheme="minorEastAsia"/>
                <w:color w:val="auto"/>
              </w:rPr>
            </w:pPr>
            <w:r>
              <w:rPr>
                <w:rFonts w:eastAsiaTheme="minorEastAsia"/>
                <w:color w:val="auto"/>
              </w:rPr>
              <w:t>62.02</w:t>
            </w:r>
          </w:p>
        </w:tc>
        <w:tc>
          <w:tcPr>
            <w:tcW w:w="828" w:type="dxa"/>
            <w:vAlign w:val="center"/>
          </w:tcPr>
          <w:p>
            <w:pPr>
              <w:pStyle w:val="246"/>
              <w:rPr>
                <w:rFonts w:eastAsiaTheme="minorEastAsia"/>
                <w:color w:val="auto"/>
              </w:rPr>
            </w:pPr>
            <w:r>
              <w:rPr>
                <w:rFonts w:eastAsiaTheme="minorEastAsia"/>
                <w:color w:val="auto"/>
              </w:rPr>
              <w:t>57.94</w:t>
            </w:r>
          </w:p>
        </w:tc>
        <w:tc>
          <w:tcPr>
            <w:tcW w:w="708" w:type="dxa"/>
            <w:vAlign w:val="center"/>
          </w:tcPr>
          <w:p>
            <w:pPr>
              <w:pStyle w:val="246"/>
              <w:rPr>
                <w:rFonts w:eastAsiaTheme="minorEastAsia"/>
                <w:color w:val="auto"/>
              </w:rPr>
            </w:pPr>
            <w:r>
              <w:rPr>
                <w:rFonts w:eastAsiaTheme="minorEastAsia"/>
                <w:color w:val="auto"/>
              </w:rPr>
              <w:t>56.00</w:t>
            </w:r>
          </w:p>
        </w:tc>
        <w:tc>
          <w:tcPr>
            <w:tcW w:w="851" w:type="dxa"/>
            <w:vAlign w:val="center"/>
          </w:tcPr>
          <w:p>
            <w:pPr>
              <w:pStyle w:val="246"/>
              <w:rPr>
                <w:rFonts w:eastAsiaTheme="minorEastAsia"/>
                <w:color w:val="auto"/>
              </w:rPr>
            </w:pPr>
            <w:r>
              <w:rPr>
                <w:rFonts w:eastAsiaTheme="minorEastAsia"/>
                <w:color w:val="auto"/>
              </w:rPr>
              <w:t>49.98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39" w:hRule="atLeast"/>
          <w:jc w:val="center"/>
        </w:trPr>
        <w:tc>
          <w:tcPr>
            <w:tcW w:w="1147" w:type="dxa"/>
            <w:vAlign w:val="center"/>
          </w:tcPr>
          <w:p>
            <w:pPr>
              <w:pStyle w:val="246"/>
              <w:rPr>
                <w:rFonts w:eastAsiaTheme="minorEastAsia"/>
                <w:color w:val="auto"/>
              </w:rPr>
            </w:pPr>
            <w:r>
              <w:rPr>
                <w:rFonts w:eastAsiaTheme="minorEastAsia"/>
                <w:color w:val="auto"/>
              </w:rPr>
              <w:t>装载机</w:t>
            </w:r>
          </w:p>
        </w:tc>
        <w:tc>
          <w:tcPr>
            <w:tcW w:w="992" w:type="dxa"/>
            <w:vAlign w:val="center"/>
          </w:tcPr>
          <w:p>
            <w:pPr>
              <w:pStyle w:val="246"/>
              <w:rPr>
                <w:rFonts w:eastAsiaTheme="minorEastAsia"/>
                <w:color w:val="auto"/>
              </w:rPr>
            </w:pPr>
            <w:r>
              <w:rPr>
                <w:rFonts w:eastAsiaTheme="minorEastAsia"/>
                <w:color w:val="auto"/>
              </w:rPr>
              <w:t>84</w:t>
            </w:r>
          </w:p>
        </w:tc>
        <w:tc>
          <w:tcPr>
            <w:tcW w:w="850" w:type="dxa"/>
            <w:tcBorders>
              <w:right w:val="single" w:color="auto" w:sz="2" w:space="0"/>
            </w:tcBorders>
            <w:vAlign w:val="center"/>
          </w:tcPr>
          <w:p>
            <w:pPr>
              <w:pStyle w:val="246"/>
              <w:rPr>
                <w:rFonts w:eastAsiaTheme="minorEastAsia"/>
                <w:color w:val="auto"/>
              </w:rPr>
            </w:pPr>
            <w:r>
              <w:rPr>
                <w:rFonts w:eastAsiaTheme="minorEastAsia"/>
                <w:color w:val="auto"/>
              </w:rPr>
              <w:t>70.02</w:t>
            </w:r>
          </w:p>
        </w:tc>
        <w:tc>
          <w:tcPr>
            <w:tcW w:w="851" w:type="dxa"/>
            <w:tcBorders>
              <w:left w:val="single" w:color="auto" w:sz="2" w:space="0"/>
            </w:tcBorders>
            <w:vAlign w:val="center"/>
          </w:tcPr>
          <w:p>
            <w:pPr>
              <w:pStyle w:val="246"/>
              <w:rPr>
                <w:rFonts w:eastAsiaTheme="minorEastAsia"/>
                <w:color w:val="auto"/>
              </w:rPr>
            </w:pPr>
            <w:r>
              <w:rPr>
                <w:rFonts w:eastAsiaTheme="minorEastAsia"/>
                <w:color w:val="auto"/>
              </w:rPr>
              <w:t>64.00</w:t>
            </w:r>
          </w:p>
        </w:tc>
        <w:tc>
          <w:tcPr>
            <w:tcW w:w="850" w:type="dxa"/>
            <w:vAlign w:val="center"/>
          </w:tcPr>
          <w:p>
            <w:pPr>
              <w:pStyle w:val="246"/>
              <w:rPr>
                <w:rFonts w:eastAsiaTheme="minorEastAsia"/>
                <w:color w:val="auto"/>
              </w:rPr>
            </w:pPr>
            <w:r>
              <w:rPr>
                <w:rFonts w:eastAsiaTheme="minorEastAsia"/>
                <w:color w:val="auto"/>
              </w:rPr>
              <w:t>57.98</w:t>
            </w:r>
          </w:p>
        </w:tc>
        <w:tc>
          <w:tcPr>
            <w:tcW w:w="732" w:type="dxa"/>
            <w:vAlign w:val="center"/>
          </w:tcPr>
          <w:p>
            <w:pPr>
              <w:pStyle w:val="246"/>
              <w:rPr>
                <w:rFonts w:eastAsiaTheme="minorEastAsia"/>
                <w:color w:val="auto"/>
              </w:rPr>
            </w:pPr>
            <w:r>
              <w:rPr>
                <w:rFonts w:eastAsiaTheme="minorEastAsia"/>
                <w:color w:val="auto"/>
              </w:rPr>
              <w:t>51.96</w:t>
            </w:r>
          </w:p>
        </w:tc>
        <w:tc>
          <w:tcPr>
            <w:tcW w:w="828" w:type="dxa"/>
            <w:vAlign w:val="center"/>
          </w:tcPr>
          <w:p>
            <w:pPr>
              <w:pStyle w:val="246"/>
              <w:rPr>
                <w:rFonts w:eastAsiaTheme="minorEastAsia"/>
                <w:color w:val="auto"/>
              </w:rPr>
            </w:pPr>
            <w:r>
              <w:rPr>
                <w:rFonts w:eastAsiaTheme="minorEastAsia"/>
                <w:color w:val="auto"/>
              </w:rPr>
              <w:t>50.02</w:t>
            </w:r>
          </w:p>
        </w:tc>
        <w:tc>
          <w:tcPr>
            <w:tcW w:w="828" w:type="dxa"/>
            <w:vAlign w:val="center"/>
          </w:tcPr>
          <w:p>
            <w:pPr>
              <w:pStyle w:val="246"/>
              <w:rPr>
                <w:rFonts w:eastAsiaTheme="minorEastAsia"/>
                <w:color w:val="auto"/>
              </w:rPr>
            </w:pPr>
            <w:r>
              <w:rPr>
                <w:rFonts w:eastAsiaTheme="minorEastAsia"/>
                <w:color w:val="auto"/>
              </w:rPr>
              <w:t>45.94</w:t>
            </w:r>
          </w:p>
        </w:tc>
        <w:tc>
          <w:tcPr>
            <w:tcW w:w="708" w:type="dxa"/>
            <w:vAlign w:val="center"/>
          </w:tcPr>
          <w:p>
            <w:pPr>
              <w:pStyle w:val="246"/>
              <w:rPr>
                <w:rFonts w:eastAsiaTheme="minorEastAsia"/>
                <w:color w:val="auto"/>
              </w:rPr>
            </w:pPr>
            <w:r>
              <w:rPr>
                <w:rFonts w:eastAsiaTheme="minorEastAsia"/>
                <w:color w:val="auto"/>
              </w:rPr>
              <w:t>44.00</w:t>
            </w:r>
          </w:p>
        </w:tc>
        <w:tc>
          <w:tcPr>
            <w:tcW w:w="851" w:type="dxa"/>
            <w:vAlign w:val="center"/>
          </w:tcPr>
          <w:p>
            <w:pPr>
              <w:pStyle w:val="246"/>
              <w:rPr>
                <w:rFonts w:eastAsiaTheme="minorEastAsia"/>
                <w:color w:val="auto"/>
              </w:rPr>
            </w:pPr>
            <w:r>
              <w:rPr>
                <w:rFonts w:eastAsiaTheme="minorEastAsia"/>
                <w:color w:val="auto"/>
              </w:rPr>
              <w:t>37.98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43" w:hRule="atLeast"/>
          <w:jc w:val="center"/>
        </w:trPr>
        <w:tc>
          <w:tcPr>
            <w:tcW w:w="1147" w:type="dxa"/>
            <w:vAlign w:val="center"/>
          </w:tcPr>
          <w:p>
            <w:pPr>
              <w:pStyle w:val="246"/>
              <w:rPr>
                <w:rFonts w:eastAsiaTheme="minorEastAsia"/>
                <w:color w:val="auto"/>
              </w:rPr>
            </w:pPr>
            <w:r>
              <w:rPr>
                <w:rFonts w:eastAsiaTheme="minorEastAsia"/>
                <w:color w:val="auto"/>
              </w:rPr>
              <w:t>自卸车</w:t>
            </w:r>
          </w:p>
        </w:tc>
        <w:tc>
          <w:tcPr>
            <w:tcW w:w="992" w:type="dxa"/>
            <w:vAlign w:val="center"/>
          </w:tcPr>
          <w:p>
            <w:pPr>
              <w:pStyle w:val="246"/>
              <w:rPr>
                <w:rFonts w:eastAsiaTheme="minorEastAsia"/>
                <w:color w:val="auto"/>
              </w:rPr>
            </w:pPr>
            <w:r>
              <w:rPr>
                <w:rFonts w:eastAsiaTheme="minorEastAsia"/>
                <w:color w:val="auto"/>
              </w:rPr>
              <w:t>95</w:t>
            </w:r>
          </w:p>
        </w:tc>
        <w:tc>
          <w:tcPr>
            <w:tcW w:w="850" w:type="dxa"/>
            <w:tcBorders>
              <w:right w:val="single" w:color="auto" w:sz="2" w:space="0"/>
            </w:tcBorders>
            <w:vAlign w:val="center"/>
          </w:tcPr>
          <w:p>
            <w:pPr>
              <w:pStyle w:val="246"/>
              <w:rPr>
                <w:rFonts w:eastAsiaTheme="minorEastAsia"/>
                <w:color w:val="auto"/>
              </w:rPr>
            </w:pPr>
            <w:r>
              <w:rPr>
                <w:rFonts w:eastAsiaTheme="minorEastAsia"/>
                <w:color w:val="auto"/>
              </w:rPr>
              <w:t>81.02</w:t>
            </w:r>
          </w:p>
        </w:tc>
        <w:tc>
          <w:tcPr>
            <w:tcW w:w="851" w:type="dxa"/>
            <w:tcBorders>
              <w:left w:val="single" w:color="auto" w:sz="2" w:space="0"/>
            </w:tcBorders>
            <w:vAlign w:val="center"/>
          </w:tcPr>
          <w:p>
            <w:pPr>
              <w:pStyle w:val="246"/>
              <w:rPr>
                <w:rFonts w:eastAsiaTheme="minorEastAsia"/>
                <w:color w:val="auto"/>
              </w:rPr>
            </w:pPr>
            <w:r>
              <w:rPr>
                <w:rFonts w:eastAsiaTheme="minorEastAsia"/>
                <w:color w:val="auto"/>
              </w:rPr>
              <w:t>75.00</w:t>
            </w:r>
          </w:p>
        </w:tc>
        <w:tc>
          <w:tcPr>
            <w:tcW w:w="850" w:type="dxa"/>
            <w:vAlign w:val="center"/>
          </w:tcPr>
          <w:p>
            <w:pPr>
              <w:pStyle w:val="246"/>
              <w:rPr>
                <w:rFonts w:eastAsiaTheme="minorEastAsia"/>
                <w:color w:val="auto"/>
              </w:rPr>
            </w:pPr>
            <w:r>
              <w:rPr>
                <w:rFonts w:eastAsiaTheme="minorEastAsia"/>
                <w:color w:val="auto"/>
              </w:rPr>
              <w:t>68.98</w:t>
            </w:r>
          </w:p>
        </w:tc>
        <w:tc>
          <w:tcPr>
            <w:tcW w:w="732" w:type="dxa"/>
            <w:vAlign w:val="center"/>
          </w:tcPr>
          <w:p>
            <w:pPr>
              <w:pStyle w:val="246"/>
              <w:rPr>
                <w:rFonts w:eastAsiaTheme="minorEastAsia"/>
                <w:color w:val="auto"/>
              </w:rPr>
            </w:pPr>
            <w:r>
              <w:rPr>
                <w:rFonts w:eastAsiaTheme="minorEastAsia"/>
                <w:color w:val="auto"/>
              </w:rPr>
              <w:t>62.96</w:t>
            </w:r>
          </w:p>
        </w:tc>
        <w:tc>
          <w:tcPr>
            <w:tcW w:w="828" w:type="dxa"/>
            <w:vAlign w:val="center"/>
          </w:tcPr>
          <w:p>
            <w:pPr>
              <w:pStyle w:val="246"/>
              <w:rPr>
                <w:rFonts w:eastAsiaTheme="minorEastAsia"/>
                <w:color w:val="auto"/>
              </w:rPr>
            </w:pPr>
            <w:r>
              <w:rPr>
                <w:rFonts w:eastAsiaTheme="minorEastAsia"/>
                <w:color w:val="auto"/>
              </w:rPr>
              <w:t>61.02</w:t>
            </w:r>
          </w:p>
        </w:tc>
        <w:tc>
          <w:tcPr>
            <w:tcW w:w="828" w:type="dxa"/>
            <w:vAlign w:val="center"/>
          </w:tcPr>
          <w:p>
            <w:pPr>
              <w:pStyle w:val="246"/>
              <w:rPr>
                <w:rFonts w:eastAsiaTheme="minorEastAsia"/>
                <w:color w:val="auto"/>
              </w:rPr>
            </w:pPr>
            <w:r>
              <w:rPr>
                <w:rFonts w:eastAsiaTheme="minorEastAsia"/>
                <w:color w:val="auto"/>
              </w:rPr>
              <w:t>56.94</w:t>
            </w:r>
          </w:p>
        </w:tc>
        <w:tc>
          <w:tcPr>
            <w:tcW w:w="708" w:type="dxa"/>
            <w:vAlign w:val="center"/>
          </w:tcPr>
          <w:p>
            <w:pPr>
              <w:pStyle w:val="246"/>
              <w:rPr>
                <w:rFonts w:eastAsiaTheme="minorEastAsia"/>
                <w:color w:val="auto"/>
              </w:rPr>
            </w:pPr>
            <w:r>
              <w:rPr>
                <w:rFonts w:eastAsiaTheme="minorEastAsia"/>
                <w:color w:val="auto"/>
              </w:rPr>
              <w:t>55.00</w:t>
            </w:r>
          </w:p>
        </w:tc>
        <w:tc>
          <w:tcPr>
            <w:tcW w:w="851" w:type="dxa"/>
            <w:vAlign w:val="center"/>
          </w:tcPr>
          <w:p>
            <w:pPr>
              <w:pStyle w:val="246"/>
              <w:rPr>
                <w:rFonts w:eastAsiaTheme="minorEastAsia"/>
                <w:color w:val="auto"/>
              </w:rPr>
            </w:pPr>
            <w:r>
              <w:rPr>
                <w:rFonts w:eastAsiaTheme="minorEastAsia"/>
                <w:color w:val="auto"/>
              </w:rPr>
              <w:t>48.98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147" w:type="dxa"/>
            <w:vAlign w:val="center"/>
          </w:tcPr>
          <w:p>
            <w:pPr>
              <w:pStyle w:val="246"/>
              <w:rPr>
                <w:rFonts w:eastAsiaTheme="minorEastAsia"/>
                <w:color w:val="auto"/>
              </w:rPr>
            </w:pPr>
            <w:r>
              <w:rPr>
                <w:rFonts w:eastAsiaTheme="minorEastAsia"/>
                <w:color w:val="auto"/>
              </w:rPr>
              <w:t>推土机</w:t>
            </w:r>
          </w:p>
        </w:tc>
        <w:tc>
          <w:tcPr>
            <w:tcW w:w="992" w:type="dxa"/>
            <w:vAlign w:val="center"/>
          </w:tcPr>
          <w:p>
            <w:pPr>
              <w:pStyle w:val="246"/>
              <w:rPr>
                <w:rFonts w:eastAsiaTheme="minorEastAsia"/>
                <w:color w:val="auto"/>
              </w:rPr>
            </w:pPr>
            <w:r>
              <w:rPr>
                <w:rFonts w:eastAsiaTheme="minorEastAsia"/>
                <w:color w:val="auto"/>
              </w:rPr>
              <w:t>86</w:t>
            </w:r>
          </w:p>
        </w:tc>
        <w:tc>
          <w:tcPr>
            <w:tcW w:w="850" w:type="dxa"/>
            <w:tcBorders>
              <w:right w:val="single" w:color="auto" w:sz="2" w:space="0"/>
            </w:tcBorders>
            <w:vAlign w:val="center"/>
          </w:tcPr>
          <w:p>
            <w:pPr>
              <w:pStyle w:val="246"/>
              <w:rPr>
                <w:rFonts w:eastAsiaTheme="minorEastAsia"/>
                <w:color w:val="auto"/>
              </w:rPr>
            </w:pPr>
            <w:r>
              <w:rPr>
                <w:rFonts w:eastAsiaTheme="minorEastAsia"/>
                <w:color w:val="auto"/>
              </w:rPr>
              <w:t>72.02</w:t>
            </w:r>
          </w:p>
        </w:tc>
        <w:tc>
          <w:tcPr>
            <w:tcW w:w="851" w:type="dxa"/>
            <w:tcBorders>
              <w:left w:val="single" w:color="auto" w:sz="2" w:space="0"/>
            </w:tcBorders>
            <w:vAlign w:val="center"/>
          </w:tcPr>
          <w:p>
            <w:pPr>
              <w:pStyle w:val="246"/>
              <w:rPr>
                <w:rFonts w:eastAsiaTheme="minorEastAsia"/>
                <w:color w:val="auto"/>
              </w:rPr>
            </w:pPr>
            <w:r>
              <w:rPr>
                <w:rFonts w:eastAsiaTheme="minorEastAsia"/>
                <w:color w:val="auto"/>
              </w:rPr>
              <w:t>66.00</w:t>
            </w:r>
          </w:p>
        </w:tc>
        <w:tc>
          <w:tcPr>
            <w:tcW w:w="850" w:type="dxa"/>
            <w:vAlign w:val="center"/>
          </w:tcPr>
          <w:p>
            <w:pPr>
              <w:pStyle w:val="246"/>
              <w:rPr>
                <w:rFonts w:eastAsiaTheme="minorEastAsia"/>
                <w:color w:val="auto"/>
              </w:rPr>
            </w:pPr>
            <w:r>
              <w:rPr>
                <w:rFonts w:eastAsiaTheme="minorEastAsia"/>
                <w:color w:val="auto"/>
              </w:rPr>
              <w:t>59.98</w:t>
            </w:r>
          </w:p>
        </w:tc>
        <w:tc>
          <w:tcPr>
            <w:tcW w:w="732" w:type="dxa"/>
            <w:vAlign w:val="center"/>
          </w:tcPr>
          <w:p>
            <w:pPr>
              <w:pStyle w:val="246"/>
              <w:rPr>
                <w:rFonts w:eastAsiaTheme="minorEastAsia"/>
                <w:color w:val="auto"/>
              </w:rPr>
            </w:pPr>
            <w:r>
              <w:rPr>
                <w:rFonts w:eastAsiaTheme="minorEastAsia"/>
                <w:color w:val="auto"/>
              </w:rPr>
              <w:t>53.96</w:t>
            </w:r>
          </w:p>
        </w:tc>
        <w:tc>
          <w:tcPr>
            <w:tcW w:w="828" w:type="dxa"/>
            <w:vAlign w:val="center"/>
          </w:tcPr>
          <w:p>
            <w:pPr>
              <w:pStyle w:val="246"/>
              <w:rPr>
                <w:rFonts w:eastAsiaTheme="minorEastAsia"/>
                <w:color w:val="auto"/>
              </w:rPr>
            </w:pPr>
            <w:r>
              <w:rPr>
                <w:rFonts w:eastAsiaTheme="minorEastAsia"/>
                <w:color w:val="auto"/>
              </w:rPr>
              <w:t>52.02</w:t>
            </w:r>
          </w:p>
        </w:tc>
        <w:tc>
          <w:tcPr>
            <w:tcW w:w="828" w:type="dxa"/>
            <w:vAlign w:val="center"/>
          </w:tcPr>
          <w:p>
            <w:pPr>
              <w:pStyle w:val="246"/>
              <w:rPr>
                <w:rFonts w:eastAsiaTheme="minorEastAsia"/>
                <w:color w:val="auto"/>
              </w:rPr>
            </w:pPr>
            <w:r>
              <w:rPr>
                <w:rFonts w:eastAsiaTheme="minorEastAsia"/>
                <w:color w:val="auto"/>
              </w:rPr>
              <w:t>47.94</w:t>
            </w:r>
          </w:p>
        </w:tc>
        <w:tc>
          <w:tcPr>
            <w:tcW w:w="708" w:type="dxa"/>
            <w:vAlign w:val="center"/>
          </w:tcPr>
          <w:p>
            <w:pPr>
              <w:pStyle w:val="246"/>
              <w:rPr>
                <w:rFonts w:eastAsiaTheme="minorEastAsia"/>
                <w:color w:val="auto"/>
              </w:rPr>
            </w:pPr>
            <w:r>
              <w:rPr>
                <w:rFonts w:eastAsiaTheme="minorEastAsia"/>
                <w:color w:val="auto"/>
              </w:rPr>
              <w:t>46.00</w:t>
            </w:r>
          </w:p>
        </w:tc>
        <w:tc>
          <w:tcPr>
            <w:tcW w:w="851" w:type="dxa"/>
            <w:vAlign w:val="center"/>
          </w:tcPr>
          <w:p>
            <w:pPr>
              <w:pStyle w:val="246"/>
              <w:rPr>
                <w:rFonts w:eastAsiaTheme="minorEastAsia"/>
                <w:color w:val="auto"/>
              </w:rPr>
            </w:pPr>
            <w:r>
              <w:rPr>
                <w:rFonts w:eastAsiaTheme="minorEastAsia"/>
                <w:color w:val="auto"/>
              </w:rPr>
              <w:t>39.98</w:t>
            </w:r>
          </w:p>
        </w:tc>
      </w:tr>
    </w:tbl>
    <w:p>
      <w:pPr>
        <w:pStyle w:val="276"/>
        <w:rPr>
          <w:rFonts w:eastAsiaTheme="minorEastAsia"/>
          <w:color w:val="auto"/>
        </w:rPr>
      </w:pPr>
      <w:r>
        <w:rPr>
          <w:rFonts w:eastAsiaTheme="minorEastAsia"/>
          <w:color w:val="auto"/>
        </w:rPr>
        <w:t>根据表 5-1-1 预测结果，单台机械设备在 20m 处产生的声级值均能满足《建筑施工场界环境噪声排放标准》（GB12523-2011）昼间标准要求。随着距离加大，均有明显衰减，至 200m 处噪声贡献值一般均在50dB(A)以下。</w:t>
      </w:r>
    </w:p>
    <w:p>
      <w:pPr>
        <w:pStyle w:val="276"/>
        <w:rPr>
          <w:rFonts w:eastAsiaTheme="minorEastAsia"/>
          <w:color w:val="auto"/>
        </w:rPr>
      </w:pPr>
      <w:r>
        <w:rPr>
          <w:rFonts w:eastAsiaTheme="minorEastAsia"/>
          <w:color w:val="auto"/>
        </w:rPr>
        <w:t>（3）影响分析</w:t>
      </w:r>
    </w:p>
    <w:p>
      <w:pPr>
        <w:pStyle w:val="276"/>
        <w:keepNext w:val="0"/>
        <w:keepLines w:val="0"/>
        <w:pageBreakBefore w:val="0"/>
        <w:widowControl w:val="0"/>
        <w:kinsoku/>
        <w:wordWrap/>
        <w:overflowPunct/>
        <w:topLinePunct w:val="0"/>
        <w:autoSpaceDE/>
        <w:autoSpaceDN/>
        <w:bidi w:val="0"/>
        <w:adjustRightInd/>
        <w:snapToGrid/>
        <w:jc w:val="both"/>
        <w:textAlignment w:val="auto"/>
        <w:outlineLvl w:val="9"/>
        <w:rPr>
          <w:rFonts w:eastAsiaTheme="minorEastAsia"/>
          <w:color w:val="auto"/>
        </w:rPr>
      </w:pPr>
      <w:r>
        <w:rPr>
          <w:rFonts w:eastAsiaTheme="minorEastAsia"/>
          <w:color w:val="auto"/>
        </w:rPr>
        <w:t>施工选用低噪声设备，并设专人对其进行保养维修；夜间（22:00～次日 6:00）禁止施工；施工厂界噪声排放满足《建筑施工场界环境噪声排放标准》（GB12523-2011），对环境影响可被环境接受。</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5.1.5施工期固体废物影响分析</w:t>
      </w:r>
    </w:p>
    <w:p>
      <w:pPr>
        <w:pStyle w:val="276"/>
        <w:rPr>
          <w:rFonts w:eastAsiaTheme="minorEastAsia"/>
          <w:color w:val="auto"/>
          <w:highlight w:val="yellow"/>
        </w:rPr>
      </w:pPr>
      <w:r>
        <w:rPr>
          <w:rFonts w:eastAsiaTheme="minorEastAsia"/>
          <w:color w:val="auto"/>
        </w:rPr>
        <w:t>施工期固体废物主要为矿体表面剥离的</w:t>
      </w:r>
      <w:r>
        <w:rPr>
          <w:rFonts w:hint="eastAsia" w:eastAsiaTheme="minorEastAsia"/>
          <w:color w:val="auto"/>
          <w:lang w:eastAsia="zh-CN"/>
        </w:rPr>
        <w:t>废土石</w:t>
      </w:r>
      <w:r>
        <w:rPr>
          <w:rFonts w:eastAsiaTheme="minorEastAsia"/>
          <w:color w:val="auto"/>
        </w:rPr>
        <w:t>和施工人员产生的生活垃圾。</w:t>
      </w:r>
    </w:p>
    <w:p>
      <w:pPr>
        <w:pStyle w:val="276"/>
        <w:rPr>
          <w:rFonts w:eastAsiaTheme="minorEastAsia"/>
          <w:color w:val="auto"/>
        </w:rPr>
      </w:pPr>
      <w:r>
        <w:rPr>
          <w:rFonts w:eastAsiaTheme="minorEastAsia"/>
          <w:color w:val="auto"/>
        </w:rPr>
        <w:t>本项目剥离的土岩暂存于临时堆土场，定期外售。土岩产生</w:t>
      </w:r>
      <w:r>
        <w:rPr>
          <w:rFonts w:hint="eastAsia" w:eastAsiaTheme="minorEastAsia"/>
          <w:color w:val="auto"/>
          <w:lang w:eastAsia="zh-CN"/>
        </w:rPr>
        <w:t>3.87</w:t>
      </w:r>
      <w:r>
        <w:rPr>
          <w:rFonts w:eastAsiaTheme="minorEastAsia"/>
          <w:color w:val="auto"/>
        </w:rPr>
        <w:t>m</w:t>
      </w:r>
      <w:r>
        <w:rPr>
          <w:rFonts w:eastAsiaTheme="minorEastAsia"/>
          <w:color w:val="auto"/>
          <w:vertAlign w:val="superscript"/>
        </w:rPr>
        <w:t>3</w:t>
      </w:r>
      <w:r>
        <w:rPr>
          <w:rFonts w:eastAsiaTheme="minorEastAsia"/>
          <w:color w:val="auto"/>
        </w:rPr>
        <w:t>/d，</w:t>
      </w:r>
      <w:r>
        <w:rPr>
          <w:rFonts w:hint="eastAsia" w:eastAsiaTheme="minorEastAsia"/>
          <w:color w:val="auto"/>
          <w:lang w:eastAsia="zh-CN"/>
        </w:rPr>
        <w:t>9</w:t>
      </w:r>
      <w:r>
        <w:rPr>
          <w:rFonts w:hint="eastAsia" w:eastAsiaTheme="minorEastAsia"/>
          <w:color w:val="auto"/>
          <w:lang w:val="en-US" w:eastAsia="zh-CN"/>
        </w:rPr>
        <w:t>29</w:t>
      </w:r>
      <w:r>
        <w:rPr>
          <w:rFonts w:eastAsiaTheme="minorEastAsia"/>
          <w:color w:val="auto"/>
        </w:rPr>
        <w:t>m</w:t>
      </w:r>
      <w:r>
        <w:rPr>
          <w:rFonts w:eastAsiaTheme="minorEastAsia"/>
          <w:color w:val="auto"/>
          <w:vertAlign w:val="superscript"/>
        </w:rPr>
        <w:t>3</w:t>
      </w:r>
      <w:r>
        <w:rPr>
          <w:rFonts w:eastAsiaTheme="minorEastAsia"/>
          <w:color w:val="auto"/>
        </w:rPr>
        <w:t>/a，</w:t>
      </w:r>
      <w:r>
        <w:rPr>
          <w:rFonts w:hint="eastAsia" w:eastAsiaTheme="minorEastAsia"/>
          <w:color w:val="auto"/>
          <w:lang w:eastAsia="zh-CN"/>
        </w:rPr>
        <w:t>每</w:t>
      </w:r>
      <w:r>
        <w:rPr>
          <w:rFonts w:hint="eastAsia" w:eastAsiaTheme="minorEastAsia"/>
          <w:color w:val="auto"/>
          <w:lang w:val="en-US" w:eastAsia="zh-CN"/>
        </w:rPr>
        <w:t>10天运输1次，因此，</w:t>
      </w:r>
      <w:r>
        <w:rPr>
          <w:rFonts w:eastAsiaTheme="minorEastAsia"/>
          <w:color w:val="auto"/>
        </w:rPr>
        <w:t>临时堆土场</w:t>
      </w:r>
      <w:r>
        <w:rPr>
          <w:rFonts w:hint="eastAsia" w:eastAsiaTheme="minorEastAsia"/>
          <w:color w:val="auto"/>
          <w:lang w:eastAsia="zh-CN"/>
        </w:rPr>
        <w:t>设计</w:t>
      </w:r>
      <w:r>
        <w:rPr>
          <w:rFonts w:eastAsiaTheme="minorEastAsia"/>
          <w:color w:val="auto"/>
        </w:rPr>
        <w:t>容积</w:t>
      </w:r>
      <w:r>
        <w:rPr>
          <w:rFonts w:hint="eastAsia" w:eastAsiaTheme="minorEastAsia"/>
          <w:color w:val="auto"/>
          <w:lang w:val="en-US" w:eastAsia="zh-CN"/>
        </w:rPr>
        <w:t>38.7</w:t>
      </w:r>
      <w:r>
        <w:rPr>
          <w:rFonts w:eastAsiaTheme="minorEastAsia"/>
          <w:color w:val="auto"/>
        </w:rPr>
        <w:t>m</w:t>
      </w:r>
      <w:r>
        <w:rPr>
          <w:rFonts w:eastAsiaTheme="minorEastAsia"/>
          <w:color w:val="auto"/>
          <w:vertAlign w:val="superscript"/>
        </w:rPr>
        <w:t>3</w:t>
      </w:r>
      <w:r>
        <w:rPr>
          <w:rFonts w:eastAsiaTheme="minorEastAsia"/>
          <w:color w:val="auto"/>
        </w:rPr>
        <w:t>，堆高3m，占地面积</w:t>
      </w:r>
      <w:r>
        <w:rPr>
          <w:rFonts w:hint="eastAsia" w:eastAsiaTheme="minorEastAsia"/>
          <w:color w:val="auto"/>
          <w:lang w:val="en-US" w:eastAsia="zh-CN"/>
        </w:rPr>
        <w:t>40</w:t>
      </w:r>
      <w:r>
        <w:rPr>
          <w:rFonts w:eastAsiaTheme="minorEastAsia"/>
          <w:color w:val="auto"/>
        </w:rPr>
        <w:t>m</w:t>
      </w:r>
      <w:r>
        <w:rPr>
          <w:rFonts w:eastAsiaTheme="minorEastAsia"/>
          <w:color w:val="auto"/>
          <w:vertAlign w:val="superscript"/>
        </w:rPr>
        <w:t>2</w:t>
      </w:r>
      <w:r>
        <w:rPr>
          <w:rFonts w:eastAsiaTheme="minorEastAsia"/>
          <w:color w:val="auto"/>
        </w:rPr>
        <w:t>，</w:t>
      </w:r>
      <w:r>
        <w:rPr>
          <w:rFonts w:hint="eastAsia" w:eastAsiaTheme="minorEastAsia"/>
          <w:color w:val="auto"/>
          <w:lang w:eastAsia="zh-CN"/>
        </w:rPr>
        <w:t>能够</w:t>
      </w:r>
      <w:r>
        <w:rPr>
          <w:rFonts w:eastAsiaTheme="minorEastAsia"/>
          <w:color w:val="auto"/>
        </w:rPr>
        <w:t>满足项目需求。临时堆土场土堆坡度为1：1.5，底部采用砌石挡土墙，并在挡土墙边设排水沟。</w:t>
      </w:r>
    </w:p>
    <w:p>
      <w:pPr>
        <w:pStyle w:val="276"/>
        <w:rPr>
          <w:rFonts w:eastAsiaTheme="minorEastAsia"/>
          <w:color w:val="auto"/>
        </w:rPr>
      </w:pPr>
      <w:r>
        <w:rPr>
          <w:rFonts w:eastAsiaTheme="minorEastAsia"/>
          <w:color w:val="auto"/>
        </w:rPr>
        <w:t>施工人员生活垃圾产生量为0.005t/d，施工期共产生0.15t，经集中收集后由当地环卫部门统一处理，不会对环境产生不利的影响。</w:t>
      </w:r>
    </w:p>
    <w:p>
      <w:pPr>
        <w:pStyle w:val="238"/>
        <w:spacing w:before="120" w:after="120"/>
        <w:rPr>
          <w:rFonts w:hAnsi="Times New Roman" w:eastAsiaTheme="minorEastAsia"/>
          <w:color w:val="auto"/>
        </w:rPr>
      </w:pPr>
      <w:bookmarkStart w:id="201" w:name="_Toc519693580"/>
      <w:r>
        <w:rPr>
          <w:rFonts w:hAnsi="Times New Roman" w:eastAsiaTheme="minorEastAsia"/>
          <w:color w:val="auto"/>
        </w:rPr>
        <w:t>5.2运行期环境影响预测与评价</w:t>
      </w:r>
      <w:bookmarkEnd w:id="201"/>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5.2.1生态环境影响评价</w:t>
      </w:r>
    </w:p>
    <w:p>
      <w:pPr>
        <w:pStyle w:val="276"/>
        <w:ind w:firstLine="0" w:firstLineChars="0"/>
        <w:rPr>
          <w:rFonts w:eastAsiaTheme="minorEastAsia"/>
          <w:color w:val="auto"/>
        </w:rPr>
      </w:pPr>
      <w:r>
        <w:rPr>
          <w:rFonts w:eastAsiaTheme="minorEastAsia"/>
          <w:color w:val="auto"/>
        </w:rPr>
        <w:t>5.2.1.1项目区域整体生态环境概述</w:t>
      </w:r>
    </w:p>
    <w:p>
      <w:pPr>
        <w:pStyle w:val="276"/>
        <w:rPr>
          <w:rFonts w:eastAsiaTheme="minorEastAsia"/>
          <w:color w:val="auto"/>
        </w:rPr>
      </w:pPr>
      <w:r>
        <w:rPr>
          <w:rFonts w:eastAsiaTheme="minorEastAsia"/>
          <w:color w:val="auto"/>
        </w:rPr>
        <w:t>本项目位于</w:t>
      </w:r>
      <w:r>
        <w:rPr>
          <w:rFonts w:hint="eastAsia" w:eastAsiaTheme="minorEastAsia"/>
          <w:color w:val="auto"/>
          <w:lang w:eastAsia="zh-CN"/>
        </w:rPr>
        <w:t>佳木斯市郊区沿江乡新华村南约450m处</w:t>
      </w:r>
      <w:r>
        <w:rPr>
          <w:rFonts w:eastAsiaTheme="minorEastAsia"/>
          <w:color w:val="auto"/>
        </w:rPr>
        <w:t>，目前矿区</w:t>
      </w:r>
      <w:r>
        <w:rPr>
          <w:rFonts w:hint="eastAsia" w:eastAsiaTheme="minorEastAsia"/>
          <w:color w:val="auto"/>
          <w:lang w:eastAsia="zh-CN"/>
        </w:rPr>
        <w:t>周边</w:t>
      </w:r>
      <w:r>
        <w:rPr>
          <w:rFonts w:eastAsiaTheme="minorEastAsia"/>
          <w:color w:val="auto"/>
        </w:rPr>
        <w:t xml:space="preserve">地表植被主要以杨树及低矮灌木林地为主，地表绿色植被覆盖率较高，裸岩、裸地零星分布于矿区，存在一定水土流失，野生动物资源较为贫乏；在评价区内有大量的人为活动，主要为农业种植。 </w:t>
      </w:r>
    </w:p>
    <w:p>
      <w:pPr>
        <w:jc w:val="left"/>
        <w:rPr>
          <w:rFonts w:eastAsiaTheme="minorEastAsia"/>
          <w:color w:val="auto"/>
          <w:szCs w:val="24"/>
        </w:rPr>
      </w:pPr>
      <w:r>
        <w:rPr>
          <w:rFonts w:eastAsiaTheme="minorEastAsia"/>
          <w:color w:val="auto"/>
          <w:szCs w:val="24"/>
        </w:rPr>
        <w:t xml:space="preserve">5.2.1.2对生态环境的评价 </w:t>
      </w:r>
    </w:p>
    <w:p>
      <w:pPr>
        <w:ind w:firstLine="480" w:firstLineChars="200"/>
        <w:jc w:val="left"/>
        <w:rPr>
          <w:rFonts w:eastAsiaTheme="minorEastAsia"/>
          <w:color w:val="auto"/>
          <w:szCs w:val="24"/>
        </w:rPr>
      </w:pPr>
      <w:r>
        <w:rPr>
          <w:rFonts w:eastAsiaTheme="minorEastAsia"/>
          <w:color w:val="auto"/>
          <w:szCs w:val="24"/>
        </w:rPr>
        <w:t xml:space="preserve">（1）对植被的影响 </w:t>
      </w:r>
    </w:p>
    <w:p>
      <w:pPr>
        <w:ind w:firstLine="480" w:firstLineChars="200"/>
        <w:jc w:val="left"/>
        <w:rPr>
          <w:rFonts w:eastAsiaTheme="minorEastAsia"/>
          <w:color w:val="auto"/>
          <w:szCs w:val="24"/>
        </w:rPr>
      </w:pPr>
      <w:r>
        <w:rPr>
          <w:rFonts w:eastAsiaTheme="minorEastAsia"/>
          <w:color w:val="auto"/>
          <w:szCs w:val="24"/>
        </w:rPr>
        <w:t xml:space="preserve">项目运营期矿山开采加工和运输过程中产生的粉尘将对项目附近的人工植被和自然植被产生一定影响，粉尘降落在农业物和自然植物叶面，降低叶面的光合作用，堵塞叶面毛孔、阻碍叶面气孔的呼吸作用和水分蒸发，造成叶尖失水、叶落和农作物减产等。 </w:t>
      </w:r>
    </w:p>
    <w:p>
      <w:pPr>
        <w:ind w:firstLine="480" w:firstLineChars="200"/>
        <w:jc w:val="left"/>
        <w:rPr>
          <w:rFonts w:eastAsiaTheme="minorEastAsia"/>
          <w:color w:val="auto"/>
          <w:szCs w:val="24"/>
        </w:rPr>
      </w:pPr>
      <w:r>
        <w:rPr>
          <w:rFonts w:eastAsiaTheme="minorEastAsia"/>
          <w:color w:val="auto"/>
          <w:szCs w:val="24"/>
        </w:rPr>
        <w:t xml:space="preserve">本项目剥离、凿岩、爆破、破碎、筛分、废土方堆存及运输过程中严格采取粉尘防治措施，厂区内部播撒草籽进行绿化。闭坑后，及时对工业场地、临时堆土场地表进行生态恢复，可有效降低对植物的影响。 </w:t>
      </w:r>
    </w:p>
    <w:p>
      <w:pPr>
        <w:pStyle w:val="276"/>
        <w:rPr>
          <w:rFonts w:eastAsiaTheme="minorEastAsia"/>
          <w:color w:val="auto"/>
        </w:rPr>
      </w:pPr>
      <w:r>
        <w:rPr>
          <w:rFonts w:eastAsiaTheme="minorEastAsia"/>
          <w:color w:val="auto"/>
        </w:rPr>
        <w:t xml:space="preserve">（2）对动物的影响 </w:t>
      </w:r>
    </w:p>
    <w:p>
      <w:pPr>
        <w:spacing w:line="500" w:lineRule="exact"/>
        <w:ind w:firstLine="480" w:firstLineChars="200"/>
        <w:jc w:val="left"/>
        <w:rPr>
          <w:rFonts w:eastAsiaTheme="minorEastAsia"/>
          <w:color w:val="auto"/>
          <w:szCs w:val="24"/>
        </w:rPr>
      </w:pPr>
      <w:r>
        <w:rPr>
          <w:rFonts w:eastAsiaTheme="minorEastAsia"/>
          <w:color w:val="auto"/>
          <w:szCs w:val="24"/>
        </w:rPr>
        <w:t>本项目所在区域人类活动频繁，基本无野生大型动物分布。经现场踏勘，工程区域范围未见珍稀保护动物存在。本项目运营期作业设备噪声和人为活动的干扰，导致项目区域及周围一定范围内栖息的小型鼠类和两栖动物迁移栖息地。本项目作业中采取一定的降噪、减振措施，减小对上述野生动物的影响。随着矿区生态绿化工程建设，动植物可逐渐适应，对动物的影响也逐渐减弱，对动物产生</w:t>
      </w:r>
      <w:r>
        <w:rPr>
          <w:rFonts w:hint="eastAsia" w:eastAsiaTheme="minorEastAsia"/>
          <w:color w:val="auto"/>
          <w:szCs w:val="24"/>
          <w:lang w:eastAsia="zh-CN"/>
        </w:rPr>
        <w:t>的</w:t>
      </w:r>
      <w:r>
        <w:rPr>
          <w:rFonts w:eastAsiaTheme="minorEastAsia"/>
          <w:color w:val="auto"/>
          <w:szCs w:val="24"/>
        </w:rPr>
        <w:t xml:space="preserve">影响不明显。 </w:t>
      </w:r>
    </w:p>
    <w:p>
      <w:pPr>
        <w:spacing w:line="500" w:lineRule="exact"/>
        <w:ind w:firstLine="480" w:firstLineChars="200"/>
        <w:jc w:val="left"/>
        <w:rPr>
          <w:rFonts w:eastAsiaTheme="minorEastAsia"/>
          <w:color w:val="auto"/>
          <w:szCs w:val="24"/>
        </w:rPr>
      </w:pPr>
      <w:r>
        <w:rPr>
          <w:rFonts w:eastAsiaTheme="minorEastAsia"/>
          <w:color w:val="auto"/>
          <w:szCs w:val="24"/>
        </w:rPr>
        <w:t xml:space="preserve">（3）对生物多样性的影响 </w:t>
      </w:r>
    </w:p>
    <w:p>
      <w:pPr>
        <w:spacing w:line="500" w:lineRule="exact"/>
        <w:ind w:firstLine="480" w:firstLineChars="200"/>
        <w:jc w:val="left"/>
        <w:rPr>
          <w:rFonts w:eastAsiaTheme="minorEastAsia"/>
          <w:color w:val="auto"/>
          <w:szCs w:val="24"/>
        </w:rPr>
      </w:pPr>
      <w:r>
        <w:rPr>
          <w:rFonts w:eastAsiaTheme="minorEastAsia"/>
          <w:color w:val="auto"/>
          <w:szCs w:val="24"/>
        </w:rPr>
        <w:t>项目区</w:t>
      </w:r>
      <w:r>
        <w:rPr>
          <w:rFonts w:hint="eastAsia" w:eastAsiaTheme="minorEastAsia"/>
          <w:color w:val="auto"/>
          <w:szCs w:val="24"/>
          <w:lang w:eastAsia="zh-CN"/>
        </w:rPr>
        <w:t>评价范围内</w:t>
      </w:r>
      <w:r>
        <w:rPr>
          <w:rFonts w:eastAsiaTheme="minorEastAsia"/>
          <w:color w:val="auto"/>
          <w:szCs w:val="24"/>
        </w:rPr>
        <w:t xml:space="preserve">土地利用现状为裸露岩石和林地，有林地为次生林。虽然破坏了原有植被，但是由于被破坏的植被物种均为评价区所在区域常见物种，该区域原有物种组成不会有很大的变化，因此本项目对所在区域的原有生物多样性和生态系统的稳定性影响不大。 </w:t>
      </w:r>
    </w:p>
    <w:p>
      <w:pPr>
        <w:spacing w:line="500" w:lineRule="exact"/>
        <w:ind w:firstLine="480" w:firstLineChars="200"/>
        <w:jc w:val="left"/>
        <w:rPr>
          <w:rFonts w:eastAsiaTheme="minorEastAsia"/>
          <w:color w:val="auto"/>
          <w:szCs w:val="24"/>
        </w:rPr>
      </w:pPr>
      <w:r>
        <w:rPr>
          <w:rFonts w:eastAsiaTheme="minorEastAsia"/>
          <w:color w:val="auto"/>
          <w:szCs w:val="24"/>
        </w:rPr>
        <w:t xml:space="preserve">（4）对自然景观的影响 </w:t>
      </w:r>
    </w:p>
    <w:p>
      <w:pPr>
        <w:spacing w:line="500" w:lineRule="exact"/>
        <w:ind w:firstLine="480" w:firstLineChars="200"/>
        <w:jc w:val="left"/>
        <w:rPr>
          <w:rFonts w:eastAsiaTheme="minorEastAsia"/>
          <w:color w:val="auto"/>
          <w:szCs w:val="24"/>
        </w:rPr>
      </w:pPr>
      <w:r>
        <w:rPr>
          <w:rFonts w:eastAsiaTheme="minorEastAsia"/>
          <w:color w:val="auto"/>
          <w:szCs w:val="24"/>
        </w:rPr>
        <w:t>项目产生的景观变化主要分为两个方面：一是地貌形态由原来的山丘逐渐降低；二是</w:t>
      </w:r>
      <w:r>
        <w:rPr>
          <w:rFonts w:hint="eastAsia" w:eastAsiaTheme="minorEastAsia"/>
          <w:color w:val="auto"/>
          <w:szCs w:val="24"/>
          <w:lang w:eastAsia="zh-CN"/>
        </w:rPr>
        <w:t>随着开采的进行，采场上的林地消失（主要发生在既有项目开采过程中），逐渐</w:t>
      </w:r>
      <w:r>
        <w:rPr>
          <w:rFonts w:eastAsiaTheme="minorEastAsia"/>
          <w:color w:val="auto"/>
          <w:szCs w:val="24"/>
        </w:rPr>
        <w:t xml:space="preserve">变为采矿用地。采矿结束采取生态恢复措施后，评价区植被覆盖提高，改善当地自然景观。 </w:t>
      </w:r>
    </w:p>
    <w:p>
      <w:pPr>
        <w:spacing w:line="500" w:lineRule="exact"/>
        <w:ind w:firstLine="480" w:firstLineChars="200"/>
        <w:jc w:val="left"/>
        <w:rPr>
          <w:rFonts w:eastAsiaTheme="minorEastAsia"/>
          <w:color w:val="auto"/>
          <w:szCs w:val="24"/>
        </w:rPr>
      </w:pPr>
      <w:r>
        <w:rPr>
          <w:rFonts w:eastAsiaTheme="minorEastAsia"/>
          <w:color w:val="auto"/>
          <w:szCs w:val="24"/>
        </w:rPr>
        <w:t xml:space="preserve">（6）水土流失影响 </w:t>
      </w:r>
    </w:p>
    <w:p>
      <w:pPr>
        <w:pStyle w:val="276"/>
        <w:rPr>
          <w:rFonts w:eastAsiaTheme="minorEastAsia"/>
          <w:color w:val="auto"/>
        </w:rPr>
      </w:pPr>
      <w:r>
        <w:rPr>
          <w:rFonts w:eastAsiaTheme="minorEastAsia"/>
          <w:color w:val="auto"/>
        </w:rPr>
        <w:t>项目运行后，采矿场内山体切割面逐步加大，边开采边加固护坡防止大面积塌陷，防止重力侵蚀；按规划要求去开采，不能无序扩张，在临时堆土场周围砌坝护坡最大限度防止水土流失；在坝外采用树木、花草美化，选用较好的植被进行覆盖，临时堆土场区域内非雨季适当淋浴增湿，防止风蚀；雨季设有排水沟，防止水蚀。运行期人为扰动因素结束，项目区水土流失得到有效的控制。本项目采矿权所规定的期满后进行植被恢复，由于植物措施发挥保水保土作用具有后效性，植物根系浅，固土能力差，同时地面还未形成范围覆盖，防风蚀能力有限，在降雨、刮风等外营力侵蚀作用还存在一定程度的水土流失，主要发生在矿区地绿化区域及植被种植区。</w:t>
      </w:r>
    </w:p>
    <w:p>
      <w:pPr>
        <w:pStyle w:val="276"/>
        <w:rPr>
          <w:rFonts w:eastAsiaTheme="minorEastAsia"/>
          <w:color w:val="auto"/>
        </w:rPr>
      </w:pPr>
      <w:r>
        <w:rPr>
          <w:rFonts w:eastAsiaTheme="minorEastAsia"/>
          <w:color w:val="auto"/>
        </w:rPr>
        <w:t>运营期严格采取水土保持措施，采矿境界内采矿期间采取临时措施疏导排水，并设置了排水沟和</w:t>
      </w:r>
      <w:r>
        <w:rPr>
          <w:rFonts w:hint="eastAsia" w:eastAsiaTheme="minorEastAsia"/>
          <w:color w:val="auto"/>
          <w:lang w:eastAsia="zh-CN"/>
        </w:rPr>
        <w:t>沉淀池</w:t>
      </w:r>
      <w:r>
        <w:rPr>
          <w:rFonts w:eastAsiaTheme="minorEastAsia"/>
          <w:color w:val="auto"/>
        </w:rPr>
        <w:t>，可有效防治水土流失。</w:t>
      </w:r>
    </w:p>
    <w:p>
      <w:pPr>
        <w:spacing w:line="500" w:lineRule="exact"/>
        <w:jc w:val="left"/>
        <w:rPr>
          <w:rFonts w:eastAsiaTheme="minorEastAsia"/>
          <w:color w:val="auto"/>
          <w:szCs w:val="24"/>
        </w:rPr>
      </w:pPr>
      <w:r>
        <w:rPr>
          <w:rFonts w:eastAsiaTheme="minorEastAsia"/>
          <w:color w:val="auto"/>
          <w:szCs w:val="24"/>
        </w:rPr>
        <w:t xml:space="preserve">5.2.1.3生态环境影响预测评价结论 </w:t>
      </w:r>
    </w:p>
    <w:p>
      <w:pPr>
        <w:spacing w:line="500" w:lineRule="exact"/>
        <w:ind w:firstLine="480" w:firstLineChars="200"/>
        <w:jc w:val="left"/>
        <w:rPr>
          <w:rFonts w:eastAsiaTheme="minorEastAsia"/>
          <w:color w:val="auto"/>
          <w:szCs w:val="24"/>
        </w:rPr>
      </w:pPr>
      <w:r>
        <w:rPr>
          <w:rFonts w:eastAsiaTheme="minorEastAsia"/>
          <w:color w:val="auto"/>
          <w:szCs w:val="24"/>
        </w:rPr>
        <w:t xml:space="preserve">本项目在运行过程中会对矿区及附近栖息在灌木从中的小型野生动物如小型哺乳动物、鸟类、爬行类及昆虫类动物产生影响。森林景观是评价区域中景观面积最大的景观要素，人工林、次生林广泛且大面积分布，使该类景观连接度水平很高。由此可见，森林景观类型在评价区发挥基质作用，人类对其利用与保护将直接关系到区域整体结构与功能的稳定，以及产品与服务的供应。 </w:t>
      </w:r>
    </w:p>
    <w:p>
      <w:pPr>
        <w:spacing w:line="500" w:lineRule="exact"/>
        <w:ind w:firstLine="480" w:firstLineChars="200"/>
        <w:jc w:val="left"/>
        <w:rPr>
          <w:rFonts w:eastAsiaTheme="minorEastAsia"/>
          <w:color w:val="auto"/>
          <w:szCs w:val="24"/>
        </w:rPr>
      </w:pPr>
      <w:r>
        <w:rPr>
          <w:rFonts w:eastAsiaTheme="minorEastAsia"/>
          <w:color w:val="auto"/>
          <w:szCs w:val="24"/>
        </w:rPr>
        <w:t xml:space="preserve">本项目运营期，形成了矿山开采活动这一干扰强烈的人工生态系统斑块，虽然该斑块内生态系统稳定性、复杂性降低，但就整个区域而言，森林景观仍然为评价范围内的基质，森林生态系统在评价区的生态功能方面起控制作用，项目运营对森林生态系统的整体性和连续性的影响相对较小，评价区的主要服务功能为防止水土流失、维持生物物种多样性、涵养水源等，项目运营不会导致评价区域生态体系组成和服务功能发生明显变化，对区域生态环境的影响是可以接受的。根据上述分析结果，本项目应对露天采区服务期满后，通过边坡治理，场地平整，植被恢复等措施，可使因本项目对生态环境影响程度降到最低。生态环境影响分析该项目建设是可行的。 </w:t>
      </w:r>
    </w:p>
    <w:p>
      <w:pPr>
        <w:pStyle w:val="276"/>
        <w:rPr>
          <w:rFonts w:eastAsiaTheme="minorEastAsia"/>
          <w:color w:val="auto"/>
        </w:rPr>
      </w:pPr>
      <w:r>
        <w:rPr>
          <w:rFonts w:eastAsiaTheme="minorEastAsia"/>
          <w:color w:val="auto"/>
        </w:rPr>
        <w:t xml:space="preserve">根据上述分析结果，本项目应对露天采区服务期满，进行植被恢复。通过对各环境影响因素的分析和提出的防治措施，使因本项目对生态环境影响程度降到最低。生态环境影响分析该项目建设是可行的。 </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5.2.2大气环境影响评价</w:t>
      </w:r>
    </w:p>
    <w:p>
      <w:pPr>
        <w:pStyle w:val="276"/>
        <w:rPr>
          <w:rFonts w:eastAsiaTheme="minorEastAsia"/>
          <w:color w:val="auto"/>
        </w:rPr>
      </w:pPr>
      <w:r>
        <w:rPr>
          <w:rFonts w:eastAsiaTheme="minorEastAsia"/>
          <w:color w:val="auto"/>
        </w:rPr>
        <w:t>该项目在矿石凿岩打孔、爆破、集堆、铲装运输、破碎筛分及土岩堆存等均会产生粉尘，排放方式分为有组织排放和无组织排放。</w:t>
      </w:r>
    </w:p>
    <w:p>
      <w:pPr>
        <w:pStyle w:val="276"/>
        <w:ind w:firstLine="0" w:firstLineChars="0"/>
        <w:rPr>
          <w:rFonts w:eastAsiaTheme="minorEastAsia"/>
          <w:color w:val="auto"/>
        </w:rPr>
      </w:pPr>
      <w:r>
        <w:rPr>
          <w:rFonts w:eastAsiaTheme="minorEastAsia"/>
          <w:color w:val="auto"/>
        </w:rPr>
        <w:t>5.2.2.1有组织排放</w:t>
      </w:r>
    </w:p>
    <w:p>
      <w:pPr>
        <w:pStyle w:val="276"/>
        <w:rPr>
          <w:rFonts w:eastAsiaTheme="minorEastAsia"/>
          <w:color w:val="auto"/>
        </w:rPr>
      </w:pPr>
      <w:r>
        <w:rPr>
          <w:rFonts w:eastAsiaTheme="minorEastAsia"/>
          <w:color w:val="auto"/>
        </w:rPr>
        <w:t>（1）</w:t>
      </w:r>
      <w:r>
        <w:rPr>
          <w:rFonts w:hint="eastAsia" w:eastAsiaTheme="minorEastAsia"/>
          <w:color w:val="auto"/>
          <w:lang w:eastAsia="zh-CN"/>
        </w:rPr>
        <w:t>有组织</w:t>
      </w:r>
      <w:r>
        <w:rPr>
          <w:rFonts w:eastAsiaTheme="minorEastAsia"/>
          <w:color w:val="auto"/>
        </w:rPr>
        <w:t>污染源排放量</w:t>
      </w:r>
    </w:p>
    <w:p>
      <w:pPr>
        <w:pStyle w:val="276"/>
        <w:rPr>
          <w:rFonts w:eastAsiaTheme="minorEastAsia"/>
          <w:color w:val="auto"/>
        </w:rPr>
      </w:pPr>
      <w:r>
        <w:rPr>
          <w:rFonts w:eastAsiaTheme="minorEastAsia"/>
          <w:color w:val="auto"/>
        </w:rPr>
        <w:t>本项目有组织排放源包括破碎</w:t>
      </w:r>
      <w:r>
        <w:rPr>
          <w:rFonts w:hint="eastAsia" w:eastAsiaTheme="minorEastAsia"/>
          <w:color w:val="auto"/>
          <w:lang w:eastAsia="zh-CN"/>
        </w:rPr>
        <w:t>、</w:t>
      </w:r>
      <w:r>
        <w:rPr>
          <w:rFonts w:eastAsiaTheme="minorEastAsia"/>
          <w:color w:val="auto"/>
        </w:rPr>
        <w:t>筛分设备排气筒。破碎筛分过程会有大量粉尘产生，本项目破碎筛分设备的粉尘源强类比</w:t>
      </w:r>
      <w:r>
        <w:rPr>
          <w:rFonts w:hint="eastAsia" w:eastAsiaTheme="minorEastAsia"/>
          <w:color w:val="auto"/>
          <w:lang w:eastAsia="zh-CN"/>
        </w:rPr>
        <w:t>《</w:t>
      </w:r>
      <w:r>
        <w:rPr>
          <w:rFonts w:hint="eastAsia" w:eastAsiaTheme="minorEastAsia"/>
          <w:color w:val="auto"/>
        </w:rPr>
        <w:t>哈尔滨市阿城区兴泉采石有限公司30</w:t>
      </w:r>
      <w:r>
        <w:rPr>
          <w:rFonts w:hint="eastAsia" w:eastAsiaTheme="minorEastAsia"/>
          <w:color w:val="auto"/>
          <w:lang w:eastAsia="zh-CN"/>
        </w:rPr>
        <w:t>万</w:t>
      </w:r>
      <w:r>
        <w:rPr>
          <w:rFonts w:hint="eastAsia" w:eastAsiaTheme="minorEastAsia"/>
          <w:color w:val="auto"/>
        </w:rPr>
        <w:t>立方米/年碎石开采加工项目竣工环境保护验收调查报告》</w:t>
      </w:r>
      <w:r>
        <w:rPr>
          <w:rFonts w:hint="eastAsia" w:eastAsiaTheme="minorEastAsia"/>
          <w:color w:val="auto"/>
          <w:lang w:eastAsia="zh-CN"/>
        </w:rPr>
        <w:t>中的监测数据</w:t>
      </w:r>
      <w:r>
        <w:rPr>
          <w:rFonts w:hint="eastAsia" w:eastAsiaTheme="minorEastAsia"/>
          <w:color w:val="auto"/>
        </w:rPr>
        <w:t>，运行工况为100%满负荷运行，</w:t>
      </w:r>
      <w:r>
        <w:rPr>
          <w:rFonts w:hint="eastAsia" w:eastAsiaTheme="minorEastAsia"/>
          <w:color w:val="auto"/>
          <w:lang w:eastAsia="zh-CN"/>
        </w:rPr>
        <w:t>开采建筑用碎石</w:t>
      </w:r>
      <w:r>
        <w:rPr>
          <w:rFonts w:hint="eastAsia" w:eastAsiaTheme="minorEastAsia"/>
          <w:color w:val="auto"/>
          <w:lang w:val="en-US" w:eastAsia="zh-CN"/>
        </w:rPr>
        <w:t>456.25m</w:t>
      </w:r>
      <w:r>
        <w:rPr>
          <w:rFonts w:hint="eastAsia" w:eastAsiaTheme="minorEastAsia"/>
          <w:color w:val="auto"/>
          <w:vertAlign w:val="superscript"/>
          <w:lang w:val="en-US" w:eastAsia="zh-CN"/>
        </w:rPr>
        <w:t>3</w:t>
      </w:r>
      <w:r>
        <w:rPr>
          <w:rFonts w:hint="eastAsia" w:eastAsiaTheme="minorEastAsia"/>
          <w:color w:val="auto"/>
          <w:lang w:val="en-US" w:eastAsia="zh-CN"/>
        </w:rPr>
        <w:t>/h</w:t>
      </w:r>
      <w:r>
        <w:rPr>
          <w:rFonts w:hint="eastAsia" w:eastAsiaTheme="minorEastAsia"/>
          <w:color w:val="auto"/>
          <w:lang w:eastAsia="zh-CN"/>
        </w:rPr>
        <w:t>，破碎及筛分工艺采用布袋除尘器，本项目开采建筑用碎石</w:t>
      </w:r>
      <w:r>
        <w:rPr>
          <w:rFonts w:hint="eastAsia" w:eastAsiaTheme="minorEastAsia"/>
          <w:color w:val="auto"/>
          <w:lang w:val="en-US" w:eastAsia="zh-CN"/>
        </w:rPr>
        <w:t>11.36m</w:t>
      </w:r>
      <w:r>
        <w:rPr>
          <w:rFonts w:hint="eastAsia" w:eastAsiaTheme="minorEastAsia"/>
          <w:color w:val="auto"/>
          <w:vertAlign w:val="superscript"/>
          <w:lang w:val="en-US" w:eastAsia="zh-CN"/>
        </w:rPr>
        <w:t>3</w:t>
      </w:r>
      <w:r>
        <w:rPr>
          <w:rFonts w:hint="eastAsia" w:eastAsiaTheme="minorEastAsia"/>
          <w:color w:val="auto"/>
          <w:lang w:val="en-US" w:eastAsia="zh-CN"/>
        </w:rPr>
        <w:t>/h</w:t>
      </w:r>
      <w:r>
        <w:rPr>
          <w:rFonts w:hint="eastAsia" w:eastAsiaTheme="minorEastAsia"/>
          <w:color w:val="auto"/>
          <w:lang w:eastAsia="zh-CN"/>
        </w:rPr>
        <w:t>，生产工艺与类比项目相同，生产设备相近，破碎及筛分工序采用布袋除尘器，类比其污染物产生量，本项目污染物排放量核算见下表</w:t>
      </w:r>
      <w:r>
        <w:rPr>
          <w:rFonts w:eastAsiaTheme="minorEastAsia"/>
          <w:color w:val="auto"/>
        </w:rPr>
        <w:t>。</w:t>
      </w:r>
    </w:p>
    <w:p>
      <w:pPr>
        <w:pStyle w:val="276"/>
        <w:jc w:val="center"/>
        <w:rPr>
          <w:rFonts w:hint="eastAsia" w:eastAsiaTheme="minorEastAsia"/>
          <w:b/>
          <w:bCs/>
          <w:color w:val="auto"/>
          <w:lang w:val="en-US" w:eastAsia="zh-CN"/>
        </w:rPr>
      </w:pPr>
      <w:r>
        <w:rPr>
          <w:rFonts w:hint="eastAsia" w:eastAsiaTheme="minorEastAsia"/>
          <w:b/>
          <w:bCs/>
          <w:color w:val="auto"/>
          <w:lang w:val="en-US" w:eastAsia="zh-CN"/>
        </w:rPr>
        <w:t>表C.33 大气污染物有组织排放量核算表（正常工况）</w:t>
      </w:r>
    </w:p>
    <w:tbl>
      <w:tblPr>
        <w:tblStyle w:val="53"/>
        <w:tblW w:w="8342"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fixed"/>
        <w:tblCellMar>
          <w:top w:w="15" w:type="dxa"/>
          <w:left w:w="15" w:type="dxa"/>
          <w:bottom w:w="15" w:type="dxa"/>
          <w:right w:w="15" w:type="dxa"/>
        </w:tblCellMar>
      </w:tblPr>
      <w:tblGrid>
        <w:gridCol w:w="673"/>
        <w:gridCol w:w="1449"/>
        <w:gridCol w:w="1066"/>
        <w:gridCol w:w="1784"/>
        <w:gridCol w:w="1913"/>
        <w:gridCol w:w="145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fixed"/>
          <w:tblCellMar>
            <w:top w:w="15" w:type="dxa"/>
            <w:left w:w="15" w:type="dxa"/>
            <w:bottom w:w="15" w:type="dxa"/>
            <w:right w:w="15" w:type="dxa"/>
          </w:tblCellMar>
        </w:tblPrEx>
        <w:trPr>
          <w:trHeight w:val="315" w:hRule="atLeast"/>
        </w:trPr>
        <w:tc>
          <w:tcPr>
            <w:tcW w:w="673" w:type="dxa"/>
            <w:vMerge w:val="restart"/>
            <w:tcBorders>
              <w:tl2br w:val="nil"/>
              <w:tr2bl w:val="nil"/>
            </w:tcBorders>
            <w:shd w:val="clear" w:color="auto" w:fill="FFFFFF"/>
            <w:vAlign w:val="center"/>
          </w:tcPr>
          <w:p>
            <w:pPr>
              <w:pStyle w:val="276"/>
              <w:spacing w:line="280" w:lineRule="exact"/>
              <w:ind w:firstLine="0" w:firstLineChars="0"/>
              <w:jc w:val="center"/>
              <w:rPr>
                <w:rFonts w:hint="eastAsia" w:ascii="Times New Roman" w:hAnsi="Times New Roman" w:eastAsiaTheme="minorEastAsia"/>
                <w:color w:val="auto"/>
                <w:sz w:val="21"/>
                <w:szCs w:val="21"/>
              </w:rPr>
            </w:pPr>
            <w:r>
              <w:rPr>
                <w:rFonts w:hint="eastAsia" w:ascii="Times New Roman" w:hAnsi="Times New Roman" w:eastAsiaTheme="minorEastAsia"/>
                <w:color w:val="auto"/>
                <w:sz w:val="21"/>
                <w:szCs w:val="21"/>
                <w:lang w:val="en-US" w:eastAsia="zh-CN"/>
              </w:rPr>
              <w:t>序号</w:t>
            </w:r>
          </w:p>
        </w:tc>
        <w:tc>
          <w:tcPr>
            <w:tcW w:w="1449" w:type="dxa"/>
            <w:vMerge w:val="restart"/>
            <w:tcBorders>
              <w:tl2br w:val="nil"/>
              <w:tr2bl w:val="nil"/>
            </w:tcBorders>
            <w:shd w:val="clear" w:color="auto" w:fill="FFFFFF"/>
            <w:vAlign w:val="center"/>
          </w:tcPr>
          <w:p>
            <w:pPr>
              <w:pStyle w:val="276"/>
              <w:spacing w:line="280" w:lineRule="exact"/>
              <w:ind w:firstLine="0" w:firstLineChars="0"/>
              <w:jc w:val="center"/>
              <w:rPr>
                <w:rFonts w:hint="eastAsia" w:ascii="Times New Roman" w:hAnsi="Times New Roman" w:eastAsiaTheme="minorEastAsia"/>
                <w:color w:val="auto"/>
                <w:sz w:val="21"/>
                <w:szCs w:val="21"/>
              </w:rPr>
            </w:pPr>
            <w:r>
              <w:rPr>
                <w:rFonts w:hint="eastAsia" w:ascii="Times New Roman" w:hAnsi="Times New Roman" w:eastAsiaTheme="minorEastAsia"/>
                <w:color w:val="auto"/>
                <w:sz w:val="21"/>
                <w:szCs w:val="21"/>
                <w:lang w:val="en-US" w:eastAsia="zh-CN"/>
              </w:rPr>
              <w:t>排放口编号</w:t>
            </w:r>
          </w:p>
        </w:tc>
        <w:tc>
          <w:tcPr>
            <w:tcW w:w="1066" w:type="dxa"/>
            <w:vMerge w:val="restart"/>
            <w:tcBorders>
              <w:tl2br w:val="nil"/>
              <w:tr2bl w:val="nil"/>
            </w:tcBorders>
            <w:shd w:val="clear" w:color="auto" w:fill="FFFFFF"/>
            <w:vAlign w:val="center"/>
          </w:tcPr>
          <w:p>
            <w:pPr>
              <w:pStyle w:val="276"/>
              <w:spacing w:line="280" w:lineRule="exact"/>
              <w:ind w:firstLine="0" w:firstLineChars="0"/>
              <w:jc w:val="center"/>
              <w:rPr>
                <w:rFonts w:hint="eastAsia" w:ascii="Times New Roman" w:hAnsi="Times New Roman" w:eastAsiaTheme="minorEastAsia"/>
                <w:color w:val="auto"/>
                <w:sz w:val="21"/>
                <w:szCs w:val="21"/>
              </w:rPr>
            </w:pPr>
            <w:r>
              <w:rPr>
                <w:rFonts w:hint="eastAsia" w:ascii="Times New Roman" w:hAnsi="Times New Roman" w:eastAsiaTheme="minorEastAsia"/>
                <w:color w:val="auto"/>
                <w:sz w:val="21"/>
                <w:szCs w:val="21"/>
                <w:lang w:val="en-US" w:eastAsia="zh-CN"/>
              </w:rPr>
              <w:t>污染物</w:t>
            </w:r>
          </w:p>
        </w:tc>
        <w:tc>
          <w:tcPr>
            <w:tcW w:w="1784" w:type="dxa"/>
            <w:vMerge w:val="restart"/>
            <w:tcBorders>
              <w:tl2br w:val="nil"/>
              <w:tr2bl w:val="nil"/>
            </w:tcBorders>
            <w:shd w:val="clear" w:color="auto" w:fill="FFFFFF"/>
            <w:vAlign w:val="center"/>
          </w:tcPr>
          <w:p>
            <w:pPr>
              <w:pStyle w:val="276"/>
              <w:spacing w:line="280" w:lineRule="exact"/>
              <w:ind w:firstLine="0" w:firstLineChars="0"/>
              <w:jc w:val="center"/>
              <w:rPr>
                <w:rFonts w:hint="eastAsia" w:ascii="Times New Roman" w:hAnsi="Times New Roman" w:eastAsiaTheme="minorEastAsia"/>
                <w:color w:val="auto"/>
                <w:sz w:val="21"/>
                <w:szCs w:val="21"/>
              </w:rPr>
            </w:pPr>
            <w:r>
              <w:rPr>
                <w:rFonts w:hint="eastAsia" w:ascii="Times New Roman" w:hAnsi="Times New Roman" w:eastAsiaTheme="minorEastAsia"/>
                <w:color w:val="auto"/>
                <w:sz w:val="21"/>
                <w:szCs w:val="21"/>
                <w:lang w:val="en-US" w:eastAsia="zh-CN"/>
              </w:rPr>
              <w:t>核算排放浓度</w:t>
            </w:r>
            <w:r>
              <w:rPr>
                <w:rFonts w:hint="default" w:ascii="Times New Roman" w:hAnsi="Times New Roman" w:eastAsiaTheme="minorEastAsia"/>
                <w:color w:val="auto"/>
                <w:sz w:val="21"/>
                <w:szCs w:val="21"/>
                <w:lang w:val="en-US" w:eastAsia="zh-CN"/>
              </w:rPr>
              <w:t xml:space="preserve">/            </w:t>
            </w:r>
            <w:r>
              <w:rPr>
                <w:rFonts w:hint="eastAsia" w:ascii="Times New Roman" w:hAnsi="Times New Roman" w:eastAsiaTheme="minorEastAsia"/>
                <w:color w:val="auto"/>
                <w:sz w:val="21"/>
                <w:szCs w:val="21"/>
                <w:lang w:val="en-US" w:eastAsia="zh-CN"/>
              </w:rPr>
              <w:t>（</w:t>
            </w:r>
            <w:r>
              <w:rPr>
                <w:rFonts w:hint="default" w:ascii="Times New Roman" w:hAnsi="Times New Roman" w:eastAsiaTheme="minorEastAsia"/>
                <w:color w:val="auto"/>
                <w:sz w:val="21"/>
                <w:szCs w:val="21"/>
                <w:lang w:val="en-US" w:eastAsia="zh-CN"/>
              </w:rPr>
              <w:t>μg/m</w:t>
            </w:r>
            <w:r>
              <w:rPr>
                <w:rFonts w:hint="default" w:ascii="Times New Roman" w:hAnsi="Times New Roman" w:eastAsiaTheme="minorEastAsia"/>
                <w:color w:val="auto"/>
                <w:sz w:val="21"/>
                <w:szCs w:val="21"/>
                <w:vertAlign w:val="superscript"/>
                <w:lang w:val="en-US" w:eastAsia="zh-CN"/>
              </w:rPr>
              <w:t>3</w:t>
            </w:r>
            <w:r>
              <w:rPr>
                <w:rFonts w:hint="eastAsia" w:ascii="Times New Roman" w:hAnsi="Times New Roman" w:eastAsiaTheme="minorEastAsia"/>
                <w:color w:val="auto"/>
                <w:sz w:val="21"/>
                <w:szCs w:val="21"/>
                <w:lang w:val="en-US" w:eastAsia="zh-CN"/>
              </w:rPr>
              <w:t>）</w:t>
            </w:r>
          </w:p>
        </w:tc>
        <w:tc>
          <w:tcPr>
            <w:tcW w:w="1913" w:type="dxa"/>
            <w:vMerge w:val="restart"/>
            <w:tcBorders>
              <w:tl2br w:val="nil"/>
              <w:tr2bl w:val="nil"/>
            </w:tcBorders>
            <w:shd w:val="clear" w:color="auto" w:fill="FFFFFF"/>
            <w:vAlign w:val="center"/>
          </w:tcPr>
          <w:p>
            <w:pPr>
              <w:pStyle w:val="276"/>
              <w:spacing w:line="280" w:lineRule="exact"/>
              <w:ind w:firstLine="0" w:firstLineChars="0"/>
              <w:jc w:val="center"/>
              <w:rPr>
                <w:rFonts w:hint="eastAsia" w:ascii="Times New Roman" w:hAnsi="Times New Roman" w:eastAsiaTheme="minorEastAsia"/>
                <w:color w:val="auto"/>
                <w:sz w:val="21"/>
                <w:szCs w:val="21"/>
              </w:rPr>
            </w:pPr>
            <w:r>
              <w:rPr>
                <w:rFonts w:hint="eastAsia" w:ascii="Times New Roman" w:hAnsi="Times New Roman" w:eastAsiaTheme="minorEastAsia"/>
                <w:color w:val="auto"/>
                <w:sz w:val="21"/>
                <w:szCs w:val="21"/>
                <w:lang w:val="en-US" w:eastAsia="zh-CN"/>
              </w:rPr>
              <w:t>核算排放速率</w:t>
            </w:r>
            <w:r>
              <w:rPr>
                <w:rFonts w:hint="default" w:ascii="Times New Roman" w:hAnsi="Times New Roman" w:eastAsiaTheme="minorEastAsia"/>
                <w:color w:val="auto"/>
                <w:sz w:val="21"/>
                <w:szCs w:val="21"/>
                <w:lang w:val="en-US" w:eastAsia="zh-CN"/>
              </w:rPr>
              <w:t>/</w:t>
            </w:r>
            <w:r>
              <w:rPr>
                <w:rFonts w:hint="eastAsia" w:ascii="Times New Roman" w:hAnsi="Times New Roman" w:eastAsiaTheme="minorEastAsia"/>
                <w:color w:val="auto"/>
                <w:sz w:val="21"/>
                <w:szCs w:val="21"/>
                <w:lang w:val="en-US" w:eastAsia="zh-CN"/>
              </w:rPr>
              <w:t>（</w:t>
            </w:r>
            <w:r>
              <w:rPr>
                <w:rFonts w:hint="default" w:ascii="Times New Roman" w:hAnsi="Times New Roman" w:eastAsiaTheme="minorEastAsia"/>
                <w:color w:val="auto"/>
                <w:sz w:val="21"/>
                <w:szCs w:val="21"/>
                <w:lang w:val="en-US" w:eastAsia="zh-CN"/>
              </w:rPr>
              <w:t>kg/h</w:t>
            </w:r>
            <w:r>
              <w:rPr>
                <w:rFonts w:hint="eastAsia" w:ascii="Times New Roman" w:hAnsi="Times New Roman" w:eastAsiaTheme="minorEastAsia"/>
                <w:color w:val="auto"/>
                <w:sz w:val="21"/>
                <w:szCs w:val="21"/>
                <w:lang w:val="en-US" w:eastAsia="zh-CN"/>
              </w:rPr>
              <w:t>）</w:t>
            </w:r>
          </w:p>
        </w:tc>
        <w:tc>
          <w:tcPr>
            <w:tcW w:w="1457" w:type="dxa"/>
            <w:vMerge w:val="restart"/>
            <w:tcBorders>
              <w:tl2br w:val="nil"/>
              <w:tr2bl w:val="nil"/>
            </w:tcBorders>
            <w:shd w:val="clear" w:color="auto" w:fill="FFFFFF"/>
            <w:vAlign w:val="center"/>
          </w:tcPr>
          <w:p>
            <w:pPr>
              <w:pStyle w:val="276"/>
              <w:spacing w:line="280" w:lineRule="exact"/>
              <w:ind w:firstLine="0" w:firstLineChars="0"/>
              <w:jc w:val="center"/>
              <w:rPr>
                <w:rFonts w:hint="eastAsia" w:ascii="Times New Roman" w:hAnsi="Times New Roman" w:eastAsiaTheme="minorEastAsia"/>
                <w:color w:val="auto"/>
                <w:sz w:val="21"/>
                <w:szCs w:val="21"/>
              </w:rPr>
            </w:pPr>
            <w:r>
              <w:rPr>
                <w:rFonts w:hint="eastAsia" w:ascii="Times New Roman" w:hAnsi="Times New Roman" w:eastAsiaTheme="minorEastAsia"/>
                <w:color w:val="auto"/>
                <w:sz w:val="21"/>
                <w:szCs w:val="21"/>
                <w:lang w:val="en-US" w:eastAsia="zh-CN"/>
              </w:rPr>
              <w:t>核算年排放量</w:t>
            </w:r>
            <w:r>
              <w:rPr>
                <w:rFonts w:hint="default" w:ascii="Times New Roman" w:hAnsi="Times New Roman" w:eastAsiaTheme="minorEastAsia"/>
                <w:color w:val="auto"/>
                <w:sz w:val="21"/>
                <w:szCs w:val="21"/>
                <w:lang w:val="en-US" w:eastAsia="zh-CN"/>
              </w:rPr>
              <w:t>/</w:t>
            </w:r>
            <w:r>
              <w:rPr>
                <w:rFonts w:hint="eastAsia" w:ascii="Times New Roman" w:hAnsi="Times New Roman" w:eastAsiaTheme="minorEastAsia"/>
                <w:color w:val="auto"/>
                <w:sz w:val="21"/>
                <w:szCs w:val="21"/>
                <w:lang w:val="en-US" w:eastAsia="zh-CN"/>
              </w:rPr>
              <w:t>（</w:t>
            </w:r>
            <w:r>
              <w:rPr>
                <w:rFonts w:hint="default" w:ascii="Times New Roman" w:hAnsi="Times New Roman" w:eastAsiaTheme="minorEastAsia"/>
                <w:color w:val="auto"/>
                <w:sz w:val="21"/>
                <w:szCs w:val="21"/>
                <w:lang w:val="en-US" w:eastAsia="zh-CN"/>
              </w:rPr>
              <w:t>t/a</w:t>
            </w:r>
            <w:r>
              <w:rPr>
                <w:rFonts w:hint="eastAsia" w:ascii="Times New Roman" w:hAnsi="Times New Roman" w:eastAsiaTheme="minorEastAsia"/>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15" w:type="dxa"/>
            <w:left w:w="15" w:type="dxa"/>
            <w:bottom w:w="15" w:type="dxa"/>
            <w:right w:w="15" w:type="dxa"/>
          </w:tblCellMar>
        </w:tblPrEx>
        <w:trPr>
          <w:trHeight w:val="300" w:hRule="atLeast"/>
        </w:trPr>
        <w:tc>
          <w:tcPr>
            <w:tcW w:w="673" w:type="dxa"/>
            <w:vMerge w:val="continue"/>
            <w:tcBorders>
              <w:tl2br w:val="nil"/>
              <w:tr2bl w:val="nil"/>
            </w:tcBorders>
            <w:shd w:val="clear" w:color="auto" w:fill="FFFFFF"/>
            <w:vAlign w:val="center"/>
          </w:tcPr>
          <w:p>
            <w:pPr>
              <w:pStyle w:val="276"/>
              <w:spacing w:line="280" w:lineRule="exact"/>
              <w:ind w:firstLine="0" w:firstLineChars="0"/>
              <w:jc w:val="center"/>
              <w:rPr>
                <w:rFonts w:hint="eastAsia" w:ascii="Times New Roman" w:hAnsi="Times New Roman" w:eastAsiaTheme="minorEastAsia"/>
                <w:color w:val="auto"/>
                <w:sz w:val="21"/>
                <w:szCs w:val="21"/>
              </w:rPr>
            </w:pPr>
          </w:p>
        </w:tc>
        <w:tc>
          <w:tcPr>
            <w:tcW w:w="1449" w:type="dxa"/>
            <w:vMerge w:val="continue"/>
            <w:tcBorders>
              <w:tl2br w:val="nil"/>
              <w:tr2bl w:val="nil"/>
            </w:tcBorders>
            <w:shd w:val="clear" w:color="auto" w:fill="FFFFFF"/>
            <w:vAlign w:val="center"/>
          </w:tcPr>
          <w:p>
            <w:pPr>
              <w:pStyle w:val="276"/>
              <w:spacing w:line="280" w:lineRule="exact"/>
              <w:ind w:firstLine="0" w:firstLineChars="0"/>
              <w:jc w:val="center"/>
              <w:rPr>
                <w:rFonts w:hint="eastAsia" w:ascii="Times New Roman" w:hAnsi="Times New Roman" w:eastAsiaTheme="minorEastAsia"/>
                <w:color w:val="auto"/>
                <w:sz w:val="21"/>
                <w:szCs w:val="21"/>
              </w:rPr>
            </w:pPr>
          </w:p>
        </w:tc>
        <w:tc>
          <w:tcPr>
            <w:tcW w:w="1066" w:type="dxa"/>
            <w:vMerge w:val="continue"/>
            <w:tcBorders>
              <w:tl2br w:val="nil"/>
              <w:tr2bl w:val="nil"/>
            </w:tcBorders>
            <w:shd w:val="clear" w:color="auto" w:fill="FFFFFF"/>
            <w:vAlign w:val="center"/>
          </w:tcPr>
          <w:p>
            <w:pPr>
              <w:pStyle w:val="276"/>
              <w:spacing w:line="280" w:lineRule="exact"/>
              <w:ind w:firstLine="0" w:firstLineChars="0"/>
              <w:jc w:val="center"/>
              <w:rPr>
                <w:rFonts w:hint="eastAsia" w:ascii="Times New Roman" w:hAnsi="Times New Roman" w:eastAsiaTheme="minorEastAsia"/>
                <w:color w:val="auto"/>
                <w:sz w:val="21"/>
                <w:szCs w:val="21"/>
              </w:rPr>
            </w:pPr>
          </w:p>
        </w:tc>
        <w:tc>
          <w:tcPr>
            <w:tcW w:w="1784" w:type="dxa"/>
            <w:vMerge w:val="continue"/>
            <w:tcBorders>
              <w:tl2br w:val="nil"/>
              <w:tr2bl w:val="nil"/>
            </w:tcBorders>
            <w:shd w:val="clear" w:color="auto" w:fill="FFFFFF"/>
            <w:vAlign w:val="center"/>
          </w:tcPr>
          <w:p>
            <w:pPr>
              <w:pStyle w:val="276"/>
              <w:spacing w:line="280" w:lineRule="exact"/>
              <w:ind w:firstLine="0" w:firstLineChars="0"/>
              <w:jc w:val="center"/>
              <w:rPr>
                <w:rFonts w:hint="eastAsia" w:ascii="Times New Roman" w:hAnsi="Times New Roman" w:eastAsiaTheme="minorEastAsia"/>
                <w:color w:val="auto"/>
                <w:sz w:val="21"/>
                <w:szCs w:val="21"/>
              </w:rPr>
            </w:pPr>
          </w:p>
        </w:tc>
        <w:tc>
          <w:tcPr>
            <w:tcW w:w="1913" w:type="dxa"/>
            <w:vMerge w:val="continue"/>
            <w:tcBorders>
              <w:tl2br w:val="nil"/>
              <w:tr2bl w:val="nil"/>
            </w:tcBorders>
            <w:shd w:val="clear" w:color="auto" w:fill="FFFFFF"/>
            <w:vAlign w:val="center"/>
          </w:tcPr>
          <w:p>
            <w:pPr>
              <w:pStyle w:val="276"/>
              <w:spacing w:line="280" w:lineRule="exact"/>
              <w:ind w:firstLine="0" w:firstLineChars="0"/>
              <w:jc w:val="center"/>
              <w:rPr>
                <w:rFonts w:hint="eastAsia" w:ascii="Times New Roman" w:hAnsi="Times New Roman" w:eastAsiaTheme="minorEastAsia"/>
                <w:color w:val="auto"/>
                <w:sz w:val="21"/>
                <w:szCs w:val="21"/>
              </w:rPr>
            </w:pPr>
          </w:p>
        </w:tc>
        <w:tc>
          <w:tcPr>
            <w:tcW w:w="1457" w:type="dxa"/>
            <w:vMerge w:val="continue"/>
            <w:tcBorders>
              <w:tl2br w:val="nil"/>
              <w:tr2bl w:val="nil"/>
            </w:tcBorders>
            <w:shd w:val="clear" w:color="auto" w:fill="FFFFFF"/>
            <w:vAlign w:val="center"/>
          </w:tcPr>
          <w:p>
            <w:pPr>
              <w:pStyle w:val="276"/>
              <w:spacing w:line="280" w:lineRule="exact"/>
              <w:ind w:firstLine="0" w:firstLineChars="0"/>
              <w:jc w:val="center"/>
              <w:rPr>
                <w:rFonts w:hint="eastAsia" w:ascii="Times New Roman" w:hAnsi="Times New Roman" w:eastAsiaTheme="minorEastAsia"/>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15" w:type="dxa"/>
            <w:left w:w="15" w:type="dxa"/>
            <w:bottom w:w="15" w:type="dxa"/>
            <w:right w:w="15" w:type="dxa"/>
          </w:tblCellMar>
        </w:tblPrEx>
        <w:trPr>
          <w:trHeight w:val="361" w:hRule="atLeast"/>
        </w:trPr>
        <w:tc>
          <w:tcPr>
            <w:tcW w:w="8342" w:type="dxa"/>
            <w:gridSpan w:val="6"/>
            <w:tcBorders>
              <w:tl2br w:val="nil"/>
              <w:tr2bl w:val="nil"/>
            </w:tcBorders>
            <w:shd w:val="clear" w:color="auto" w:fill="FFFFFF"/>
            <w:vAlign w:val="center"/>
          </w:tcPr>
          <w:p>
            <w:pPr>
              <w:pStyle w:val="276"/>
              <w:spacing w:line="280" w:lineRule="exact"/>
              <w:ind w:firstLine="0" w:firstLineChars="0"/>
              <w:jc w:val="center"/>
              <w:rPr>
                <w:rFonts w:hint="eastAsia" w:ascii="Times New Roman" w:hAnsi="Times New Roman" w:eastAsiaTheme="minorEastAsia"/>
                <w:color w:val="auto"/>
                <w:sz w:val="21"/>
                <w:szCs w:val="21"/>
              </w:rPr>
            </w:pPr>
            <w:r>
              <w:rPr>
                <w:rFonts w:hint="eastAsia" w:ascii="Times New Roman" w:hAnsi="Times New Roman" w:eastAsiaTheme="minorEastAsia"/>
                <w:color w:val="auto"/>
                <w:sz w:val="21"/>
                <w:szCs w:val="21"/>
                <w:lang w:val="en-US" w:eastAsia="zh-CN"/>
              </w:rPr>
              <w:t>主要排放口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15" w:type="dxa"/>
            <w:left w:w="15" w:type="dxa"/>
            <w:bottom w:w="15" w:type="dxa"/>
            <w:right w:w="15" w:type="dxa"/>
          </w:tblCellMar>
        </w:tblPrEx>
        <w:trPr>
          <w:trHeight w:val="316" w:hRule="atLeast"/>
        </w:trPr>
        <w:tc>
          <w:tcPr>
            <w:tcW w:w="673" w:type="dxa"/>
            <w:tcBorders>
              <w:tl2br w:val="nil"/>
              <w:tr2bl w:val="nil"/>
            </w:tcBorders>
            <w:shd w:val="clear" w:color="auto" w:fill="FFFFFF"/>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1</w:t>
            </w:r>
          </w:p>
        </w:tc>
        <w:tc>
          <w:tcPr>
            <w:tcW w:w="1449" w:type="dxa"/>
            <w:tcBorders>
              <w:tl2br w:val="nil"/>
              <w:tr2bl w:val="nil"/>
            </w:tcBorders>
            <w:shd w:val="clear" w:color="auto" w:fill="FFFFFF"/>
            <w:vAlign w:val="center"/>
          </w:tcPr>
          <w:p>
            <w:pPr>
              <w:pStyle w:val="276"/>
              <w:spacing w:line="280" w:lineRule="exact"/>
              <w:ind w:firstLine="0" w:firstLineChars="0"/>
              <w:jc w:val="center"/>
              <w:rPr>
                <w:rFonts w:hint="eastAsia" w:ascii="Times New Roman" w:hAnsi="Times New Roman" w:eastAsiaTheme="minorEastAsia"/>
                <w:color w:val="auto"/>
                <w:sz w:val="21"/>
                <w:szCs w:val="21"/>
                <w:lang w:eastAsia="zh-CN"/>
              </w:rPr>
            </w:pPr>
            <w:r>
              <w:rPr>
                <w:rFonts w:hint="eastAsia" w:ascii="Times New Roman" w:hAnsi="Times New Roman" w:eastAsiaTheme="minorEastAsia"/>
                <w:color w:val="auto"/>
                <w:sz w:val="21"/>
                <w:szCs w:val="21"/>
                <w:lang w:eastAsia="zh-CN"/>
              </w:rPr>
              <w:t>粗碎（</w:t>
            </w:r>
            <w:r>
              <w:rPr>
                <w:rFonts w:ascii="Times New Roman" w:hAnsi="Times New Roman" w:eastAsiaTheme="minorEastAsia"/>
                <w:color w:val="auto"/>
                <w:sz w:val="21"/>
                <w:szCs w:val="21"/>
              </w:rPr>
              <w:t>排气筒1</w:t>
            </w:r>
            <w:r>
              <w:rPr>
                <w:rFonts w:hint="eastAsia" w:ascii="Times New Roman" w:hAnsi="Times New Roman" w:eastAsiaTheme="minorEastAsia"/>
                <w:color w:val="auto"/>
                <w:sz w:val="21"/>
                <w:szCs w:val="21"/>
                <w:lang w:eastAsia="zh-CN"/>
              </w:rPr>
              <w:t>）</w:t>
            </w:r>
          </w:p>
        </w:tc>
        <w:tc>
          <w:tcPr>
            <w:tcW w:w="1066" w:type="dxa"/>
            <w:tcBorders>
              <w:tl2br w:val="nil"/>
              <w:tr2bl w:val="nil"/>
            </w:tcBorders>
            <w:shd w:val="clear" w:color="auto" w:fill="FFFFFF"/>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PM</w:t>
            </w:r>
            <w:r>
              <w:rPr>
                <w:rFonts w:hint="eastAsia" w:ascii="Times New Roman" w:hAnsi="Times New Roman" w:eastAsiaTheme="minorEastAsia"/>
                <w:color w:val="auto"/>
                <w:sz w:val="21"/>
                <w:szCs w:val="21"/>
                <w:vertAlign w:val="subscript"/>
                <w:lang w:val="en-US" w:eastAsia="zh-CN"/>
              </w:rPr>
              <w:t>10</w:t>
            </w:r>
          </w:p>
        </w:tc>
        <w:tc>
          <w:tcPr>
            <w:tcW w:w="1784" w:type="dxa"/>
            <w:tcBorders>
              <w:tl2br w:val="nil"/>
              <w:tr2bl w:val="nil"/>
            </w:tcBorders>
            <w:shd w:val="clear" w:color="auto" w:fill="FFFFFF"/>
            <w:vAlign w:val="top"/>
          </w:tcPr>
          <w:p>
            <w:pPr>
              <w:pStyle w:val="276"/>
              <w:spacing w:line="280" w:lineRule="exact"/>
              <w:ind w:firstLine="0" w:firstLineChars="0"/>
              <w:jc w:val="center"/>
              <w:rPr>
                <w:rFonts w:hint="default" w:ascii="Times New Roman" w:hAnsi="Times New Roman" w:eastAsiaTheme="minorEastAsia"/>
                <w:color w:val="auto"/>
                <w:sz w:val="21"/>
                <w:szCs w:val="21"/>
                <w:lang w:eastAsia="zh-CN"/>
              </w:rPr>
            </w:pPr>
            <w:r>
              <w:rPr>
                <w:rFonts w:hint="default" w:ascii="Times New Roman" w:hAnsi="Times New Roman" w:eastAsiaTheme="minorEastAsia"/>
                <w:color w:val="auto"/>
                <w:sz w:val="21"/>
                <w:szCs w:val="21"/>
                <w:lang w:val="en-US" w:eastAsia="zh-CN"/>
              </w:rPr>
              <w:t xml:space="preserve">4033 </w:t>
            </w:r>
          </w:p>
        </w:tc>
        <w:tc>
          <w:tcPr>
            <w:tcW w:w="1913" w:type="dxa"/>
            <w:tcBorders>
              <w:tl2br w:val="nil"/>
              <w:tr2bl w:val="nil"/>
            </w:tcBorders>
            <w:shd w:val="clear" w:color="auto" w:fill="FFFFFF"/>
            <w:vAlign w:val="center"/>
          </w:tcPr>
          <w:p>
            <w:pPr>
              <w:pStyle w:val="276"/>
              <w:spacing w:line="280" w:lineRule="exact"/>
              <w:ind w:firstLine="0" w:firstLineChars="0"/>
              <w:jc w:val="center"/>
              <w:rPr>
                <w:rFonts w:hint="default" w:ascii="Times New Roman" w:hAnsi="Times New Roman" w:eastAsiaTheme="minorEastAsia"/>
                <w:color w:val="auto"/>
                <w:sz w:val="21"/>
                <w:szCs w:val="21"/>
              </w:rPr>
            </w:pPr>
            <w:r>
              <w:rPr>
                <w:rFonts w:hint="default" w:ascii="Times New Roman" w:hAnsi="Times New Roman" w:eastAsiaTheme="minorEastAsia"/>
                <w:color w:val="auto"/>
                <w:sz w:val="21"/>
                <w:szCs w:val="21"/>
                <w:lang w:val="en-US" w:eastAsia="zh-CN"/>
              </w:rPr>
              <w:t>0.0242</w:t>
            </w:r>
          </w:p>
        </w:tc>
        <w:tc>
          <w:tcPr>
            <w:tcW w:w="1457" w:type="dxa"/>
            <w:tcBorders>
              <w:tl2br w:val="nil"/>
              <w:tr2bl w:val="nil"/>
            </w:tcBorders>
            <w:shd w:val="clear" w:color="auto" w:fill="FFFFFF"/>
            <w:vAlign w:val="center"/>
          </w:tcPr>
          <w:p>
            <w:pPr>
              <w:pStyle w:val="276"/>
              <w:spacing w:line="280" w:lineRule="exact"/>
              <w:ind w:firstLine="0" w:firstLineChars="0"/>
              <w:jc w:val="center"/>
              <w:rPr>
                <w:rFonts w:hint="default" w:ascii="Times New Roman" w:hAnsi="Times New Roman" w:eastAsiaTheme="minorEastAsia"/>
                <w:color w:val="auto"/>
                <w:sz w:val="21"/>
                <w:szCs w:val="21"/>
              </w:rPr>
            </w:pPr>
            <w:r>
              <w:rPr>
                <w:rFonts w:hint="eastAsia" w:ascii="Times New Roman" w:hAnsi="Times New Roman" w:eastAsiaTheme="minorEastAsia"/>
                <w:color w:val="auto"/>
                <w:sz w:val="21"/>
                <w:szCs w:val="21"/>
                <w:lang w:val="en-US" w:eastAsia="zh-CN"/>
              </w:rPr>
              <w:t>0.0465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15" w:type="dxa"/>
            <w:left w:w="15" w:type="dxa"/>
            <w:bottom w:w="15" w:type="dxa"/>
            <w:right w:w="15" w:type="dxa"/>
          </w:tblCellMar>
        </w:tblPrEx>
        <w:trPr>
          <w:trHeight w:val="301" w:hRule="atLeast"/>
        </w:trPr>
        <w:tc>
          <w:tcPr>
            <w:tcW w:w="673" w:type="dxa"/>
            <w:tcBorders>
              <w:tl2br w:val="nil"/>
              <w:tr2bl w:val="nil"/>
            </w:tcBorders>
            <w:shd w:val="clear" w:color="auto" w:fill="FFFFFF"/>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2</w:t>
            </w:r>
          </w:p>
        </w:tc>
        <w:tc>
          <w:tcPr>
            <w:tcW w:w="1449" w:type="dxa"/>
            <w:tcBorders>
              <w:tl2br w:val="nil"/>
              <w:tr2bl w:val="nil"/>
            </w:tcBorders>
            <w:shd w:val="clear" w:color="auto" w:fill="FFFFFF"/>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eastAsia="zh-CN"/>
              </w:rPr>
              <w:t>细碎（</w:t>
            </w:r>
            <w:r>
              <w:rPr>
                <w:rFonts w:ascii="Times New Roman" w:hAnsi="Times New Roman" w:eastAsiaTheme="minorEastAsia"/>
                <w:color w:val="auto"/>
                <w:sz w:val="21"/>
                <w:szCs w:val="21"/>
              </w:rPr>
              <w:t>排气筒</w:t>
            </w:r>
            <w:r>
              <w:rPr>
                <w:rFonts w:hint="eastAsia" w:ascii="Times New Roman" w:hAnsi="Times New Roman" w:eastAsiaTheme="minorEastAsia"/>
                <w:color w:val="auto"/>
                <w:sz w:val="21"/>
                <w:szCs w:val="21"/>
                <w:lang w:val="en-US" w:eastAsia="zh-CN"/>
              </w:rPr>
              <w:t>2）</w:t>
            </w:r>
          </w:p>
        </w:tc>
        <w:tc>
          <w:tcPr>
            <w:tcW w:w="1066" w:type="dxa"/>
            <w:tcBorders>
              <w:tl2br w:val="nil"/>
              <w:tr2bl w:val="nil"/>
            </w:tcBorders>
            <w:shd w:val="clear" w:color="auto" w:fill="FFFFFF"/>
            <w:vAlign w:val="center"/>
          </w:tcPr>
          <w:p>
            <w:pPr>
              <w:pStyle w:val="276"/>
              <w:spacing w:line="280" w:lineRule="exact"/>
              <w:ind w:firstLine="0" w:firstLineChars="0"/>
              <w:jc w:val="center"/>
              <w:rPr>
                <w:rFonts w:hint="default" w:ascii="Times New Roman" w:hAnsi="Times New Roman" w:eastAsiaTheme="minorEastAsia"/>
                <w:color w:val="auto"/>
                <w:sz w:val="21"/>
                <w:szCs w:val="21"/>
              </w:rPr>
            </w:pPr>
            <w:r>
              <w:rPr>
                <w:rFonts w:hint="eastAsia" w:ascii="Times New Roman" w:hAnsi="Times New Roman" w:eastAsiaTheme="minorEastAsia"/>
                <w:color w:val="auto"/>
                <w:sz w:val="21"/>
                <w:szCs w:val="21"/>
                <w:lang w:val="en-US" w:eastAsia="zh-CN"/>
              </w:rPr>
              <w:t>PM</w:t>
            </w:r>
            <w:r>
              <w:rPr>
                <w:rFonts w:hint="eastAsia" w:ascii="Times New Roman" w:hAnsi="Times New Roman" w:eastAsiaTheme="minorEastAsia"/>
                <w:color w:val="auto"/>
                <w:sz w:val="21"/>
                <w:szCs w:val="21"/>
                <w:vertAlign w:val="subscript"/>
                <w:lang w:val="en-US" w:eastAsia="zh-CN"/>
              </w:rPr>
              <w:t>10</w:t>
            </w:r>
          </w:p>
        </w:tc>
        <w:tc>
          <w:tcPr>
            <w:tcW w:w="1784" w:type="dxa"/>
            <w:tcBorders>
              <w:tl2br w:val="nil"/>
              <w:tr2bl w:val="nil"/>
            </w:tcBorders>
            <w:shd w:val="clear" w:color="auto" w:fill="FFFFFF"/>
            <w:vAlign w:val="top"/>
          </w:tcPr>
          <w:p>
            <w:pPr>
              <w:pStyle w:val="276"/>
              <w:spacing w:line="280" w:lineRule="exact"/>
              <w:ind w:firstLine="0" w:firstLineChars="0"/>
              <w:jc w:val="center"/>
              <w:rPr>
                <w:rFonts w:hint="default" w:ascii="Times New Roman" w:hAnsi="Times New Roman" w:eastAsiaTheme="minorEastAsia"/>
                <w:color w:val="auto"/>
                <w:sz w:val="21"/>
                <w:szCs w:val="21"/>
                <w:lang w:eastAsia="zh-CN"/>
              </w:rPr>
            </w:pPr>
            <w:r>
              <w:rPr>
                <w:rFonts w:hint="default" w:ascii="Times New Roman" w:hAnsi="Times New Roman" w:eastAsiaTheme="minorEastAsia"/>
                <w:color w:val="auto"/>
                <w:sz w:val="21"/>
                <w:szCs w:val="21"/>
                <w:lang w:val="en-US" w:eastAsia="zh-CN"/>
              </w:rPr>
              <w:t xml:space="preserve">4150 </w:t>
            </w:r>
          </w:p>
        </w:tc>
        <w:tc>
          <w:tcPr>
            <w:tcW w:w="1913" w:type="dxa"/>
            <w:tcBorders>
              <w:tl2br w:val="nil"/>
              <w:tr2bl w:val="nil"/>
            </w:tcBorders>
            <w:shd w:val="clear" w:color="auto" w:fill="FFFFFF"/>
            <w:vAlign w:val="center"/>
          </w:tcPr>
          <w:p>
            <w:pPr>
              <w:pStyle w:val="276"/>
              <w:spacing w:line="280" w:lineRule="exact"/>
              <w:ind w:firstLine="0" w:firstLineChars="0"/>
              <w:jc w:val="center"/>
              <w:rPr>
                <w:rFonts w:hint="default" w:ascii="Times New Roman" w:hAnsi="Times New Roman" w:eastAsiaTheme="minorEastAsia"/>
                <w:color w:val="auto"/>
                <w:sz w:val="21"/>
                <w:szCs w:val="21"/>
              </w:rPr>
            </w:pPr>
            <w:r>
              <w:rPr>
                <w:rFonts w:hint="default" w:ascii="Times New Roman" w:hAnsi="Times New Roman" w:eastAsiaTheme="minorEastAsia"/>
                <w:color w:val="auto"/>
                <w:sz w:val="21"/>
                <w:szCs w:val="21"/>
                <w:lang w:val="en-US" w:eastAsia="zh-CN"/>
              </w:rPr>
              <w:t>0.0249</w:t>
            </w:r>
          </w:p>
        </w:tc>
        <w:tc>
          <w:tcPr>
            <w:tcW w:w="1457" w:type="dxa"/>
            <w:tcBorders>
              <w:tl2br w:val="nil"/>
              <w:tr2bl w:val="nil"/>
            </w:tcBorders>
            <w:shd w:val="clear" w:color="auto" w:fill="FFFFFF"/>
            <w:vAlign w:val="center"/>
          </w:tcPr>
          <w:p>
            <w:pPr>
              <w:pStyle w:val="276"/>
              <w:spacing w:line="280" w:lineRule="exact"/>
              <w:ind w:firstLine="0" w:firstLineChars="0"/>
              <w:jc w:val="center"/>
              <w:rPr>
                <w:rFonts w:hint="default" w:ascii="Times New Roman" w:hAnsi="Times New Roman" w:eastAsiaTheme="minorEastAsia"/>
                <w:color w:val="auto"/>
                <w:sz w:val="21"/>
                <w:szCs w:val="21"/>
              </w:rPr>
            </w:pPr>
            <w:r>
              <w:rPr>
                <w:rFonts w:hint="eastAsia" w:ascii="Times New Roman" w:hAnsi="Times New Roman" w:eastAsiaTheme="minorEastAsia"/>
                <w:color w:val="auto"/>
                <w:sz w:val="21"/>
                <w:szCs w:val="21"/>
                <w:lang w:val="en-US" w:eastAsia="zh-CN"/>
              </w:rPr>
              <w:t>0.0478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15" w:type="dxa"/>
            <w:left w:w="15" w:type="dxa"/>
            <w:bottom w:w="15" w:type="dxa"/>
            <w:right w:w="15" w:type="dxa"/>
          </w:tblCellMar>
        </w:tblPrEx>
        <w:trPr>
          <w:trHeight w:val="301" w:hRule="atLeast"/>
        </w:trPr>
        <w:tc>
          <w:tcPr>
            <w:tcW w:w="673" w:type="dxa"/>
            <w:tcBorders>
              <w:tl2br w:val="nil"/>
              <w:tr2bl w:val="nil"/>
            </w:tcBorders>
            <w:shd w:val="clear" w:color="auto" w:fill="FFFFFF"/>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3</w:t>
            </w:r>
          </w:p>
        </w:tc>
        <w:tc>
          <w:tcPr>
            <w:tcW w:w="1449" w:type="dxa"/>
            <w:tcBorders>
              <w:tl2br w:val="nil"/>
              <w:tr2bl w:val="nil"/>
            </w:tcBorders>
            <w:shd w:val="clear" w:color="auto" w:fill="FFFFFF"/>
            <w:vAlign w:val="center"/>
          </w:tcPr>
          <w:p>
            <w:pPr>
              <w:pStyle w:val="276"/>
              <w:spacing w:line="280" w:lineRule="exact"/>
              <w:ind w:firstLine="0" w:firstLineChars="0"/>
              <w:jc w:val="center"/>
              <w:rPr>
                <w:rFonts w:ascii="Times New Roman" w:hAnsi="Times New Roman" w:eastAsiaTheme="minorEastAsia"/>
                <w:color w:val="auto"/>
                <w:sz w:val="21"/>
                <w:szCs w:val="21"/>
              </w:rPr>
            </w:pPr>
            <w:r>
              <w:rPr>
                <w:rFonts w:hint="eastAsia" w:ascii="Times New Roman" w:hAnsi="Times New Roman" w:eastAsiaTheme="minorEastAsia"/>
                <w:color w:val="auto"/>
                <w:sz w:val="21"/>
                <w:szCs w:val="21"/>
                <w:lang w:eastAsia="zh-CN"/>
              </w:rPr>
              <w:t>筛分（</w:t>
            </w:r>
            <w:r>
              <w:rPr>
                <w:rFonts w:ascii="Times New Roman" w:hAnsi="Times New Roman" w:eastAsiaTheme="minorEastAsia"/>
                <w:color w:val="auto"/>
                <w:sz w:val="21"/>
                <w:szCs w:val="21"/>
              </w:rPr>
              <w:t>排气筒</w:t>
            </w:r>
            <w:r>
              <w:rPr>
                <w:rFonts w:hint="eastAsia" w:ascii="Times New Roman" w:hAnsi="Times New Roman" w:eastAsiaTheme="minorEastAsia"/>
                <w:color w:val="auto"/>
                <w:sz w:val="21"/>
                <w:szCs w:val="21"/>
                <w:lang w:val="en-US" w:eastAsia="zh-CN"/>
              </w:rPr>
              <w:t>3）</w:t>
            </w:r>
          </w:p>
        </w:tc>
        <w:tc>
          <w:tcPr>
            <w:tcW w:w="1066" w:type="dxa"/>
            <w:tcBorders>
              <w:tl2br w:val="nil"/>
              <w:tr2bl w:val="nil"/>
            </w:tcBorders>
            <w:shd w:val="clear" w:color="auto" w:fill="FFFFFF"/>
            <w:vAlign w:val="center"/>
          </w:tcPr>
          <w:p>
            <w:pPr>
              <w:pStyle w:val="276"/>
              <w:spacing w:line="280" w:lineRule="exact"/>
              <w:ind w:firstLine="0" w:firstLineChars="0"/>
              <w:jc w:val="center"/>
              <w:rPr>
                <w:rFonts w:hint="default" w:ascii="Times New Roman" w:hAnsi="Times New Roman" w:eastAsiaTheme="minorEastAsia"/>
                <w:color w:val="auto"/>
                <w:sz w:val="21"/>
                <w:szCs w:val="21"/>
              </w:rPr>
            </w:pPr>
            <w:r>
              <w:rPr>
                <w:rFonts w:hint="eastAsia" w:ascii="Times New Roman" w:hAnsi="Times New Roman" w:eastAsiaTheme="minorEastAsia"/>
                <w:color w:val="auto"/>
                <w:sz w:val="21"/>
                <w:szCs w:val="21"/>
                <w:lang w:val="en-US" w:eastAsia="zh-CN"/>
              </w:rPr>
              <w:t>PM</w:t>
            </w:r>
            <w:r>
              <w:rPr>
                <w:rFonts w:hint="eastAsia" w:ascii="Times New Roman" w:hAnsi="Times New Roman" w:eastAsiaTheme="minorEastAsia"/>
                <w:color w:val="auto"/>
                <w:sz w:val="21"/>
                <w:szCs w:val="21"/>
                <w:vertAlign w:val="subscript"/>
                <w:lang w:val="en-US" w:eastAsia="zh-CN"/>
              </w:rPr>
              <w:t>10</w:t>
            </w:r>
          </w:p>
        </w:tc>
        <w:tc>
          <w:tcPr>
            <w:tcW w:w="1784" w:type="dxa"/>
            <w:tcBorders>
              <w:tl2br w:val="nil"/>
              <w:tr2bl w:val="nil"/>
            </w:tcBorders>
            <w:shd w:val="clear" w:color="auto" w:fill="FFFFFF"/>
            <w:vAlign w:val="top"/>
          </w:tcPr>
          <w:p>
            <w:pPr>
              <w:pStyle w:val="276"/>
              <w:spacing w:line="280" w:lineRule="exact"/>
              <w:ind w:firstLine="0" w:firstLineChars="0"/>
              <w:jc w:val="center"/>
              <w:rPr>
                <w:rFonts w:hint="default" w:ascii="Times New Roman" w:hAnsi="Times New Roman" w:eastAsiaTheme="minorEastAsia"/>
                <w:color w:val="auto"/>
                <w:sz w:val="21"/>
                <w:szCs w:val="21"/>
                <w:lang w:eastAsia="zh-CN"/>
              </w:rPr>
            </w:pPr>
            <w:r>
              <w:rPr>
                <w:rFonts w:hint="default" w:ascii="Times New Roman" w:hAnsi="Times New Roman" w:eastAsiaTheme="minorEastAsia"/>
                <w:color w:val="auto"/>
                <w:sz w:val="21"/>
                <w:szCs w:val="21"/>
                <w:lang w:val="en-US" w:eastAsia="zh-CN"/>
              </w:rPr>
              <w:t xml:space="preserve">4233 </w:t>
            </w:r>
          </w:p>
        </w:tc>
        <w:tc>
          <w:tcPr>
            <w:tcW w:w="1913" w:type="dxa"/>
            <w:tcBorders>
              <w:tl2br w:val="nil"/>
              <w:tr2bl w:val="nil"/>
            </w:tcBorders>
            <w:shd w:val="clear" w:color="auto" w:fill="FFFFFF"/>
            <w:vAlign w:val="center"/>
          </w:tcPr>
          <w:p>
            <w:pPr>
              <w:pStyle w:val="276"/>
              <w:spacing w:line="280" w:lineRule="exact"/>
              <w:ind w:firstLine="0" w:firstLineChars="0"/>
              <w:jc w:val="center"/>
              <w:rPr>
                <w:rFonts w:hint="default" w:ascii="Times New Roman" w:hAnsi="Times New Roman" w:eastAsiaTheme="minorEastAsia"/>
                <w:color w:val="auto"/>
                <w:sz w:val="21"/>
                <w:szCs w:val="21"/>
              </w:rPr>
            </w:pPr>
            <w:r>
              <w:rPr>
                <w:rFonts w:hint="default" w:ascii="Times New Roman" w:hAnsi="Times New Roman" w:eastAsiaTheme="minorEastAsia"/>
                <w:color w:val="auto"/>
                <w:sz w:val="21"/>
                <w:szCs w:val="21"/>
                <w:lang w:val="en-US" w:eastAsia="zh-CN"/>
              </w:rPr>
              <w:t>0.0254</w:t>
            </w:r>
          </w:p>
        </w:tc>
        <w:tc>
          <w:tcPr>
            <w:tcW w:w="1457" w:type="dxa"/>
            <w:tcBorders>
              <w:tl2br w:val="nil"/>
              <w:tr2bl w:val="nil"/>
            </w:tcBorders>
            <w:shd w:val="clear" w:color="auto" w:fill="FFFFFF"/>
            <w:vAlign w:val="center"/>
          </w:tcPr>
          <w:p>
            <w:pPr>
              <w:pStyle w:val="276"/>
              <w:spacing w:line="280" w:lineRule="exact"/>
              <w:ind w:firstLine="0" w:firstLineChars="0"/>
              <w:jc w:val="center"/>
              <w:rPr>
                <w:rFonts w:hint="default" w:ascii="Times New Roman" w:hAnsi="Times New Roman" w:eastAsiaTheme="minorEastAsia"/>
                <w:color w:val="auto"/>
                <w:sz w:val="21"/>
                <w:szCs w:val="21"/>
              </w:rPr>
            </w:pPr>
            <w:r>
              <w:rPr>
                <w:rFonts w:hint="eastAsia" w:ascii="Times New Roman" w:hAnsi="Times New Roman" w:eastAsiaTheme="minorEastAsia"/>
                <w:color w:val="auto"/>
                <w:sz w:val="21"/>
                <w:szCs w:val="21"/>
                <w:lang w:val="en-US" w:eastAsia="zh-CN"/>
              </w:rPr>
              <w:t>0.0488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15" w:type="dxa"/>
            <w:left w:w="15" w:type="dxa"/>
            <w:bottom w:w="15" w:type="dxa"/>
            <w:right w:w="15" w:type="dxa"/>
          </w:tblCellMar>
        </w:tblPrEx>
        <w:trPr>
          <w:trHeight w:val="316" w:hRule="atLeast"/>
        </w:trPr>
        <w:tc>
          <w:tcPr>
            <w:tcW w:w="2122" w:type="dxa"/>
            <w:gridSpan w:val="2"/>
            <w:tcBorders>
              <w:tl2br w:val="nil"/>
              <w:tr2bl w:val="nil"/>
            </w:tcBorders>
            <w:shd w:val="clear" w:color="auto" w:fill="FFFFFF"/>
            <w:vAlign w:val="center"/>
          </w:tcPr>
          <w:p>
            <w:pPr>
              <w:pStyle w:val="276"/>
              <w:spacing w:line="280" w:lineRule="exact"/>
              <w:ind w:firstLine="0" w:firstLineChars="0"/>
              <w:jc w:val="center"/>
              <w:rPr>
                <w:rFonts w:hint="eastAsia" w:ascii="Times New Roman" w:hAnsi="Times New Roman" w:eastAsiaTheme="minorEastAsia"/>
                <w:color w:val="auto"/>
                <w:sz w:val="21"/>
                <w:szCs w:val="21"/>
              </w:rPr>
            </w:pPr>
            <w:r>
              <w:rPr>
                <w:rFonts w:hint="eastAsia" w:ascii="Times New Roman" w:hAnsi="Times New Roman" w:eastAsiaTheme="minorEastAsia"/>
                <w:color w:val="auto"/>
                <w:sz w:val="21"/>
                <w:szCs w:val="21"/>
                <w:lang w:val="en-US" w:eastAsia="zh-CN"/>
              </w:rPr>
              <w:t>有组织排放总计</w:t>
            </w:r>
          </w:p>
        </w:tc>
        <w:tc>
          <w:tcPr>
            <w:tcW w:w="4763" w:type="dxa"/>
            <w:gridSpan w:val="3"/>
            <w:tcBorders>
              <w:tl2br w:val="nil"/>
              <w:tr2bl w:val="nil"/>
            </w:tcBorders>
            <w:shd w:val="clear" w:color="auto" w:fill="FFFFFF"/>
            <w:vAlign w:val="center"/>
          </w:tcPr>
          <w:p>
            <w:pPr>
              <w:pStyle w:val="276"/>
              <w:spacing w:line="280" w:lineRule="exact"/>
              <w:ind w:firstLine="0" w:firstLineChars="0"/>
              <w:jc w:val="center"/>
              <w:rPr>
                <w:rFonts w:hint="eastAsia" w:ascii="Times New Roman" w:hAnsi="Times New Roman" w:eastAsiaTheme="minorEastAsia"/>
                <w:color w:val="auto"/>
                <w:sz w:val="21"/>
                <w:szCs w:val="21"/>
              </w:rPr>
            </w:pPr>
            <w:r>
              <w:rPr>
                <w:rFonts w:hint="eastAsia" w:ascii="Times New Roman" w:hAnsi="Times New Roman" w:eastAsiaTheme="minorEastAsia"/>
                <w:color w:val="auto"/>
                <w:sz w:val="21"/>
                <w:szCs w:val="21"/>
                <w:lang w:val="en-US" w:eastAsia="zh-CN"/>
              </w:rPr>
              <w:t>PM</w:t>
            </w:r>
            <w:r>
              <w:rPr>
                <w:rFonts w:hint="eastAsia" w:ascii="Times New Roman" w:hAnsi="Times New Roman" w:eastAsiaTheme="minorEastAsia"/>
                <w:color w:val="auto"/>
                <w:sz w:val="21"/>
                <w:szCs w:val="21"/>
                <w:vertAlign w:val="subscript"/>
                <w:lang w:val="en-US" w:eastAsia="zh-CN"/>
              </w:rPr>
              <w:t>10</w:t>
            </w:r>
          </w:p>
        </w:tc>
        <w:tc>
          <w:tcPr>
            <w:tcW w:w="1457" w:type="dxa"/>
            <w:tcBorders>
              <w:tl2br w:val="nil"/>
              <w:tr2bl w:val="nil"/>
            </w:tcBorders>
            <w:shd w:val="clear" w:color="auto" w:fill="FFFFFF"/>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0.143</w:t>
            </w:r>
          </w:p>
        </w:tc>
      </w:tr>
    </w:tbl>
    <w:p>
      <w:pPr>
        <w:spacing w:line="500" w:lineRule="exact"/>
        <w:jc w:val="left"/>
        <w:rPr>
          <w:rFonts w:eastAsiaTheme="minorEastAsia"/>
          <w:color w:val="auto"/>
          <w:kern w:val="0"/>
          <w:szCs w:val="24"/>
        </w:rPr>
      </w:pPr>
      <w:r>
        <w:rPr>
          <w:rFonts w:eastAsiaTheme="minorEastAsia"/>
          <w:color w:val="auto"/>
          <w:kern w:val="0"/>
          <w:szCs w:val="24"/>
        </w:rPr>
        <w:t xml:space="preserve">5.2.2.2无组织排放污染源 </w:t>
      </w:r>
    </w:p>
    <w:p>
      <w:pPr>
        <w:autoSpaceDE w:val="0"/>
        <w:autoSpaceDN w:val="0"/>
        <w:adjustRightInd w:val="0"/>
        <w:spacing w:line="500" w:lineRule="exact"/>
        <w:ind w:firstLine="480" w:firstLineChars="200"/>
        <w:rPr>
          <w:rFonts w:eastAsiaTheme="minorEastAsia"/>
          <w:color w:val="auto"/>
          <w:kern w:val="0"/>
          <w:szCs w:val="24"/>
        </w:rPr>
      </w:pPr>
      <w:r>
        <w:rPr>
          <w:rFonts w:eastAsiaTheme="minorEastAsia"/>
          <w:color w:val="auto"/>
          <w:kern w:val="0"/>
          <w:szCs w:val="24"/>
        </w:rPr>
        <w:t xml:space="preserve">本项目无组织排放源包括凿岩穿孔工序、爆破工序、集堆铲装工序、运输过程、临时堆土场。 </w:t>
      </w:r>
    </w:p>
    <w:p>
      <w:pPr>
        <w:autoSpaceDE w:val="0"/>
        <w:autoSpaceDN w:val="0"/>
        <w:adjustRightInd w:val="0"/>
        <w:spacing w:line="500" w:lineRule="exact"/>
        <w:ind w:firstLine="480" w:firstLineChars="200"/>
        <w:rPr>
          <w:rFonts w:eastAsiaTheme="minorEastAsia"/>
          <w:color w:val="auto"/>
          <w:kern w:val="0"/>
          <w:szCs w:val="24"/>
        </w:rPr>
      </w:pPr>
      <w:r>
        <w:rPr>
          <w:rFonts w:eastAsiaTheme="minorEastAsia"/>
          <w:color w:val="auto"/>
          <w:kern w:val="0"/>
          <w:szCs w:val="24"/>
        </w:rPr>
        <w:fldChar w:fldCharType="begin"/>
      </w:r>
      <w:r>
        <w:rPr>
          <w:rFonts w:eastAsiaTheme="minorEastAsia"/>
          <w:color w:val="auto"/>
          <w:kern w:val="0"/>
          <w:szCs w:val="24"/>
        </w:rPr>
        <w:instrText xml:space="preserve"> = 1 \* GB3 </w:instrText>
      </w:r>
      <w:r>
        <w:rPr>
          <w:rFonts w:eastAsiaTheme="minorEastAsia"/>
          <w:color w:val="auto"/>
          <w:kern w:val="0"/>
          <w:szCs w:val="24"/>
        </w:rPr>
        <w:fldChar w:fldCharType="separate"/>
      </w:r>
      <w:r>
        <w:rPr>
          <w:rFonts w:hint="eastAsia" w:ascii="宋体" w:hAnsi="宋体" w:cs="宋体"/>
          <w:color w:val="auto"/>
          <w:kern w:val="0"/>
          <w:szCs w:val="24"/>
        </w:rPr>
        <w:t>①</w:t>
      </w:r>
      <w:r>
        <w:rPr>
          <w:rFonts w:eastAsiaTheme="minorEastAsia"/>
          <w:color w:val="auto"/>
          <w:kern w:val="0"/>
          <w:szCs w:val="24"/>
        </w:rPr>
        <w:fldChar w:fldCharType="end"/>
      </w:r>
      <w:r>
        <w:rPr>
          <w:rFonts w:eastAsiaTheme="minorEastAsia"/>
          <w:color w:val="auto"/>
          <w:kern w:val="0"/>
          <w:szCs w:val="24"/>
        </w:rPr>
        <w:t xml:space="preserve">凿岩打孔过程废气 </w:t>
      </w:r>
    </w:p>
    <w:p>
      <w:pPr>
        <w:pStyle w:val="276"/>
        <w:jc w:val="both"/>
        <w:rPr>
          <w:rFonts w:eastAsiaTheme="minorEastAsia"/>
          <w:color w:val="auto"/>
        </w:rPr>
      </w:pPr>
      <w:r>
        <w:rPr>
          <w:rFonts w:eastAsiaTheme="minorEastAsia"/>
          <w:color w:val="auto"/>
        </w:rPr>
        <w:t>本矿山采用深孔台阶爆破，不合格的大块的矿石采用人工击碎，不进行二次爆破，凿岩打孔在工作时产生一定的粉尘污染，会对采场周围的大气环境产生一定影响。根据国家环保总局环境影响评价工程师执业资格登记管理办公室《建材火电教材》（2006年8月）矿山凿岩时的粉尘产生量约为3g/m</w:t>
      </w:r>
      <w:r>
        <w:rPr>
          <w:rFonts w:eastAsiaTheme="minorEastAsia"/>
          <w:color w:val="auto"/>
          <w:vertAlign w:val="superscript"/>
        </w:rPr>
        <w:t>3</w:t>
      </w:r>
      <w:r>
        <w:rPr>
          <w:rFonts w:eastAsiaTheme="minorEastAsia"/>
          <w:color w:val="auto"/>
        </w:rPr>
        <w:t>，本项目生产规模为</w:t>
      </w:r>
      <w:r>
        <w:rPr>
          <w:rFonts w:hint="eastAsia" w:eastAsiaTheme="minorEastAsia"/>
          <w:color w:val="auto"/>
          <w:lang w:val="en-US" w:eastAsia="zh-CN"/>
        </w:rPr>
        <w:t>3</w:t>
      </w:r>
      <w:r>
        <w:rPr>
          <w:rFonts w:eastAsiaTheme="minorEastAsia"/>
          <w:color w:val="auto"/>
        </w:rPr>
        <w:t>×10</w:t>
      </w:r>
      <w:r>
        <w:rPr>
          <w:rFonts w:eastAsiaTheme="minorEastAsia"/>
          <w:color w:val="auto"/>
          <w:vertAlign w:val="superscript"/>
        </w:rPr>
        <w:t>4</w:t>
      </w:r>
      <w:r>
        <w:rPr>
          <w:rFonts w:eastAsiaTheme="minorEastAsia"/>
          <w:color w:val="auto"/>
        </w:rPr>
        <w:t>m</w:t>
      </w:r>
      <w:r>
        <w:rPr>
          <w:rFonts w:eastAsiaTheme="minorEastAsia"/>
          <w:color w:val="auto"/>
          <w:vertAlign w:val="superscript"/>
        </w:rPr>
        <w:t>3</w:t>
      </w:r>
      <w:r>
        <w:rPr>
          <w:rFonts w:eastAsiaTheme="minorEastAsia"/>
          <w:color w:val="auto"/>
        </w:rPr>
        <w:t>/a，因此凿岩时产生的粉尘量为0.</w:t>
      </w:r>
      <w:r>
        <w:rPr>
          <w:rFonts w:hint="eastAsia" w:eastAsiaTheme="minorEastAsia"/>
          <w:color w:val="auto"/>
          <w:lang w:val="en-US" w:eastAsia="zh-CN"/>
        </w:rPr>
        <w:t>09</w:t>
      </w:r>
      <w:r>
        <w:rPr>
          <w:rFonts w:eastAsiaTheme="minorEastAsia"/>
          <w:color w:val="auto"/>
        </w:rPr>
        <w:t>t/a，通过采用临时水管抑尘，可使粉尘排放量降低60%，本项目凿岩穿孔排放的粉尘量为0.</w:t>
      </w:r>
      <w:r>
        <w:rPr>
          <w:rFonts w:hint="eastAsia" w:eastAsiaTheme="minorEastAsia"/>
          <w:color w:val="auto"/>
          <w:lang w:val="en-US" w:eastAsia="zh-CN"/>
        </w:rPr>
        <w:t>04</w:t>
      </w:r>
      <w:r>
        <w:rPr>
          <w:rFonts w:eastAsiaTheme="minorEastAsia"/>
          <w:color w:val="auto"/>
        </w:rPr>
        <w:t>t/a。</w:t>
      </w:r>
    </w:p>
    <w:p>
      <w:pPr>
        <w:pStyle w:val="276"/>
        <w:jc w:val="both"/>
        <w:rPr>
          <w:rFonts w:eastAsiaTheme="minorEastAsia"/>
          <w:color w:val="auto"/>
        </w:rPr>
      </w:pPr>
      <w:r>
        <w:rPr>
          <w:rFonts w:eastAsiaTheme="minorEastAsia"/>
          <w:color w:val="auto"/>
        </w:rPr>
        <w:fldChar w:fldCharType="begin"/>
      </w:r>
      <w:r>
        <w:rPr>
          <w:rFonts w:eastAsiaTheme="minorEastAsia"/>
          <w:color w:val="auto"/>
        </w:rPr>
        <w:instrText xml:space="preserve"> = 2 \* GB3 </w:instrText>
      </w:r>
      <w:r>
        <w:rPr>
          <w:rFonts w:eastAsiaTheme="minorEastAsia"/>
          <w:color w:val="auto"/>
        </w:rPr>
        <w:fldChar w:fldCharType="separate"/>
      </w:r>
      <w:r>
        <w:rPr>
          <w:rFonts w:hint="eastAsia" w:ascii="宋体" w:hAnsi="宋体" w:cs="宋体"/>
          <w:color w:val="auto"/>
        </w:rPr>
        <w:t>②</w:t>
      </w:r>
      <w:r>
        <w:rPr>
          <w:rFonts w:eastAsiaTheme="minorEastAsia"/>
          <w:color w:val="auto"/>
        </w:rPr>
        <w:fldChar w:fldCharType="end"/>
      </w:r>
      <w:r>
        <w:rPr>
          <w:rFonts w:eastAsiaTheme="minorEastAsia"/>
          <w:color w:val="auto"/>
        </w:rPr>
        <w:t xml:space="preserve">爆破过程废气 </w:t>
      </w:r>
    </w:p>
    <w:p>
      <w:pPr>
        <w:pStyle w:val="276"/>
        <w:jc w:val="both"/>
        <w:rPr>
          <w:rFonts w:eastAsiaTheme="minorEastAsia"/>
          <w:color w:val="auto"/>
        </w:rPr>
      </w:pPr>
      <w:r>
        <w:rPr>
          <w:rFonts w:eastAsiaTheme="minorEastAsia"/>
          <w:color w:val="auto"/>
        </w:rPr>
        <w:t>爆破瞬间有大量的粉尘产生，其产生量与爆破方法、爆破技术、炸药种类、炸药量、矿岩理化性质等众多因素有关，爆破作业后一般要通风3～4小时，再进行采矿等作业。根据国家环保总局环境影响评价工程师执业资格登记管理办公室《建材火电教材》（2006年8月），每次爆破相应产尘量约25g/（m</w:t>
      </w:r>
      <w:r>
        <w:rPr>
          <w:rFonts w:eastAsiaTheme="minorEastAsia"/>
          <w:color w:val="auto"/>
          <w:vertAlign w:val="superscript"/>
        </w:rPr>
        <w:t>3</w:t>
      </w:r>
      <w:r>
        <w:rPr>
          <w:rFonts w:eastAsiaTheme="minorEastAsia"/>
          <w:color w:val="auto"/>
        </w:rPr>
        <w:t>石），本项目碎石开采加工的量为</w:t>
      </w:r>
      <w:r>
        <w:rPr>
          <w:rFonts w:hint="eastAsia" w:eastAsiaTheme="minorEastAsia"/>
          <w:color w:val="auto"/>
          <w:lang w:val="en-US" w:eastAsia="zh-CN"/>
        </w:rPr>
        <w:t>3</w:t>
      </w:r>
      <w:r>
        <w:rPr>
          <w:rFonts w:eastAsiaTheme="minorEastAsia"/>
          <w:color w:val="auto"/>
        </w:rPr>
        <w:t>×10</w:t>
      </w:r>
      <w:r>
        <w:rPr>
          <w:rFonts w:eastAsiaTheme="minorEastAsia"/>
          <w:color w:val="auto"/>
          <w:vertAlign w:val="superscript"/>
        </w:rPr>
        <w:t>4</w:t>
      </w:r>
      <w:r>
        <w:rPr>
          <w:rFonts w:eastAsiaTheme="minorEastAsia"/>
          <w:color w:val="auto"/>
        </w:rPr>
        <w:t>m</w:t>
      </w:r>
      <w:r>
        <w:rPr>
          <w:rFonts w:eastAsiaTheme="minorEastAsia"/>
          <w:color w:val="auto"/>
          <w:vertAlign w:val="superscript"/>
        </w:rPr>
        <w:t>3</w:t>
      </w:r>
      <w:r>
        <w:rPr>
          <w:rFonts w:eastAsiaTheme="minorEastAsia"/>
          <w:color w:val="auto"/>
        </w:rPr>
        <w:t>/a，因此本项目爆破过程产生的粉尘的量为0.</w:t>
      </w:r>
      <w:r>
        <w:rPr>
          <w:rFonts w:hint="eastAsia" w:eastAsiaTheme="minorEastAsia"/>
          <w:color w:val="auto"/>
          <w:lang w:val="en-US" w:eastAsia="zh-CN"/>
        </w:rPr>
        <w:t>75</w:t>
      </w:r>
      <w:r>
        <w:rPr>
          <w:rFonts w:eastAsiaTheme="minorEastAsia"/>
          <w:color w:val="auto"/>
        </w:rPr>
        <w:t>t/a，本项目采用中深孔爆破，爆破前通过水封爆破抑尘措施可使粉尘排放量降低80%，因此爆破排放的粉尘量为0.</w:t>
      </w:r>
      <w:r>
        <w:rPr>
          <w:rFonts w:hint="eastAsia" w:eastAsiaTheme="minorEastAsia"/>
          <w:color w:val="auto"/>
          <w:lang w:val="en-US" w:eastAsia="zh-CN"/>
        </w:rPr>
        <w:t>15</w:t>
      </w:r>
      <w:r>
        <w:rPr>
          <w:rFonts w:eastAsiaTheme="minorEastAsia"/>
          <w:color w:val="auto"/>
        </w:rPr>
        <w:t>t/a。</w:t>
      </w:r>
    </w:p>
    <w:p>
      <w:pPr>
        <w:pStyle w:val="276"/>
        <w:jc w:val="both"/>
        <w:rPr>
          <w:rFonts w:eastAsiaTheme="minorEastAsia"/>
          <w:color w:val="auto"/>
        </w:rPr>
      </w:pPr>
      <w:r>
        <w:rPr>
          <w:rFonts w:eastAsiaTheme="minorEastAsia"/>
          <w:color w:val="auto"/>
        </w:rPr>
        <w:fldChar w:fldCharType="begin"/>
      </w:r>
      <w:r>
        <w:rPr>
          <w:rFonts w:eastAsiaTheme="minorEastAsia"/>
          <w:color w:val="auto"/>
        </w:rPr>
        <w:instrText xml:space="preserve"> = 3 \* GB3 </w:instrText>
      </w:r>
      <w:r>
        <w:rPr>
          <w:rFonts w:eastAsiaTheme="minorEastAsia"/>
          <w:color w:val="auto"/>
        </w:rPr>
        <w:fldChar w:fldCharType="separate"/>
      </w:r>
      <w:r>
        <w:rPr>
          <w:rFonts w:hint="eastAsia" w:ascii="宋体" w:hAnsi="宋体" w:cs="宋体"/>
          <w:color w:val="auto"/>
        </w:rPr>
        <w:t>③</w:t>
      </w:r>
      <w:r>
        <w:rPr>
          <w:rFonts w:eastAsiaTheme="minorEastAsia"/>
          <w:color w:val="auto"/>
        </w:rPr>
        <w:fldChar w:fldCharType="end"/>
      </w:r>
      <w:r>
        <w:rPr>
          <w:rFonts w:eastAsiaTheme="minorEastAsia"/>
          <w:color w:val="auto"/>
        </w:rPr>
        <w:t>集堆、铲装粉尘</w:t>
      </w:r>
    </w:p>
    <w:p>
      <w:pPr>
        <w:pStyle w:val="276"/>
        <w:jc w:val="both"/>
        <w:rPr>
          <w:rFonts w:eastAsiaTheme="minorEastAsia"/>
          <w:color w:val="auto"/>
        </w:rPr>
      </w:pPr>
      <w:r>
        <w:rPr>
          <w:rFonts w:eastAsiaTheme="minorEastAsia"/>
          <w:color w:val="auto"/>
        </w:rPr>
        <w:t>集堆、铲装粉尘产生情况采用交通水运研究所武汉水运工程学院提出的装车粉尘经验公式估算，经验公式为：</w:t>
      </w:r>
    </w:p>
    <w:p>
      <w:pPr>
        <w:spacing w:line="240" w:lineRule="auto"/>
        <w:ind w:firstLine="480" w:firstLineChars="200"/>
        <w:jc w:val="center"/>
        <w:rPr>
          <w:rFonts w:eastAsiaTheme="minorEastAsia"/>
          <w:color w:val="auto"/>
        </w:rPr>
      </w:pPr>
      <w:r>
        <w:rPr>
          <w:rFonts w:eastAsiaTheme="minorEastAsia"/>
          <w:color w:val="auto"/>
          <w:position w:val="-24"/>
        </w:rPr>
        <w:object>
          <v:shape id="_x0000_i1036" o:spt="75" type="#_x0000_t75" style="height:28.5pt;width:122.25pt;" o:ole="t" filled="f" o:preferrelative="t" stroked="f" coordsize="21600,21600">
            <v:path/>
            <v:fill on="f" focussize="0,0"/>
            <v:stroke on="f"/>
            <v:imagedata r:id="rId17" o:title=""/>
            <o:lock v:ext="edit" aspectratio="t"/>
            <w10:wrap type="none"/>
            <w10:anchorlock/>
          </v:shape>
          <o:OLEObject Type="Embed" ProgID="Equation.KSEE3" ShapeID="_x0000_i1036" DrawAspect="Content" ObjectID="_1468075736" r:id="rId43">
            <o:LockedField>false</o:LockedField>
          </o:OLEObject>
        </w:object>
      </w:r>
    </w:p>
    <w:p>
      <w:pPr>
        <w:pStyle w:val="276"/>
        <w:adjustRightInd w:val="0"/>
        <w:snapToGrid w:val="0"/>
        <w:rPr>
          <w:rFonts w:eastAsiaTheme="minorEastAsia"/>
          <w:color w:val="auto"/>
        </w:rPr>
      </w:pPr>
      <w:r>
        <w:rPr>
          <w:rFonts w:eastAsiaTheme="minorEastAsia"/>
          <w:color w:val="auto"/>
        </w:rPr>
        <w:t>式中：Q——物料装车时机械落差起尘量，kg/s；</w:t>
      </w:r>
    </w:p>
    <w:p>
      <w:pPr>
        <w:pStyle w:val="276"/>
        <w:adjustRightInd w:val="0"/>
        <w:snapToGrid w:val="0"/>
        <w:rPr>
          <w:rFonts w:eastAsiaTheme="minorEastAsia"/>
          <w:color w:val="auto"/>
        </w:rPr>
      </w:pPr>
      <w:r>
        <w:rPr>
          <w:rFonts w:eastAsiaTheme="minorEastAsia"/>
          <w:color w:val="auto"/>
        </w:rPr>
        <w:t xml:space="preserve">      H——物料落差，m；装载车与自卸车车厢间距，取0.5m；</w:t>
      </w:r>
    </w:p>
    <w:p>
      <w:pPr>
        <w:pStyle w:val="276"/>
        <w:adjustRightInd w:val="0"/>
        <w:snapToGrid w:val="0"/>
        <w:rPr>
          <w:rFonts w:eastAsiaTheme="minorEastAsia"/>
          <w:color w:val="auto"/>
        </w:rPr>
      </w:pPr>
      <w:r>
        <w:rPr>
          <w:rFonts w:eastAsiaTheme="minorEastAsia"/>
          <w:color w:val="auto"/>
        </w:rPr>
        <w:t xml:space="preserve">      u——平均风速，</w:t>
      </w:r>
      <w:r>
        <w:rPr>
          <w:rFonts w:hint="eastAsia" w:eastAsiaTheme="minorEastAsia"/>
          <w:color w:val="auto"/>
          <w:lang w:val="en-US" w:eastAsia="zh-CN"/>
        </w:rPr>
        <w:t>3.3</w:t>
      </w:r>
      <w:r>
        <w:rPr>
          <w:rFonts w:eastAsiaTheme="minorEastAsia"/>
          <w:color w:val="auto"/>
        </w:rPr>
        <w:t>m/s；</w:t>
      </w:r>
    </w:p>
    <w:p>
      <w:pPr>
        <w:pStyle w:val="276"/>
        <w:adjustRightInd w:val="0"/>
        <w:snapToGrid w:val="0"/>
        <w:rPr>
          <w:rFonts w:eastAsiaTheme="minorEastAsia"/>
          <w:color w:val="auto"/>
        </w:rPr>
      </w:pPr>
      <w:r>
        <w:rPr>
          <w:rFonts w:eastAsiaTheme="minorEastAsia"/>
          <w:color w:val="auto"/>
        </w:rPr>
        <w:t xml:space="preserve">      ω——物料含水率，%；取1.5%；</w:t>
      </w:r>
    </w:p>
    <w:p>
      <w:pPr>
        <w:pStyle w:val="276"/>
        <w:adjustRightInd w:val="0"/>
        <w:snapToGrid w:val="0"/>
        <w:ind w:firstLine="1200" w:firstLineChars="500"/>
        <w:rPr>
          <w:rFonts w:eastAsiaTheme="minorEastAsia"/>
          <w:color w:val="auto"/>
        </w:rPr>
      </w:pPr>
      <w:r>
        <w:rPr>
          <w:rFonts w:eastAsiaTheme="minorEastAsia"/>
          <w:color w:val="auto"/>
        </w:rPr>
        <w:t>t——物料装车所需时间，t/s；装载车每铲容量为5t，每铲物料下落时间为1s，则物料装车所需时间为5t/s。</w:t>
      </w:r>
    </w:p>
    <w:p>
      <w:pPr>
        <w:pStyle w:val="276"/>
        <w:ind w:firstLine="600" w:firstLineChars="250"/>
        <w:rPr>
          <w:rFonts w:eastAsiaTheme="minorEastAsia"/>
          <w:color w:val="auto"/>
        </w:rPr>
      </w:pPr>
      <w:r>
        <w:rPr>
          <w:rFonts w:eastAsiaTheme="minorEastAsia"/>
          <w:color w:val="auto"/>
        </w:rPr>
        <w:t>装载机每铲容量为5t，每铲物料下落时间为1s，项目每天装运</w:t>
      </w:r>
      <w:r>
        <w:rPr>
          <w:rFonts w:hint="eastAsia" w:eastAsiaTheme="minorEastAsia"/>
          <w:color w:val="auto"/>
          <w:lang w:val="en-US" w:eastAsia="zh-CN"/>
        </w:rPr>
        <w:t>332.5</w:t>
      </w:r>
      <w:r>
        <w:rPr>
          <w:rFonts w:eastAsiaTheme="minorEastAsia"/>
          <w:color w:val="auto"/>
        </w:rPr>
        <w:t>t物料，相当于物料下落总时间为每天</w:t>
      </w:r>
      <w:r>
        <w:rPr>
          <w:rFonts w:hint="eastAsia" w:eastAsiaTheme="minorEastAsia"/>
          <w:color w:val="auto"/>
          <w:lang w:val="en-US" w:eastAsia="zh-CN"/>
        </w:rPr>
        <w:t>66.5</w:t>
      </w:r>
      <w:r>
        <w:rPr>
          <w:rFonts w:eastAsiaTheme="minorEastAsia"/>
          <w:color w:val="auto"/>
        </w:rPr>
        <w:t>s，全年工作</w:t>
      </w:r>
      <w:r>
        <w:rPr>
          <w:rFonts w:hint="eastAsia" w:eastAsiaTheme="minorEastAsia"/>
          <w:color w:val="auto"/>
          <w:lang w:eastAsia="zh-CN"/>
        </w:rPr>
        <w:t>240天</w:t>
      </w:r>
      <w:r>
        <w:rPr>
          <w:rFonts w:eastAsiaTheme="minorEastAsia"/>
          <w:color w:val="auto"/>
        </w:rPr>
        <w:t>，经计算得出矿区铲装每年产生粉尘量为0.</w:t>
      </w:r>
      <w:r>
        <w:rPr>
          <w:rFonts w:hint="eastAsia" w:eastAsiaTheme="minorEastAsia"/>
          <w:color w:val="auto"/>
          <w:lang w:val="en-US" w:eastAsia="zh-CN"/>
        </w:rPr>
        <w:t>27</w:t>
      </w:r>
      <w:r>
        <w:rPr>
          <w:rFonts w:eastAsiaTheme="minorEastAsia"/>
          <w:color w:val="auto"/>
        </w:rPr>
        <w:t>t/a，通过洒水抑尘可使粉尘排放量降低80%，则集堆铲装排放的粉尘量为0.0</w:t>
      </w:r>
      <w:r>
        <w:rPr>
          <w:rFonts w:hint="eastAsia" w:eastAsiaTheme="minorEastAsia"/>
          <w:color w:val="auto"/>
          <w:lang w:val="en-US" w:eastAsia="zh-CN"/>
        </w:rPr>
        <w:t>5</w:t>
      </w:r>
      <w:r>
        <w:rPr>
          <w:rFonts w:eastAsiaTheme="minorEastAsia"/>
          <w:color w:val="auto"/>
        </w:rPr>
        <w:t>t/a。</w:t>
      </w:r>
    </w:p>
    <w:p>
      <w:pPr>
        <w:pStyle w:val="276"/>
        <w:rPr>
          <w:rFonts w:eastAsiaTheme="minorEastAsia"/>
          <w:color w:val="auto"/>
        </w:rPr>
      </w:pPr>
      <w:r>
        <w:rPr>
          <w:rFonts w:eastAsiaTheme="minorEastAsia"/>
          <w:color w:val="auto"/>
        </w:rPr>
        <w:fldChar w:fldCharType="begin"/>
      </w:r>
      <w:r>
        <w:rPr>
          <w:rFonts w:eastAsiaTheme="minorEastAsia"/>
          <w:color w:val="auto"/>
        </w:rPr>
        <w:instrText xml:space="preserve"> = 4 \* GB3 </w:instrText>
      </w:r>
      <w:r>
        <w:rPr>
          <w:rFonts w:eastAsiaTheme="minorEastAsia"/>
          <w:color w:val="auto"/>
        </w:rPr>
        <w:fldChar w:fldCharType="separate"/>
      </w:r>
      <w:r>
        <w:rPr>
          <w:rFonts w:hint="eastAsia" w:ascii="宋体" w:hAnsi="宋体" w:cs="宋体"/>
          <w:color w:val="auto"/>
        </w:rPr>
        <w:t>④</w:t>
      </w:r>
      <w:r>
        <w:rPr>
          <w:rFonts w:eastAsiaTheme="minorEastAsia"/>
          <w:color w:val="auto"/>
        </w:rPr>
        <w:fldChar w:fldCharType="end"/>
      </w:r>
      <w:r>
        <w:rPr>
          <w:rFonts w:hint="eastAsia" w:eastAsiaTheme="minorEastAsia"/>
          <w:color w:val="auto"/>
          <w:lang w:eastAsia="zh-CN"/>
        </w:rPr>
        <w:t>采场及工业场地</w:t>
      </w:r>
      <w:r>
        <w:rPr>
          <w:rFonts w:eastAsiaTheme="minorEastAsia"/>
          <w:color w:val="auto"/>
        </w:rPr>
        <w:t>运输过程扬尘</w:t>
      </w:r>
    </w:p>
    <w:p>
      <w:pPr>
        <w:pStyle w:val="276"/>
        <w:rPr>
          <w:rFonts w:eastAsiaTheme="minorEastAsia"/>
          <w:color w:val="auto"/>
        </w:rPr>
      </w:pPr>
      <w:r>
        <w:rPr>
          <w:rFonts w:eastAsiaTheme="minorEastAsia"/>
          <w:color w:val="auto"/>
        </w:rPr>
        <w:t>运输场地道路产生的粉尘按照经验公式计算：</w:t>
      </w:r>
    </w:p>
    <w:p>
      <w:pPr>
        <w:pStyle w:val="276"/>
        <w:rPr>
          <w:rFonts w:eastAsiaTheme="minorEastAsia"/>
          <w:color w:val="auto"/>
          <w:vertAlign w:val="superscript"/>
        </w:rPr>
      </w:pPr>
      <w:r>
        <w:rPr>
          <w:rFonts w:eastAsiaTheme="minorEastAsia"/>
          <w:color w:val="auto"/>
        </w:rPr>
        <w:t>Q=0.123（V/5）（W/6.8）</w:t>
      </w:r>
      <w:r>
        <w:rPr>
          <w:rFonts w:eastAsiaTheme="minorEastAsia"/>
          <w:color w:val="auto"/>
          <w:vertAlign w:val="superscript"/>
        </w:rPr>
        <w:t>0.85</w:t>
      </w:r>
      <w:r>
        <w:rPr>
          <w:rFonts w:eastAsiaTheme="minorEastAsia"/>
          <w:color w:val="auto"/>
        </w:rPr>
        <w:t>（P/0.5）</w:t>
      </w:r>
      <w:r>
        <w:rPr>
          <w:rFonts w:eastAsiaTheme="minorEastAsia"/>
          <w:color w:val="auto"/>
          <w:vertAlign w:val="superscript"/>
        </w:rPr>
        <w:t>0.75</w:t>
      </w:r>
    </w:p>
    <w:p>
      <w:pPr>
        <w:pStyle w:val="276"/>
        <w:ind w:left="1200" w:leftChars="200" w:hanging="720" w:hangingChars="300"/>
        <w:rPr>
          <w:rFonts w:eastAsiaTheme="minorEastAsia"/>
          <w:color w:val="auto"/>
        </w:rPr>
      </w:pPr>
      <w:r>
        <w:rPr>
          <w:rFonts w:eastAsiaTheme="minorEastAsia"/>
          <w:color w:val="auto"/>
        </w:rPr>
        <w:t>式中：Q—汽车行驶的扬尘，kg/ km·辆；</w:t>
      </w:r>
      <w:r>
        <w:rPr>
          <w:rFonts w:eastAsiaTheme="minorEastAsia"/>
          <w:color w:val="auto"/>
        </w:rPr>
        <w:br w:type="textWrapping"/>
      </w:r>
      <w:r>
        <w:rPr>
          <w:rFonts w:eastAsiaTheme="minorEastAsia"/>
          <w:color w:val="auto"/>
        </w:rPr>
        <w:t>V—汽车速度，km/h，本项目为15km/h；</w:t>
      </w:r>
      <w:r>
        <w:rPr>
          <w:rFonts w:eastAsiaTheme="minorEastAsia"/>
          <w:color w:val="auto"/>
        </w:rPr>
        <w:br w:type="textWrapping"/>
      </w:r>
      <w:r>
        <w:rPr>
          <w:rFonts w:eastAsiaTheme="minorEastAsia"/>
          <w:color w:val="auto"/>
        </w:rPr>
        <w:t>W—汽车载重量，吨，本项目采用32t载重汽车；</w:t>
      </w:r>
      <w:r>
        <w:rPr>
          <w:rFonts w:eastAsiaTheme="minorEastAsia"/>
          <w:color w:val="auto"/>
        </w:rPr>
        <w:br w:type="textWrapping"/>
      </w:r>
      <w:r>
        <w:rPr>
          <w:rFonts w:eastAsiaTheme="minorEastAsia"/>
          <w:color w:val="auto"/>
        </w:rPr>
        <w:t>P—道路表面粉尘量，kg/m</w:t>
      </w:r>
      <w:r>
        <w:rPr>
          <w:rFonts w:eastAsiaTheme="minorEastAsia"/>
          <w:color w:val="auto"/>
          <w:vertAlign w:val="superscript"/>
        </w:rPr>
        <w:t>2</w:t>
      </w:r>
      <w:r>
        <w:rPr>
          <w:rFonts w:eastAsiaTheme="minorEastAsia"/>
          <w:color w:val="auto"/>
        </w:rPr>
        <w:t>，本项目按0.5kg/m</w:t>
      </w:r>
      <w:r>
        <w:rPr>
          <w:rFonts w:eastAsiaTheme="minorEastAsia"/>
          <w:color w:val="auto"/>
          <w:vertAlign w:val="superscript"/>
        </w:rPr>
        <w:t>2</w:t>
      </w:r>
      <w:r>
        <w:rPr>
          <w:rFonts w:eastAsiaTheme="minorEastAsia"/>
          <w:color w:val="auto"/>
        </w:rPr>
        <w:t>计</w:t>
      </w:r>
    </w:p>
    <w:p>
      <w:pPr>
        <w:pStyle w:val="276"/>
        <w:jc w:val="both"/>
        <w:rPr>
          <w:rFonts w:eastAsiaTheme="minorEastAsia"/>
          <w:color w:val="auto"/>
        </w:rPr>
      </w:pPr>
      <w:r>
        <w:rPr>
          <w:rFonts w:eastAsiaTheme="minorEastAsia"/>
          <w:color w:val="auto"/>
        </w:rPr>
        <w:t>经计算，汽车形式扬尘产生源强为1.38kg/km·辆，矿区运输次数约为3125次/a，本项目</w:t>
      </w:r>
      <w:r>
        <w:rPr>
          <w:rFonts w:hint="eastAsia" w:eastAsiaTheme="minorEastAsia"/>
          <w:color w:val="auto"/>
          <w:lang w:eastAsia="zh-CN"/>
        </w:rPr>
        <w:t>采场</w:t>
      </w:r>
      <w:r>
        <w:rPr>
          <w:rFonts w:eastAsiaTheme="minorEastAsia"/>
          <w:color w:val="auto"/>
        </w:rPr>
        <w:t>道路长约为</w:t>
      </w:r>
      <w:r>
        <w:rPr>
          <w:rFonts w:hint="eastAsia" w:eastAsiaTheme="minorEastAsia"/>
          <w:color w:val="auto"/>
          <w:lang w:val="en-US" w:eastAsia="zh-CN"/>
        </w:rPr>
        <w:t>0.26</w:t>
      </w:r>
      <w:r>
        <w:rPr>
          <w:rFonts w:eastAsiaTheme="minorEastAsia"/>
          <w:color w:val="auto"/>
        </w:rPr>
        <w:t>km，产生道路扬尘</w:t>
      </w:r>
      <w:r>
        <w:rPr>
          <w:rFonts w:hint="eastAsia" w:eastAsiaTheme="minorEastAsia"/>
          <w:color w:val="auto"/>
          <w:lang w:val="en-US" w:eastAsia="zh-CN"/>
        </w:rPr>
        <w:t>1.12</w:t>
      </w:r>
      <w:r>
        <w:rPr>
          <w:rFonts w:eastAsiaTheme="minorEastAsia"/>
          <w:color w:val="auto"/>
        </w:rPr>
        <w:t>t/a</w:t>
      </w:r>
      <w:r>
        <w:rPr>
          <w:rFonts w:hint="eastAsia" w:eastAsiaTheme="minorEastAsia"/>
          <w:color w:val="auto"/>
          <w:lang w:eastAsia="zh-CN"/>
        </w:rPr>
        <w:t>；工业场地</w:t>
      </w:r>
      <w:r>
        <w:rPr>
          <w:rFonts w:eastAsiaTheme="minorEastAsia"/>
          <w:color w:val="auto"/>
        </w:rPr>
        <w:t>道路长约为</w:t>
      </w:r>
      <w:r>
        <w:rPr>
          <w:rFonts w:hint="eastAsia" w:eastAsiaTheme="minorEastAsia"/>
          <w:color w:val="auto"/>
          <w:lang w:val="en-US" w:eastAsia="zh-CN"/>
        </w:rPr>
        <w:t>0.12</w:t>
      </w:r>
      <w:r>
        <w:rPr>
          <w:rFonts w:eastAsiaTheme="minorEastAsia"/>
          <w:color w:val="auto"/>
        </w:rPr>
        <w:t>km，产生道路扬尘</w:t>
      </w:r>
      <w:r>
        <w:rPr>
          <w:rFonts w:hint="eastAsia" w:eastAsiaTheme="minorEastAsia"/>
          <w:color w:val="auto"/>
          <w:lang w:val="en-US" w:eastAsia="zh-CN"/>
        </w:rPr>
        <w:t>0.52</w:t>
      </w:r>
      <w:r>
        <w:rPr>
          <w:rFonts w:eastAsiaTheme="minorEastAsia"/>
          <w:color w:val="auto"/>
        </w:rPr>
        <w:t>t/a。通过洒水车向地面洒水抑尘、运输车辆加盖苫布、限速行驶等措施，可使粉尘排放量降低80%，因此</w:t>
      </w:r>
      <w:r>
        <w:rPr>
          <w:rFonts w:hint="eastAsia" w:eastAsiaTheme="minorEastAsia"/>
          <w:color w:val="auto"/>
          <w:lang w:eastAsia="zh-CN"/>
        </w:rPr>
        <w:t>采场</w:t>
      </w:r>
      <w:r>
        <w:rPr>
          <w:rFonts w:eastAsiaTheme="minorEastAsia"/>
          <w:color w:val="auto"/>
        </w:rPr>
        <w:t>运输过程中无组织排放的粉尘量为</w:t>
      </w:r>
      <w:r>
        <w:rPr>
          <w:rFonts w:hint="eastAsia" w:eastAsiaTheme="minorEastAsia"/>
          <w:color w:val="auto"/>
          <w:lang w:val="en-US" w:eastAsia="zh-CN"/>
        </w:rPr>
        <w:t>0.22</w:t>
      </w:r>
      <w:r>
        <w:rPr>
          <w:rFonts w:eastAsiaTheme="minorEastAsia"/>
          <w:color w:val="auto"/>
        </w:rPr>
        <w:t>t/a</w:t>
      </w:r>
      <w:r>
        <w:rPr>
          <w:rFonts w:hint="eastAsia" w:eastAsiaTheme="minorEastAsia"/>
          <w:color w:val="auto"/>
          <w:lang w:eastAsia="zh-CN"/>
        </w:rPr>
        <w:t>，工业场地道路</w:t>
      </w:r>
      <w:r>
        <w:rPr>
          <w:rFonts w:eastAsiaTheme="minorEastAsia"/>
          <w:color w:val="auto"/>
        </w:rPr>
        <w:t>运输过程中无组织排放的粉尘量为</w:t>
      </w:r>
      <w:r>
        <w:rPr>
          <w:rFonts w:hint="eastAsia" w:eastAsiaTheme="minorEastAsia"/>
          <w:color w:val="auto"/>
          <w:lang w:val="en-US" w:eastAsia="zh-CN"/>
        </w:rPr>
        <w:t>0.10</w:t>
      </w:r>
      <w:r>
        <w:rPr>
          <w:rFonts w:eastAsiaTheme="minorEastAsia"/>
          <w:color w:val="auto"/>
        </w:rPr>
        <w:t>t/a。</w:t>
      </w:r>
    </w:p>
    <w:p>
      <w:pPr>
        <w:pStyle w:val="276"/>
        <w:rPr>
          <w:rFonts w:eastAsiaTheme="minorEastAsia"/>
          <w:color w:val="auto"/>
        </w:rPr>
      </w:pPr>
      <w:r>
        <w:rPr>
          <w:rFonts w:eastAsiaTheme="minorEastAsia"/>
          <w:color w:val="auto"/>
        </w:rPr>
        <w:fldChar w:fldCharType="begin"/>
      </w:r>
      <w:r>
        <w:rPr>
          <w:rFonts w:eastAsiaTheme="minorEastAsia"/>
          <w:color w:val="auto"/>
        </w:rPr>
        <w:instrText xml:space="preserve"> = 5 \* GB3 </w:instrText>
      </w:r>
      <w:r>
        <w:rPr>
          <w:rFonts w:eastAsiaTheme="minorEastAsia"/>
          <w:color w:val="auto"/>
        </w:rPr>
        <w:fldChar w:fldCharType="separate"/>
      </w:r>
      <w:r>
        <w:rPr>
          <w:rFonts w:hint="eastAsia" w:ascii="宋体" w:hAnsi="宋体" w:cs="宋体"/>
          <w:color w:val="auto"/>
        </w:rPr>
        <w:t>⑤</w:t>
      </w:r>
      <w:r>
        <w:rPr>
          <w:rFonts w:eastAsiaTheme="minorEastAsia"/>
          <w:color w:val="auto"/>
        </w:rPr>
        <w:fldChar w:fldCharType="end"/>
      </w:r>
      <w:r>
        <w:rPr>
          <w:rFonts w:eastAsiaTheme="minorEastAsia"/>
          <w:color w:val="auto"/>
        </w:rPr>
        <w:t>临时堆土场粉尘</w:t>
      </w:r>
    </w:p>
    <w:p>
      <w:pPr>
        <w:pStyle w:val="276"/>
        <w:rPr>
          <w:rFonts w:eastAsiaTheme="minorEastAsia"/>
          <w:color w:val="auto"/>
        </w:rPr>
      </w:pPr>
      <w:r>
        <w:rPr>
          <w:rFonts w:eastAsiaTheme="minorEastAsia"/>
          <w:color w:val="auto"/>
        </w:rPr>
        <w:t>临时堆土场粉尘计算公式如下：</w:t>
      </w:r>
    </w:p>
    <w:p>
      <w:pPr>
        <w:pStyle w:val="276"/>
        <w:rPr>
          <w:rFonts w:eastAsiaTheme="minorEastAsia"/>
          <w:color w:val="auto"/>
        </w:rPr>
      </w:pPr>
      <w:r>
        <w:rPr>
          <w:rFonts w:eastAsiaTheme="minorEastAsia"/>
          <w:color w:val="auto"/>
        </w:rPr>
        <w:t>Q=1.479×10</w:t>
      </w:r>
      <w:r>
        <w:rPr>
          <w:rFonts w:eastAsiaTheme="minorEastAsia"/>
          <w:color w:val="auto"/>
          <w:vertAlign w:val="superscript"/>
        </w:rPr>
        <w:t>-2</w:t>
      </w:r>
      <w:r>
        <w:rPr>
          <w:rFonts w:eastAsiaTheme="minorEastAsia"/>
          <w:color w:val="auto"/>
        </w:rPr>
        <w:t>×e</w:t>
      </w:r>
      <w:r>
        <w:rPr>
          <w:rFonts w:eastAsiaTheme="minorEastAsia"/>
          <w:color w:val="auto"/>
          <w:vertAlign w:val="superscript"/>
        </w:rPr>
        <w:t>-0.43w</w:t>
      </w:r>
      <w:r>
        <w:rPr>
          <w:rFonts w:eastAsiaTheme="minorEastAsia"/>
          <w:color w:val="auto"/>
        </w:rPr>
        <w:t>×Ap</w:t>
      </w:r>
    </w:p>
    <w:p>
      <w:pPr>
        <w:pStyle w:val="276"/>
        <w:rPr>
          <w:rFonts w:eastAsiaTheme="minorEastAsia"/>
          <w:color w:val="auto"/>
        </w:rPr>
      </w:pPr>
      <w:r>
        <w:rPr>
          <w:rFonts w:eastAsiaTheme="minorEastAsia"/>
          <w:color w:val="auto"/>
        </w:rPr>
        <w:t>式中：Q——起尘量，mg/s；</w:t>
      </w:r>
    </w:p>
    <w:p>
      <w:pPr>
        <w:pStyle w:val="276"/>
        <w:ind w:firstLine="1200" w:firstLineChars="500"/>
        <w:rPr>
          <w:rFonts w:eastAsiaTheme="minorEastAsia"/>
          <w:color w:val="auto"/>
        </w:rPr>
      </w:pPr>
      <w:r>
        <w:rPr>
          <w:rFonts w:eastAsiaTheme="minorEastAsia"/>
          <w:color w:val="auto"/>
        </w:rPr>
        <w:t>W——物料含水率，%，本项目临时堆土场表面含水率为10%；</w:t>
      </w:r>
    </w:p>
    <w:p>
      <w:pPr>
        <w:pStyle w:val="276"/>
        <w:ind w:firstLine="1200" w:firstLineChars="500"/>
        <w:rPr>
          <w:rFonts w:hint="eastAsia" w:eastAsiaTheme="minorEastAsia"/>
          <w:color w:val="auto"/>
          <w:lang w:eastAsia="zh-CN"/>
        </w:rPr>
      </w:pPr>
      <w:r>
        <w:rPr>
          <w:rFonts w:eastAsiaTheme="minorEastAsia"/>
          <w:color w:val="auto"/>
        </w:rPr>
        <w:t>Ap——面积，m</w:t>
      </w:r>
      <w:r>
        <w:rPr>
          <w:rFonts w:eastAsiaTheme="minorEastAsia"/>
          <w:color w:val="auto"/>
          <w:vertAlign w:val="superscript"/>
        </w:rPr>
        <w:t>2</w:t>
      </w:r>
      <w:r>
        <w:rPr>
          <w:rFonts w:eastAsiaTheme="minorEastAsia"/>
          <w:color w:val="auto"/>
        </w:rPr>
        <w:t>，本项目临时堆土场面积取</w:t>
      </w:r>
      <w:r>
        <w:rPr>
          <w:rFonts w:hint="eastAsia" w:eastAsiaTheme="minorEastAsia"/>
          <w:color w:val="auto"/>
          <w:lang w:val="en-US" w:eastAsia="zh-CN"/>
        </w:rPr>
        <w:t>40</w:t>
      </w:r>
      <w:r>
        <w:rPr>
          <w:rFonts w:eastAsiaTheme="minorEastAsia"/>
          <w:color w:val="auto"/>
        </w:rPr>
        <w:t>m</w:t>
      </w:r>
      <w:r>
        <w:rPr>
          <w:rFonts w:eastAsiaTheme="minorEastAsia"/>
          <w:color w:val="auto"/>
          <w:vertAlign w:val="superscript"/>
        </w:rPr>
        <w:t>2</w:t>
      </w:r>
      <w:r>
        <w:rPr>
          <w:rFonts w:hint="eastAsia" w:eastAsiaTheme="minorEastAsia"/>
          <w:color w:val="auto"/>
          <w:lang w:eastAsia="zh-CN"/>
        </w:rPr>
        <w:t>。</w:t>
      </w:r>
    </w:p>
    <w:p>
      <w:pPr>
        <w:pStyle w:val="276"/>
        <w:jc w:val="both"/>
        <w:rPr>
          <w:rFonts w:hint="eastAsia" w:eastAsiaTheme="minorEastAsia"/>
          <w:color w:val="auto"/>
          <w:lang w:eastAsia="zh-CN"/>
        </w:rPr>
      </w:pPr>
      <w:r>
        <w:rPr>
          <w:rFonts w:eastAsiaTheme="minorEastAsia"/>
          <w:color w:val="auto"/>
        </w:rPr>
        <w:t>经计算，临时堆土场起尘量约为</w:t>
      </w:r>
      <w:r>
        <w:rPr>
          <w:rFonts w:hint="eastAsia" w:eastAsiaTheme="minorEastAsia"/>
          <w:color w:val="auto"/>
          <w:lang w:val="en-US" w:eastAsia="zh-CN"/>
        </w:rPr>
        <w:t>0.57</w:t>
      </w:r>
      <w:r>
        <w:rPr>
          <w:rFonts w:eastAsiaTheme="minorEastAsia"/>
          <w:color w:val="auto"/>
        </w:rPr>
        <w:t>mg/s，0.</w:t>
      </w:r>
      <w:r>
        <w:rPr>
          <w:rFonts w:hint="eastAsia" w:eastAsiaTheme="minorEastAsia"/>
          <w:color w:val="auto"/>
          <w:lang w:val="en-US" w:eastAsia="zh-CN"/>
        </w:rPr>
        <w:t>004</w:t>
      </w:r>
      <w:r>
        <w:rPr>
          <w:rFonts w:eastAsiaTheme="minorEastAsia"/>
          <w:color w:val="auto"/>
        </w:rPr>
        <w:t>t/a；通过在临时堆土场周围设置喷淋装置洒水抑尘，可使起尘量降低80%，则采取洒水抑尘措施后起尘量约为</w:t>
      </w:r>
      <w:r>
        <w:rPr>
          <w:rFonts w:hint="eastAsia" w:eastAsiaTheme="minorEastAsia"/>
          <w:color w:val="auto"/>
          <w:lang w:val="en-US" w:eastAsia="zh-CN"/>
        </w:rPr>
        <w:t>0.001</w:t>
      </w:r>
      <w:r>
        <w:rPr>
          <w:rFonts w:eastAsiaTheme="minorEastAsia"/>
          <w:color w:val="auto"/>
        </w:rPr>
        <w:t>t/a</w:t>
      </w:r>
      <w:r>
        <w:rPr>
          <w:rFonts w:hint="eastAsia" w:eastAsiaTheme="minorEastAsia"/>
          <w:color w:val="auto"/>
          <w:lang w:eastAsia="zh-CN"/>
        </w:rPr>
        <w:t>。</w:t>
      </w:r>
    </w:p>
    <w:p>
      <w:pPr>
        <w:pStyle w:val="299"/>
        <w:spacing w:line="500" w:lineRule="exact"/>
        <w:ind w:firstLine="480"/>
        <w:rPr>
          <w:rFonts w:eastAsiaTheme="minorEastAsia"/>
          <w:color w:val="auto"/>
        </w:rPr>
      </w:pPr>
      <w:r>
        <w:rPr>
          <w:rFonts w:eastAsiaTheme="minorEastAsia"/>
          <w:color w:val="auto"/>
        </w:rPr>
        <w:fldChar w:fldCharType="begin"/>
      </w:r>
      <w:r>
        <w:rPr>
          <w:rFonts w:eastAsiaTheme="minorEastAsia"/>
          <w:color w:val="auto"/>
        </w:rPr>
        <w:instrText xml:space="preserve"> = 6 \* GB3 </w:instrText>
      </w:r>
      <w:r>
        <w:rPr>
          <w:rFonts w:eastAsiaTheme="minorEastAsia"/>
          <w:color w:val="auto"/>
        </w:rPr>
        <w:fldChar w:fldCharType="separate"/>
      </w:r>
      <w:r>
        <w:rPr>
          <w:rFonts w:hint="eastAsia" w:ascii="宋体" w:hAnsi="宋体" w:cs="宋体"/>
          <w:color w:val="auto"/>
        </w:rPr>
        <w:t>⑥</w:t>
      </w:r>
      <w:r>
        <w:rPr>
          <w:rFonts w:eastAsiaTheme="minorEastAsia"/>
          <w:color w:val="auto"/>
        </w:rPr>
        <w:fldChar w:fldCharType="end"/>
      </w:r>
      <w:r>
        <w:rPr>
          <w:rFonts w:eastAsiaTheme="minorEastAsia"/>
          <w:color w:val="auto"/>
        </w:rPr>
        <w:t>原矿堆场</w:t>
      </w:r>
      <w:r>
        <w:rPr>
          <w:rFonts w:hint="eastAsia" w:eastAsiaTheme="minorEastAsia"/>
          <w:color w:val="auto"/>
          <w:lang w:eastAsia="zh-CN"/>
        </w:rPr>
        <w:t>、</w:t>
      </w:r>
      <w:r>
        <w:rPr>
          <w:rFonts w:eastAsiaTheme="minorEastAsia"/>
          <w:color w:val="auto"/>
        </w:rPr>
        <w:t>成品料场粉尘</w:t>
      </w:r>
    </w:p>
    <w:p>
      <w:pPr>
        <w:pStyle w:val="299"/>
        <w:spacing w:line="500" w:lineRule="exact"/>
        <w:ind w:firstLine="480"/>
        <w:rPr>
          <w:rFonts w:eastAsiaTheme="minorEastAsia"/>
          <w:color w:val="auto"/>
        </w:rPr>
      </w:pPr>
      <w:r>
        <w:rPr>
          <w:rFonts w:eastAsiaTheme="minorEastAsia"/>
          <w:color w:val="auto"/>
        </w:rPr>
        <w:t>粉尘计算公式参照临时堆土场，从矿山运来原矿石堆入原矿堆场，原矿堆场面积取500</w:t>
      </w:r>
      <w:r>
        <w:rPr>
          <w:rFonts w:eastAsiaTheme="minorEastAsia"/>
          <w:color w:val="auto"/>
          <w:szCs w:val="21"/>
        </w:rPr>
        <w:t xml:space="preserve"> m</w:t>
      </w:r>
      <w:r>
        <w:rPr>
          <w:rFonts w:eastAsiaTheme="minorEastAsia"/>
          <w:color w:val="auto"/>
          <w:szCs w:val="21"/>
          <w:vertAlign w:val="superscript"/>
        </w:rPr>
        <w:t>2</w:t>
      </w:r>
      <w:r>
        <w:rPr>
          <w:rFonts w:eastAsiaTheme="minorEastAsia"/>
          <w:color w:val="auto"/>
          <w:szCs w:val="21"/>
        </w:rPr>
        <w:t>。</w:t>
      </w:r>
      <w:r>
        <w:rPr>
          <w:rFonts w:eastAsiaTheme="minorEastAsia"/>
          <w:color w:val="auto"/>
        </w:rPr>
        <w:t>粉尘产生量为0.</w:t>
      </w:r>
      <w:r>
        <w:rPr>
          <w:rFonts w:hint="eastAsia" w:eastAsiaTheme="minorEastAsia"/>
          <w:color w:val="auto"/>
          <w:lang w:val="en-US" w:eastAsia="zh-CN"/>
        </w:rPr>
        <w:t>05</w:t>
      </w:r>
      <w:r>
        <w:rPr>
          <w:rFonts w:eastAsiaTheme="minorEastAsia"/>
          <w:color w:val="auto"/>
        </w:rPr>
        <w:t>t/a，通过在原矿堆场洒水抑尘，可使起尘量降低80%，成品料场产生的扬尘量为0.0</w:t>
      </w:r>
      <w:r>
        <w:rPr>
          <w:rFonts w:hint="eastAsia" w:eastAsiaTheme="minorEastAsia"/>
          <w:color w:val="auto"/>
          <w:lang w:val="en-US" w:eastAsia="zh-CN"/>
        </w:rPr>
        <w:t>1</w:t>
      </w:r>
      <w:r>
        <w:rPr>
          <w:rFonts w:eastAsiaTheme="minorEastAsia"/>
          <w:color w:val="auto"/>
        </w:rPr>
        <w:t>t/a。</w:t>
      </w:r>
    </w:p>
    <w:p>
      <w:pPr>
        <w:pStyle w:val="276"/>
        <w:adjustRightInd w:val="0"/>
        <w:snapToGrid w:val="0"/>
        <w:jc w:val="both"/>
        <w:rPr>
          <w:rFonts w:eastAsiaTheme="minorEastAsia"/>
          <w:color w:val="auto"/>
        </w:rPr>
      </w:pPr>
      <w:r>
        <w:rPr>
          <w:rFonts w:eastAsiaTheme="minorEastAsia"/>
          <w:color w:val="auto"/>
        </w:rPr>
        <w:t>成品堆场料堆面积取</w:t>
      </w:r>
      <w:r>
        <w:rPr>
          <w:rFonts w:hint="eastAsia" w:eastAsiaTheme="minorEastAsia"/>
          <w:color w:val="auto"/>
          <w:lang w:val="en-US" w:eastAsia="zh-CN"/>
        </w:rPr>
        <w:t>800</w:t>
      </w:r>
      <w:r>
        <w:rPr>
          <w:rFonts w:eastAsiaTheme="minorEastAsia"/>
          <w:color w:val="auto"/>
        </w:rPr>
        <w:t>m</w:t>
      </w:r>
      <w:r>
        <w:rPr>
          <w:rFonts w:eastAsiaTheme="minorEastAsia"/>
          <w:color w:val="auto"/>
          <w:vertAlign w:val="superscript"/>
        </w:rPr>
        <w:t>2</w:t>
      </w:r>
      <w:r>
        <w:rPr>
          <w:rFonts w:eastAsiaTheme="minorEastAsia"/>
          <w:color w:val="auto"/>
        </w:rPr>
        <w:t>，粉尘产生量为0.</w:t>
      </w:r>
      <w:r>
        <w:rPr>
          <w:rFonts w:hint="eastAsia" w:eastAsiaTheme="minorEastAsia"/>
          <w:color w:val="auto"/>
          <w:lang w:val="en-US" w:eastAsia="zh-CN"/>
        </w:rPr>
        <w:t>08</w:t>
      </w:r>
      <w:r>
        <w:rPr>
          <w:rFonts w:eastAsiaTheme="minorEastAsia"/>
          <w:color w:val="auto"/>
        </w:rPr>
        <w:t>t/a，通过在成品料场洒水抑尘，可使起尘量降低80%，成品料场排放粉尘量为0.</w:t>
      </w:r>
      <w:r>
        <w:rPr>
          <w:rFonts w:hint="eastAsia" w:eastAsiaTheme="minorEastAsia"/>
          <w:color w:val="auto"/>
          <w:lang w:val="en-US" w:eastAsia="zh-CN"/>
        </w:rPr>
        <w:t>02</w:t>
      </w:r>
      <w:r>
        <w:rPr>
          <w:rFonts w:eastAsiaTheme="minorEastAsia"/>
          <w:color w:val="auto"/>
        </w:rPr>
        <w:t>t/a。</w:t>
      </w:r>
    </w:p>
    <w:p>
      <w:pPr>
        <w:pStyle w:val="276"/>
        <w:rPr>
          <w:rFonts w:eastAsiaTheme="minorEastAsia"/>
          <w:color w:val="auto"/>
        </w:rPr>
      </w:pPr>
      <w:r>
        <w:rPr>
          <w:rFonts w:eastAsiaTheme="minorEastAsia"/>
          <w:color w:val="auto"/>
          <w:kern w:val="0"/>
          <w:szCs w:val="24"/>
        </w:rPr>
        <w:fldChar w:fldCharType="begin"/>
      </w:r>
      <w:r>
        <w:rPr>
          <w:rFonts w:eastAsiaTheme="minorEastAsia"/>
          <w:color w:val="auto"/>
          <w:kern w:val="0"/>
          <w:szCs w:val="24"/>
        </w:rPr>
        <w:instrText xml:space="preserve"> = 7 \* GB3 </w:instrText>
      </w:r>
      <w:r>
        <w:rPr>
          <w:rFonts w:eastAsiaTheme="minorEastAsia"/>
          <w:color w:val="auto"/>
          <w:kern w:val="0"/>
          <w:szCs w:val="24"/>
        </w:rPr>
        <w:fldChar w:fldCharType="separate"/>
      </w:r>
      <w:r>
        <w:rPr>
          <w:rFonts w:hint="eastAsia" w:ascii="宋体" w:hAnsi="宋体" w:cs="宋体"/>
          <w:color w:val="auto"/>
          <w:kern w:val="0"/>
          <w:szCs w:val="24"/>
        </w:rPr>
        <w:t>⑦</w:t>
      </w:r>
      <w:r>
        <w:rPr>
          <w:rFonts w:eastAsiaTheme="minorEastAsia"/>
          <w:color w:val="auto"/>
          <w:kern w:val="0"/>
          <w:szCs w:val="24"/>
        </w:rPr>
        <w:fldChar w:fldCharType="end"/>
      </w:r>
      <w:r>
        <w:rPr>
          <w:rFonts w:eastAsiaTheme="minorEastAsia"/>
          <w:color w:val="auto"/>
        </w:rPr>
        <w:t>石粉仓粉尘</w:t>
      </w:r>
    </w:p>
    <w:p>
      <w:pPr>
        <w:pStyle w:val="276"/>
        <w:rPr>
          <w:rFonts w:eastAsiaTheme="minorEastAsia"/>
          <w:color w:val="auto"/>
        </w:rPr>
      </w:pPr>
      <w:r>
        <w:rPr>
          <w:rFonts w:eastAsiaTheme="minorEastAsia"/>
          <w:color w:val="auto"/>
        </w:rPr>
        <w:t>石粉仓进出料工序会产生粉尘，本项目石粉仓粉尘的产生量类比《逸散性工业粉尘控制技术》中水泥生产的逸散尘排放因子中，石膏、铁矿石、粘土、石灰石、砂、煤等原料的卸料，排放因子为0.2kg/t，本项目石粉仓存储石粉为</w:t>
      </w:r>
      <w:r>
        <w:rPr>
          <w:rFonts w:hint="eastAsia" w:eastAsiaTheme="minorEastAsia"/>
          <w:color w:val="auto"/>
          <w:lang w:eastAsia="zh-CN"/>
        </w:rPr>
        <w:t>381.4</w:t>
      </w:r>
      <w:r>
        <w:rPr>
          <w:rFonts w:eastAsiaTheme="minorEastAsia"/>
          <w:color w:val="auto"/>
        </w:rPr>
        <w:t>t/a，因此产生的粉尘的量为0.</w:t>
      </w:r>
      <w:r>
        <w:rPr>
          <w:rFonts w:hint="eastAsia" w:eastAsiaTheme="minorEastAsia"/>
          <w:color w:val="auto"/>
          <w:lang w:val="en-US" w:eastAsia="zh-CN"/>
        </w:rPr>
        <w:t>08</w:t>
      </w:r>
      <w:r>
        <w:rPr>
          <w:rFonts w:eastAsiaTheme="minorEastAsia"/>
          <w:color w:val="auto"/>
        </w:rPr>
        <w:t>t/a。企业采取封闭石粉仓，可使起尘量降低80%，粉尘排放量0.0</w:t>
      </w:r>
      <w:r>
        <w:rPr>
          <w:rFonts w:hint="eastAsia" w:eastAsiaTheme="minorEastAsia"/>
          <w:color w:val="auto"/>
          <w:lang w:val="en-US" w:eastAsia="zh-CN"/>
        </w:rPr>
        <w:t>2</w:t>
      </w:r>
      <w:r>
        <w:rPr>
          <w:rFonts w:eastAsiaTheme="minorEastAsia"/>
          <w:color w:val="auto"/>
        </w:rPr>
        <w:t>t/a。</w:t>
      </w:r>
    </w:p>
    <w:p>
      <w:pPr>
        <w:pStyle w:val="276"/>
        <w:jc w:val="center"/>
        <w:rPr>
          <w:rFonts w:eastAsiaTheme="minorEastAsia"/>
          <w:color w:val="auto"/>
        </w:rPr>
      </w:pPr>
      <w:r>
        <w:rPr>
          <w:rFonts w:hint="eastAsia" w:eastAsiaTheme="minorEastAsia"/>
          <w:b/>
          <w:bCs/>
          <w:color w:val="auto"/>
          <w:lang w:val="en-US" w:eastAsia="zh-CN"/>
        </w:rPr>
        <w:t>表3-3-4 大气污染物无组织排放量核算表</w:t>
      </w:r>
    </w:p>
    <w:tbl>
      <w:tblPr>
        <w:tblStyle w:val="53"/>
        <w:tblW w:w="8356" w:type="dxa"/>
        <w:tblInd w:w="-7"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fixed"/>
        <w:tblCellMar>
          <w:top w:w="15" w:type="dxa"/>
          <w:left w:w="15" w:type="dxa"/>
          <w:bottom w:w="15" w:type="dxa"/>
          <w:right w:w="15" w:type="dxa"/>
        </w:tblCellMar>
      </w:tblPr>
      <w:tblGrid>
        <w:gridCol w:w="664"/>
        <w:gridCol w:w="662"/>
        <w:gridCol w:w="1254"/>
        <w:gridCol w:w="1099"/>
        <w:gridCol w:w="1330"/>
        <w:gridCol w:w="1177"/>
        <w:gridCol w:w="1192"/>
        <w:gridCol w:w="978"/>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fixed"/>
          <w:tblCellMar>
            <w:top w:w="15" w:type="dxa"/>
            <w:left w:w="15" w:type="dxa"/>
            <w:bottom w:w="15" w:type="dxa"/>
            <w:right w:w="15" w:type="dxa"/>
          </w:tblCellMar>
        </w:tblPrEx>
        <w:trPr>
          <w:trHeight w:val="450" w:hRule="atLeast"/>
        </w:trPr>
        <w:tc>
          <w:tcPr>
            <w:tcW w:w="664" w:type="dxa"/>
            <w:vMerge w:val="restart"/>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序号</w:t>
            </w:r>
          </w:p>
        </w:tc>
        <w:tc>
          <w:tcPr>
            <w:tcW w:w="662" w:type="dxa"/>
            <w:vMerge w:val="restart"/>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排放口编号</w:t>
            </w:r>
          </w:p>
        </w:tc>
        <w:tc>
          <w:tcPr>
            <w:tcW w:w="1254" w:type="dxa"/>
            <w:vMerge w:val="restart"/>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产污环节</w:t>
            </w:r>
          </w:p>
        </w:tc>
        <w:tc>
          <w:tcPr>
            <w:tcW w:w="1099" w:type="dxa"/>
            <w:vMerge w:val="restart"/>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污染物</w:t>
            </w:r>
          </w:p>
        </w:tc>
        <w:tc>
          <w:tcPr>
            <w:tcW w:w="1330" w:type="dxa"/>
            <w:vMerge w:val="restart"/>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主要污染防治措施</w:t>
            </w:r>
          </w:p>
        </w:tc>
        <w:tc>
          <w:tcPr>
            <w:tcW w:w="2369" w:type="dxa"/>
            <w:gridSpan w:val="2"/>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国家或地方污染物排放标准</w:t>
            </w:r>
          </w:p>
        </w:tc>
        <w:tc>
          <w:tcPr>
            <w:tcW w:w="978" w:type="dxa"/>
            <w:vMerge w:val="restart"/>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年排放量</w:t>
            </w:r>
            <w:r>
              <w:rPr>
                <w:rFonts w:hint="default" w:ascii="Times New Roman" w:hAnsi="Times New Roman" w:eastAsiaTheme="minorEastAsia"/>
                <w:color w:val="auto"/>
                <w:sz w:val="21"/>
                <w:szCs w:val="21"/>
                <w:lang w:val="en-US" w:eastAsia="zh-CN"/>
              </w:rPr>
              <w:t>/</w:t>
            </w:r>
            <w:r>
              <w:rPr>
                <w:rFonts w:hint="eastAsia" w:ascii="Times New Roman" w:hAnsi="Times New Roman" w:eastAsiaTheme="minorEastAsia"/>
                <w:color w:val="auto"/>
                <w:sz w:val="21"/>
                <w:szCs w:val="21"/>
                <w:lang w:val="en-US" w:eastAsia="zh-CN"/>
              </w:rPr>
              <w:t>（</w:t>
            </w:r>
            <w:r>
              <w:rPr>
                <w:rFonts w:hint="default" w:ascii="Times New Roman" w:hAnsi="Times New Roman" w:eastAsiaTheme="minorEastAsia"/>
                <w:color w:val="auto"/>
                <w:sz w:val="21"/>
                <w:szCs w:val="21"/>
                <w:lang w:val="en-US" w:eastAsia="zh-CN"/>
              </w:rPr>
              <w:t>t/a</w:t>
            </w:r>
            <w:r>
              <w:rPr>
                <w:rFonts w:hint="eastAsia" w:ascii="Times New Roman" w:hAnsi="Times New Roman" w:eastAsiaTheme="minorEastAsia"/>
                <w:color w:val="auto"/>
                <w:sz w:val="21"/>
                <w:szCs w:val="21"/>
                <w:lang w:val="en-US"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trPr>
        <w:tc>
          <w:tcPr>
            <w:tcW w:w="664" w:type="dxa"/>
            <w:vMerge w:val="continue"/>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p>
        </w:tc>
        <w:tc>
          <w:tcPr>
            <w:tcW w:w="662" w:type="dxa"/>
            <w:vMerge w:val="continue"/>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p>
        </w:tc>
        <w:tc>
          <w:tcPr>
            <w:tcW w:w="1254" w:type="dxa"/>
            <w:vMerge w:val="continue"/>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p>
        </w:tc>
        <w:tc>
          <w:tcPr>
            <w:tcW w:w="1099" w:type="dxa"/>
            <w:vMerge w:val="continue"/>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p>
        </w:tc>
        <w:tc>
          <w:tcPr>
            <w:tcW w:w="1330" w:type="dxa"/>
            <w:vMerge w:val="continue"/>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p>
        </w:tc>
        <w:tc>
          <w:tcPr>
            <w:tcW w:w="1177" w:type="dxa"/>
            <w:vMerge w:val="restart"/>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标准名称</w:t>
            </w:r>
          </w:p>
        </w:tc>
        <w:tc>
          <w:tcPr>
            <w:tcW w:w="1192" w:type="dxa"/>
            <w:vMerge w:val="restart"/>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浓度限值</w:t>
            </w:r>
            <w:r>
              <w:rPr>
                <w:rFonts w:hint="default" w:ascii="Times New Roman" w:hAnsi="Times New Roman" w:eastAsiaTheme="minorEastAsia"/>
                <w:color w:val="auto"/>
                <w:sz w:val="21"/>
                <w:szCs w:val="21"/>
                <w:lang w:val="en-US" w:eastAsia="zh-CN"/>
              </w:rPr>
              <w:t>/</w:t>
            </w:r>
            <w:r>
              <w:rPr>
                <w:rFonts w:hint="eastAsia" w:ascii="Times New Roman" w:hAnsi="Times New Roman" w:eastAsiaTheme="minorEastAsia"/>
                <w:color w:val="auto"/>
                <w:sz w:val="21"/>
                <w:szCs w:val="21"/>
                <w:lang w:val="en-US" w:eastAsia="zh-CN"/>
              </w:rPr>
              <w:t>（</w:t>
            </w:r>
            <w:r>
              <w:rPr>
                <w:rFonts w:hint="default" w:ascii="Times New Roman" w:hAnsi="Times New Roman" w:eastAsiaTheme="minorEastAsia"/>
                <w:color w:val="auto"/>
                <w:sz w:val="21"/>
                <w:szCs w:val="21"/>
                <w:lang w:val="en-US" w:eastAsia="zh-CN"/>
              </w:rPr>
              <w:t>μg/m3</w:t>
            </w:r>
            <w:r>
              <w:rPr>
                <w:rFonts w:hint="eastAsia" w:ascii="Times New Roman" w:hAnsi="Times New Roman" w:eastAsiaTheme="minorEastAsia"/>
                <w:color w:val="auto"/>
                <w:sz w:val="21"/>
                <w:szCs w:val="21"/>
                <w:lang w:val="en-US" w:eastAsia="zh-CN"/>
              </w:rPr>
              <w:t>）</w:t>
            </w:r>
          </w:p>
        </w:tc>
        <w:tc>
          <w:tcPr>
            <w:tcW w:w="978" w:type="dxa"/>
            <w:vMerge w:val="continue"/>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300" w:hRule="atLeast"/>
        </w:trPr>
        <w:tc>
          <w:tcPr>
            <w:tcW w:w="664" w:type="dxa"/>
            <w:vMerge w:val="continue"/>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p>
        </w:tc>
        <w:tc>
          <w:tcPr>
            <w:tcW w:w="662" w:type="dxa"/>
            <w:vMerge w:val="continue"/>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p>
        </w:tc>
        <w:tc>
          <w:tcPr>
            <w:tcW w:w="1254" w:type="dxa"/>
            <w:vMerge w:val="continue"/>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p>
        </w:tc>
        <w:tc>
          <w:tcPr>
            <w:tcW w:w="1099" w:type="dxa"/>
            <w:vMerge w:val="continue"/>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p>
        </w:tc>
        <w:tc>
          <w:tcPr>
            <w:tcW w:w="1330" w:type="dxa"/>
            <w:vMerge w:val="continue"/>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p>
        </w:tc>
        <w:tc>
          <w:tcPr>
            <w:tcW w:w="1177" w:type="dxa"/>
            <w:vMerge w:val="continue"/>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p>
        </w:tc>
        <w:tc>
          <w:tcPr>
            <w:tcW w:w="1192" w:type="dxa"/>
            <w:vMerge w:val="continue"/>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p>
        </w:tc>
        <w:tc>
          <w:tcPr>
            <w:tcW w:w="978" w:type="dxa"/>
            <w:vMerge w:val="continue"/>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301" w:hRule="atLeast"/>
        </w:trPr>
        <w:tc>
          <w:tcPr>
            <w:tcW w:w="664"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1</w:t>
            </w:r>
          </w:p>
        </w:tc>
        <w:tc>
          <w:tcPr>
            <w:tcW w:w="662"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1</w:t>
            </w:r>
          </w:p>
        </w:tc>
        <w:tc>
          <w:tcPr>
            <w:tcW w:w="1254"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凿岩打孔</w:t>
            </w:r>
          </w:p>
        </w:tc>
        <w:tc>
          <w:tcPr>
            <w:tcW w:w="1099"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TSP</w:t>
            </w:r>
          </w:p>
        </w:tc>
        <w:tc>
          <w:tcPr>
            <w:tcW w:w="1330"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临时水管抑尘</w:t>
            </w:r>
          </w:p>
        </w:tc>
        <w:tc>
          <w:tcPr>
            <w:tcW w:w="1177" w:type="dxa"/>
            <w:vMerge w:val="restart"/>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《大气污染物综合排放标准》（GB16297- 1996）</w:t>
            </w:r>
          </w:p>
        </w:tc>
        <w:tc>
          <w:tcPr>
            <w:tcW w:w="1192" w:type="dxa"/>
            <w:vMerge w:val="restart"/>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1000</w:t>
            </w:r>
          </w:p>
        </w:tc>
        <w:tc>
          <w:tcPr>
            <w:tcW w:w="978"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0.04</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301" w:hRule="atLeast"/>
        </w:trPr>
        <w:tc>
          <w:tcPr>
            <w:tcW w:w="664"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2</w:t>
            </w:r>
          </w:p>
        </w:tc>
        <w:tc>
          <w:tcPr>
            <w:tcW w:w="662"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2</w:t>
            </w:r>
          </w:p>
        </w:tc>
        <w:tc>
          <w:tcPr>
            <w:tcW w:w="1254"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爆破</w:t>
            </w:r>
          </w:p>
        </w:tc>
        <w:tc>
          <w:tcPr>
            <w:tcW w:w="1099"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TSP</w:t>
            </w:r>
          </w:p>
        </w:tc>
        <w:tc>
          <w:tcPr>
            <w:tcW w:w="1330"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水封爆破抑尘</w:t>
            </w:r>
          </w:p>
        </w:tc>
        <w:tc>
          <w:tcPr>
            <w:tcW w:w="1177" w:type="dxa"/>
            <w:vMerge w:val="continue"/>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p>
        </w:tc>
        <w:tc>
          <w:tcPr>
            <w:tcW w:w="1192" w:type="dxa"/>
            <w:vMerge w:val="continue"/>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p>
        </w:tc>
        <w:tc>
          <w:tcPr>
            <w:tcW w:w="978"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0.15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301" w:hRule="atLeast"/>
        </w:trPr>
        <w:tc>
          <w:tcPr>
            <w:tcW w:w="664"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3</w:t>
            </w:r>
          </w:p>
        </w:tc>
        <w:tc>
          <w:tcPr>
            <w:tcW w:w="662"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3</w:t>
            </w:r>
          </w:p>
        </w:tc>
        <w:tc>
          <w:tcPr>
            <w:tcW w:w="1254"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集堆、铲装</w:t>
            </w:r>
          </w:p>
        </w:tc>
        <w:tc>
          <w:tcPr>
            <w:tcW w:w="1099"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TSP</w:t>
            </w:r>
          </w:p>
        </w:tc>
        <w:tc>
          <w:tcPr>
            <w:tcW w:w="1330"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洒水抑尘</w:t>
            </w:r>
          </w:p>
        </w:tc>
        <w:tc>
          <w:tcPr>
            <w:tcW w:w="1177" w:type="dxa"/>
            <w:vMerge w:val="continue"/>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p>
        </w:tc>
        <w:tc>
          <w:tcPr>
            <w:tcW w:w="1192" w:type="dxa"/>
            <w:vMerge w:val="continue"/>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p>
        </w:tc>
        <w:tc>
          <w:tcPr>
            <w:tcW w:w="978"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0.05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301" w:hRule="atLeast"/>
        </w:trPr>
        <w:tc>
          <w:tcPr>
            <w:tcW w:w="664"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4</w:t>
            </w:r>
          </w:p>
        </w:tc>
        <w:tc>
          <w:tcPr>
            <w:tcW w:w="662" w:type="dxa"/>
            <w:tcBorders>
              <w:tl2br w:val="nil"/>
              <w:tr2bl w:val="nil"/>
            </w:tcBorders>
            <w:shd w:val="clear" w:color="auto" w:fill="auto"/>
            <w:vAlign w:val="center"/>
          </w:tcPr>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4</w:t>
            </w:r>
          </w:p>
        </w:tc>
        <w:tc>
          <w:tcPr>
            <w:tcW w:w="1254" w:type="dxa"/>
            <w:tcBorders>
              <w:tl2br w:val="nil"/>
              <w:tr2bl w:val="nil"/>
            </w:tcBorders>
            <w:shd w:val="clear" w:color="auto" w:fill="auto"/>
            <w:vAlign w:val="center"/>
          </w:tcPr>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采场及工业场地运输</w:t>
            </w:r>
          </w:p>
        </w:tc>
        <w:tc>
          <w:tcPr>
            <w:tcW w:w="1099" w:type="dxa"/>
            <w:tcBorders>
              <w:tl2br w:val="nil"/>
              <w:tr2bl w:val="nil"/>
            </w:tcBorders>
            <w:shd w:val="clear" w:color="auto" w:fill="auto"/>
            <w:vAlign w:val="center"/>
          </w:tcPr>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TSP</w:t>
            </w:r>
          </w:p>
        </w:tc>
        <w:tc>
          <w:tcPr>
            <w:tcW w:w="1330" w:type="dxa"/>
            <w:tcBorders>
              <w:tl2br w:val="nil"/>
              <w:tr2bl w:val="nil"/>
            </w:tcBorders>
            <w:shd w:val="clear" w:color="auto" w:fill="auto"/>
            <w:vAlign w:val="center"/>
          </w:tcPr>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洒水车向地面洒水抑尘、运输车辆加盖苫布、限速行驶等</w:t>
            </w:r>
          </w:p>
        </w:tc>
        <w:tc>
          <w:tcPr>
            <w:tcW w:w="1177" w:type="dxa"/>
            <w:vMerge w:val="continue"/>
            <w:tcBorders>
              <w:tl2br w:val="nil"/>
              <w:tr2bl w:val="nil"/>
            </w:tcBorders>
            <w:shd w:val="clear" w:color="auto" w:fill="auto"/>
            <w:vAlign w:val="center"/>
          </w:tcPr>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p>
        </w:tc>
        <w:tc>
          <w:tcPr>
            <w:tcW w:w="1192" w:type="dxa"/>
            <w:vMerge w:val="continue"/>
            <w:tcBorders>
              <w:tl2br w:val="nil"/>
              <w:tr2bl w:val="nil"/>
            </w:tcBorders>
            <w:shd w:val="clear" w:color="auto" w:fill="auto"/>
            <w:vAlign w:val="center"/>
          </w:tcPr>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p>
        </w:tc>
        <w:tc>
          <w:tcPr>
            <w:tcW w:w="978" w:type="dxa"/>
            <w:tcBorders>
              <w:tl2br w:val="nil"/>
              <w:tr2bl w:val="nil"/>
            </w:tcBorders>
            <w:shd w:val="clear" w:color="auto" w:fill="auto"/>
            <w:vAlign w:val="center"/>
          </w:tcPr>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0.10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301" w:hRule="atLeast"/>
        </w:trPr>
        <w:tc>
          <w:tcPr>
            <w:tcW w:w="664"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5</w:t>
            </w:r>
          </w:p>
        </w:tc>
        <w:tc>
          <w:tcPr>
            <w:tcW w:w="662" w:type="dxa"/>
            <w:tcBorders>
              <w:tl2br w:val="nil"/>
              <w:tr2bl w:val="nil"/>
            </w:tcBorders>
            <w:shd w:val="clear" w:color="auto" w:fill="auto"/>
            <w:vAlign w:val="center"/>
          </w:tcPr>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5</w:t>
            </w:r>
          </w:p>
        </w:tc>
        <w:tc>
          <w:tcPr>
            <w:tcW w:w="1254" w:type="dxa"/>
            <w:tcBorders>
              <w:tl2br w:val="nil"/>
              <w:tr2bl w:val="nil"/>
            </w:tcBorders>
            <w:shd w:val="clear" w:color="auto" w:fill="auto"/>
            <w:vAlign w:val="center"/>
          </w:tcPr>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临时堆土场</w:t>
            </w:r>
          </w:p>
        </w:tc>
        <w:tc>
          <w:tcPr>
            <w:tcW w:w="1099" w:type="dxa"/>
            <w:tcBorders>
              <w:tl2br w:val="nil"/>
              <w:tr2bl w:val="nil"/>
            </w:tcBorders>
            <w:shd w:val="clear" w:color="auto" w:fill="auto"/>
            <w:vAlign w:val="center"/>
          </w:tcPr>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TSP</w:t>
            </w:r>
          </w:p>
        </w:tc>
        <w:tc>
          <w:tcPr>
            <w:tcW w:w="1330" w:type="dxa"/>
            <w:tcBorders>
              <w:tl2br w:val="nil"/>
              <w:tr2bl w:val="nil"/>
            </w:tcBorders>
            <w:shd w:val="clear" w:color="auto" w:fill="auto"/>
            <w:vAlign w:val="center"/>
          </w:tcPr>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临时堆土场周围设置喷淋装置洒水抑尘</w:t>
            </w:r>
          </w:p>
        </w:tc>
        <w:tc>
          <w:tcPr>
            <w:tcW w:w="1177" w:type="dxa"/>
            <w:vMerge w:val="continue"/>
            <w:tcBorders>
              <w:tl2br w:val="nil"/>
              <w:tr2bl w:val="nil"/>
            </w:tcBorders>
            <w:shd w:val="clear" w:color="auto" w:fill="auto"/>
            <w:vAlign w:val="center"/>
          </w:tcPr>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p>
        </w:tc>
        <w:tc>
          <w:tcPr>
            <w:tcW w:w="1192" w:type="dxa"/>
            <w:vMerge w:val="continue"/>
            <w:tcBorders>
              <w:tl2br w:val="nil"/>
              <w:tr2bl w:val="nil"/>
            </w:tcBorders>
            <w:shd w:val="clear" w:color="auto" w:fill="auto"/>
            <w:vAlign w:val="center"/>
          </w:tcPr>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p>
        </w:tc>
        <w:tc>
          <w:tcPr>
            <w:tcW w:w="978"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0.001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301" w:hRule="atLeast"/>
        </w:trPr>
        <w:tc>
          <w:tcPr>
            <w:tcW w:w="664"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6</w:t>
            </w:r>
          </w:p>
        </w:tc>
        <w:tc>
          <w:tcPr>
            <w:tcW w:w="662" w:type="dxa"/>
            <w:tcBorders>
              <w:tl2br w:val="nil"/>
              <w:tr2bl w:val="nil"/>
            </w:tcBorders>
            <w:shd w:val="clear" w:color="auto" w:fill="auto"/>
            <w:vAlign w:val="center"/>
          </w:tcPr>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6</w:t>
            </w:r>
          </w:p>
        </w:tc>
        <w:tc>
          <w:tcPr>
            <w:tcW w:w="1254" w:type="dxa"/>
            <w:tcBorders>
              <w:tl2br w:val="nil"/>
              <w:tr2bl w:val="nil"/>
            </w:tcBorders>
            <w:shd w:val="clear" w:color="auto" w:fill="auto"/>
            <w:vAlign w:val="center"/>
          </w:tcPr>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原矿堆场</w:t>
            </w:r>
          </w:p>
        </w:tc>
        <w:tc>
          <w:tcPr>
            <w:tcW w:w="1099" w:type="dxa"/>
            <w:tcBorders>
              <w:tl2br w:val="nil"/>
              <w:tr2bl w:val="nil"/>
            </w:tcBorders>
            <w:shd w:val="clear" w:color="auto" w:fill="auto"/>
            <w:vAlign w:val="center"/>
          </w:tcPr>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TSP</w:t>
            </w:r>
          </w:p>
        </w:tc>
        <w:tc>
          <w:tcPr>
            <w:tcW w:w="1330" w:type="dxa"/>
            <w:tcBorders>
              <w:tl2br w:val="nil"/>
              <w:tr2bl w:val="nil"/>
            </w:tcBorders>
            <w:shd w:val="clear" w:color="auto" w:fill="auto"/>
            <w:vAlign w:val="center"/>
          </w:tcPr>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洒水抑尘</w:t>
            </w:r>
          </w:p>
        </w:tc>
        <w:tc>
          <w:tcPr>
            <w:tcW w:w="1177" w:type="dxa"/>
            <w:vMerge w:val="continue"/>
            <w:tcBorders>
              <w:tl2br w:val="nil"/>
              <w:tr2bl w:val="nil"/>
            </w:tcBorders>
            <w:shd w:val="clear" w:color="auto" w:fill="auto"/>
            <w:vAlign w:val="center"/>
          </w:tcPr>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p>
        </w:tc>
        <w:tc>
          <w:tcPr>
            <w:tcW w:w="1192" w:type="dxa"/>
            <w:vMerge w:val="continue"/>
            <w:tcBorders>
              <w:tl2br w:val="nil"/>
              <w:tr2bl w:val="nil"/>
            </w:tcBorders>
            <w:shd w:val="clear" w:color="auto" w:fill="auto"/>
            <w:vAlign w:val="center"/>
          </w:tcPr>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p>
        </w:tc>
        <w:tc>
          <w:tcPr>
            <w:tcW w:w="978"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0.01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301" w:hRule="atLeast"/>
        </w:trPr>
        <w:tc>
          <w:tcPr>
            <w:tcW w:w="664"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7</w:t>
            </w:r>
          </w:p>
        </w:tc>
        <w:tc>
          <w:tcPr>
            <w:tcW w:w="662" w:type="dxa"/>
            <w:tcBorders>
              <w:tl2br w:val="nil"/>
              <w:tr2bl w:val="nil"/>
            </w:tcBorders>
            <w:shd w:val="clear" w:color="auto" w:fill="auto"/>
            <w:vAlign w:val="center"/>
          </w:tcPr>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7</w:t>
            </w:r>
          </w:p>
        </w:tc>
        <w:tc>
          <w:tcPr>
            <w:tcW w:w="1254" w:type="dxa"/>
            <w:tcBorders>
              <w:tl2br w:val="nil"/>
              <w:tr2bl w:val="nil"/>
            </w:tcBorders>
            <w:shd w:val="clear" w:color="auto" w:fill="auto"/>
            <w:vAlign w:val="center"/>
          </w:tcPr>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成品料场</w:t>
            </w:r>
          </w:p>
        </w:tc>
        <w:tc>
          <w:tcPr>
            <w:tcW w:w="1099" w:type="dxa"/>
            <w:tcBorders>
              <w:tl2br w:val="nil"/>
              <w:tr2bl w:val="nil"/>
            </w:tcBorders>
            <w:shd w:val="clear" w:color="auto" w:fill="auto"/>
            <w:vAlign w:val="center"/>
          </w:tcPr>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TSP</w:t>
            </w:r>
          </w:p>
        </w:tc>
        <w:tc>
          <w:tcPr>
            <w:tcW w:w="1330" w:type="dxa"/>
            <w:tcBorders>
              <w:tl2br w:val="nil"/>
              <w:tr2bl w:val="nil"/>
            </w:tcBorders>
            <w:shd w:val="clear" w:color="auto" w:fill="auto"/>
            <w:vAlign w:val="center"/>
          </w:tcPr>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洒水抑尘</w:t>
            </w:r>
          </w:p>
        </w:tc>
        <w:tc>
          <w:tcPr>
            <w:tcW w:w="1177" w:type="dxa"/>
            <w:vMerge w:val="continue"/>
            <w:tcBorders>
              <w:tl2br w:val="nil"/>
              <w:tr2bl w:val="nil"/>
            </w:tcBorders>
            <w:shd w:val="clear" w:color="auto" w:fill="auto"/>
            <w:vAlign w:val="center"/>
          </w:tcPr>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p>
        </w:tc>
        <w:tc>
          <w:tcPr>
            <w:tcW w:w="1192" w:type="dxa"/>
            <w:vMerge w:val="continue"/>
            <w:tcBorders>
              <w:tl2br w:val="nil"/>
              <w:tr2bl w:val="nil"/>
            </w:tcBorders>
            <w:shd w:val="clear" w:color="auto" w:fill="auto"/>
            <w:vAlign w:val="center"/>
          </w:tcPr>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p>
        </w:tc>
        <w:tc>
          <w:tcPr>
            <w:tcW w:w="978"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0.02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301" w:hRule="atLeast"/>
        </w:trPr>
        <w:tc>
          <w:tcPr>
            <w:tcW w:w="664"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8</w:t>
            </w:r>
          </w:p>
        </w:tc>
        <w:tc>
          <w:tcPr>
            <w:tcW w:w="662" w:type="dxa"/>
            <w:tcBorders>
              <w:tl2br w:val="nil"/>
              <w:tr2bl w:val="nil"/>
            </w:tcBorders>
            <w:shd w:val="clear" w:color="auto" w:fill="auto"/>
            <w:vAlign w:val="center"/>
          </w:tcPr>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8</w:t>
            </w:r>
          </w:p>
        </w:tc>
        <w:tc>
          <w:tcPr>
            <w:tcW w:w="1254" w:type="dxa"/>
            <w:tcBorders>
              <w:tl2br w:val="nil"/>
              <w:tr2bl w:val="nil"/>
            </w:tcBorders>
            <w:shd w:val="clear" w:color="auto" w:fill="auto"/>
            <w:vAlign w:val="center"/>
          </w:tcPr>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石粉仓</w:t>
            </w:r>
          </w:p>
        </w:tc>
        <w:tc>
          <w:tcPr>
            <w:tcW w:w="1099" w:type="dxa"/>
            <w:tcBorders>
              <w:tl2br w:val="nil"/>
              <w:tr2bl w:val="nil"/>
            </w:tcBorders>
            <w:shd w:val="clear" w:color="auto" w:fill="auto"/>
            <w:vAlign w:val="center"/>
          </w:tcPr>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TSP</w:t>
            </w:r>
          </w:p>
        </w:tc>
        <w:tc>
          <w:tcPr>
            <w:tcW w:w="1330" w:type="dxa"/>
            <w:tcBorders>
              <w:tl2br w:val="nil"/>
              <w:tr2bl w:val="nil"/>
            </w:tcBorders>
            <w:shd w:val="clear" w:color="auto" w:fill="auto"/>
            <w:vAlign w:val="center"/>
          </w:tcPr>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封闭石粉仓</w:t>
            </w:r>
          </w:p>
        </w:tc>
        <w:tc>
          <w:tcPr>
            <w:tcW w:w="1177" w:type="dxa"/>
            <w:vMerge w:val="continue"/>
            <w:tcBorders>
              <w:tl2br w:val="nil"/>
              <w:tr2bl w:val="nil"/>
            </w:tcBorders>
            <w:shd w:val="clear" w:color="auto" w:fill="auto"/>
            <w:vAlign w:val="center"/>
          </w:tcPr>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p>
        </w:tc>
        <w:tc>
          <w:tcPr>
            <w:tcW w:w="1192" w:type="dxa"/>
            <w:vMerge w:val="continue"/>
            <w:tcBorders>
              <w:tl2br w:val="nil"/>
              <w:tr2bl w:val="nil"/>
            </w:tcBorders>
            <w:shd w:val="clear" w:color="auto" w:fill="auto"/>
            <w:vAlign w:val="center"/>
          </w:tcPr>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p>
        </w:tc>
        <w:tc>
          <w:tcPr>
            <w:tcW w:w="978"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0.02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382" w:hRule="atLeast"/>
        </w:trPr>
        <w:tc>
          <w:tcPr>
            <w:tcW w:w="8356" w:type="dxa"/>
            <w:gridSpan w:val="8"/>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无组织排放总计</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301" w:hRule="atLeast"/>
        </w:trPr>
        <w:tc>
          <w:tcPr>
            <w:tcW w:w="3679" w:type="dxa"/>
            <w:gridSpan w:val="4"/>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无组织排放总计</w:t>
            </w:r>
          </w:p>
        </w:tc>
        <w:tc>
          <w:tcPr>
            <w:tcW w:w="2507" w:type="dxa"/>
            <w:gridSpan w:val="2"/>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TSP</w:t>
            </w:r>
          </w:p>
        </w:tc>
        <w:tc>
          <w:tcPr>
            <w:tcW w:w="2170" w:type="dxa"/>
            <w:gridSpan w:val="2"/>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0.61</w:t>
            </w:r>
          </w:p>
        </w:tc>
      </w:tr>
    </w:tbl>
    <w:p>
      <w:pPr>
        <w:pStyle w:val="276"/>
        <w:jc w:val="center"/>
        <w:rPr>
          <w:rFonts w:eastAsiaTheme="minorEastAsia"/>
          <w:color w:val="auto"/>
        </w:rPr>
      </w:pPr>
      <w:r>
        <w:rPr>
          <w:rFonts w:hint="eastAsia" w:eastAsiaTheme="minorEastAsia"/>
          <w:b/>
          <w:bCs/>
          <w:color w:val="auto"/>
          <w:lang w:val="en-US" w:eastAsia="zh-CN"/>
        </w:rPr>
        <w:t>表3-3-4 大气污染物年排放量核算表</w:t>
      </w:r>
    </w:p>
    <w:tbl>
      <w:tblPr>
        <w:tblStyle w:val="53"/>
        <w:tblW w:w="8356" w:type="dxa"/>
        <w:tblInd w:w="-7"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fixed"/>
        <w:tblCellMar>
          <w:top w:w="15" w:type="dxa"/>
          <w:left w:w="15" w:type="dxa"/>
          <w:bottom w:w="15" w:type="dxa"/>
          <w:right w:w="15" w:type="dxa"/>
        </w:tblCellMar>
      </w:tblPr>
      <w:tblGrid>
        <w:gridCol w:w="1551"/>
        <w:gridCol w:w="3510"/>
        <w:gridCol w:w="3295"/>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fixed"/>
          <w:tblCellMar>
            <w:top w:w="15" w:type="dxa"/>
            <w:left w:w="15" w:type="dxa"/>
            <w:bottom w:w="15" w:type="dxa"/>
            <w:right w:w="15" w:type="dxa"/>
          </w:tblCellMar>
        </w:tblPrEx>
        <w:trPr>
          <w:trHeight w:val="374" w:hRule="atLeast"/>
        </w:trPr>
        <w:tc>
          <w:tcPr>
            <w:tcW w:w="1551"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序号</w:t>
            </w:r>
          </w:p>
        </w:tc>
        <w:tc>
          <w:tcPr>
            <w:tcW w:w="3510"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污染物</w:t>
            </w:r>
          </w:p>
        </w:tc>
        <w:tc>
          <w:tcPr>
            <w:tcW w:w="3295"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年排放量（</w:t>
            </w:r>
            <w:r>
              <w:rPr>
                <w:rFonts w:hint="default" w:ascii="Times New Roman" w:hAnsi="Times New Roman" w:eastAsiaTheme="minorEastAsia"/>
                <w:color w:val="auto"/>
                <w:sz w:val="21"/>
                <w:szCs w:val="21"/>
                <w:lang w:val="en-US" w:eastAsia="zh-CN"/>
              </w:rPr>
              <w:t>t/a</w:t>
            </w:r>
            <w:r>
              <w:rPr>
                <w:rFonts w:hint="eastAsia" w:ascii="Times New Roman" w:hAnsi="Times New Roman" w:eastAsiaTheme="minorEastAsia"/>
                <w:color w:val="auto"/>
                <w:sz w:val="21"/>
                <w:szCs w:val="21"/>
                <w:lang w:val="en-US"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301" w:hRule="atLeast"/>
        </w:trPr>
        <w:tc>
          <w:tcPr>
            <w:tcW w:w="1551" w:type="dxa"/>
            <w:tcBorders>
              <w:tl2br w:val="nil"/>
              <w:tr2bl w:val="nil"/>
            </w:tcBorders>
            <w:shd w:val="clear" w:color="auto" w:fill="auto"/>
            <w:vAlign w:val="center"/>
          </w:tcPr>
          <w:p>
            <w:pPr>
              <w:jc w:val="center"/>
              <w:rPr>
                <w:rFonts w:hint="eastAsia" w:ascii="Times New Roman" w:hAnsi="Times New Roman" w:eastAsia="宋体" w:cs="Times New Roman"/>
                <w:i w:val="0"/>
                <w:color w:val="auto"/>
                <w:sz w:val="21"/>
                <w:szCs w:val="21"/>
                <w:u w:val="none"/>
                <w:lang w:val="en-US" w:eastAsia="zh-CN"/>
              </w:rPr>
            </w:pPr>
            <w:r>
              <w:rPr>
                <w:rFonts w:hint="eastAsia" w:ascii="Times New Roman" w:hAnsi="Times New Roman" w:eastAsia="宋体" w:cs="Times New Roman"/>
                <w:i w:val="0"/>
                <w:color w:val="auto"/>
                <w:sz w:val="21"/>
                <w:szCs w:val="21"/>
                <w:u w:val="none"/>
                <w:lang w:val="en-US" w:eastAsia="zh-CN"/>
              </w:rPr>
              <w:t>1</w:t>
            </w:r>
          </w:p>
        </w:tc>
        <w:tc>
          <w:tcPr>
            <w:tcW w:w="3510" w:type="dxa"/>
            <w:tcBorders>
              <w:tl2br w:val="nil"/>
              <w:tr2bl w:val="nil"/>
            </w:tcBorders>
            <w:shd w:val="clear" w:color="auto" w:fill="auto"/>
            <w:vAlign w:val="center"/>
          </w:tcPr>
          <w:p>
            <w:pPr>
              <w:pStyle w:val="276"/>
              <w:spacing w:line="280" w:lineRule="exact"/>
              <w:ind w:firstLine="0" w:firstLineChars="0"/>
              <w:jc w:val="center"/>
              <w:rPr>
                <w:rFonts w:hint="default" w:ascii="Times New Roman" w:hAnsi="Times New Roman" w:eastAsia="宋体" w:cs="Times New Roman"/>
                <w:i w:val="0"/>
                <w:color w:val="auto"/>
                <w:sz w:val="21"/>
                <w:szCs w:val="21"/>
                <w:u w:val="none"/>
              </w:rPr>
            </w:pPr>
            <w:r>
              <w:rPr>
                <w:rFonts w:hint="eastAsia" w:ascii="Times New Roman" w:hAnsi="Times New Roman" w:eastAsiaTheme="minorEastAsia"/>
                <w:color w:val="auto"/>
                <w:sz w:val="21"/>
                <w:szCs w:val="21"/>
                <w:lang w:val="en-US" w:eastAsia="zh-CN"/>
              </w:rPr>
              <w:t>PM</w:t>
            </w:r>
            <w:r>
              <w:rPr>
                <w:rFonts w:hint="eastAsia" w:ascii="Times New Roman" w:hAnsi="Times New Roman" w:eastAsiaTheme="minorEastAsia"/>
                <w:color w:val="auto"/>
                <w:sz w:val="21"/>
                <w:szCs w:val="21"/>
                <w:vertAlign w:val="subscript"/>
                <w:lang w:val="en-US" w:eastAsia="zh-CN"/>
              </w:rPr>
              <w:t>10</w:t>
            </w:r>
          </w:p>
        </w:tc>
        <w:tc>
          <w:tcPr>
            <w:tcW w:w="3295" w:type="dxa"/>
            <w:tcBorders>
              <w:tl2br w:val="nil"/>
              <w:tr2bl w:val="nil"/>
            </w:tcBorders>
            <w:shd w:val="clear" w:color="auto" w:fill="auto"/>
            <w:vAlign w:val="center"/>
          </w:tcPr>
          <w:p>
            <w:pPr>
              <w:pStyle w:val="276"/>
              <w:spacing w:line="280" w:lineRule="exact"/>
              <w:ind w:firstLine="0" w:firstLineChars="0"/>
              <w:jc w:val="center"/>
              <w:rPr>
                <w:rFonts w:hint="default" w:ascii="Times New Roman" w:hAnsi="Times New Roman" w:eastAsia="宋体" w:cs="Times New Roman"/>
                <w:i w:val="0"/>
                <w:color w:val="auto"/>
                <w:sz w:val="21"/>
                <w:szCs w:val="21"/>
                <w:u w:val="none"/>
              </w:rPr>
            </w:pPr>
            <w:r>
              <w:rPr>
                <w:rFonts w:hint="eastAsia" w:ascii="Times New Roman" w:hAnsi="Times New Roman" w:eastAsiaTheme="minorEastAsia"/>
                <w:color w:val="auto"/>
                <w:sz w:val="21"/>
                <w:szCs w:val="21"/>
                <w:lang w:val="en-US" w:eastAsia="zh-CN"/>
              </w:rPr>
              <w:t>0.143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301" w:hRule="atLeast"/>
        </w:trPr>
        <w:tc>
          <w:tcPr>
            <w:tcW w:w="1551" w:type="dxa"/>
            <w:tcBorders>
              <w:tl2br w:val="nil"/>
              <w:tr2bl w:val="nil"/>
            </w:tcBorders>
            <w:shd w:val="clear" w:color="auto" w:fill="auto"/>
            <w:vAlign w:val="center"/>
          </w:tcPr>
          <w:p>
            <w:pPr>
              <w:jc w:val="center"/>
              <w:rPr>
                <w:rFonts w:hint="eastAsia" w:ascii="Times New Roman" w:hAnsi="Times New Roman" w:eastAsia="宋体" w:cs="Times New Roman"/>
                <w:i w:val="0"/>
                <w:color w:val="auto"/>
                <w:sz w:val="21"/>
                <w:szCs w:val="21"/>
                <w:u w:val="none"/>
                <w:lang w:val="en-US" w:eastAsia="zh-CN"/>
              </w:rPr>
            </w:pPr>
            <w:r>
              <w:rPr>
                <w:rFonts w:hint="eastAsia" w:ascii="Times New Roman" w:hAnsi="Times New Roman" w:eastAsia="宋体" w:cs="Times New Roman"/>
                <w:i w:val="0"/>
                <w:color w:val="auto"/>
                <w:sz w:val="21"/>
                <w:szCs w:val="21"/>
                <w:u w:val="none"/>
                <w:lang w:val="en-US" w:eastAsia="zh-CN"/>
              </w:rPr>
              <w:t>2</w:t>
            </w:r>
          </w:p>
        </w:tc>
        <w:tc>
          <w:tcPr>
            <w:tcW w:w="3510" w:type="dxa"/>
            <w:tcBorders>
              <w:tl2br w:val="nil"/>
              <w:tr2bl w:val="nil"/>
            </w:tcBorders>
            <w:shd w:val="clear" w:color="auto" w:fill="auto"/>
            <w:vAlign w:val="center"/>
          </w:tcPr>
          <w:p>
            <w:pPr>
              <w:jc w:val="center"/>
              <w:rPr>
                <w:rFonts w:hint="default" w:ascii="Times New Roman" w:hAnsi="Times New Roman" w:eastAsia="宋体" w:cs="Times New Roman"/>
                <w:i w:val="0"/>
                <w:color w:val="auto"/>
                <w:sz w:val="21"/>
                <w:szCs w:val="21"/>
                <w:u w:val="none"/>
              </w:rPr>
            </w:pPr>
            <w:r>
              <w:rPr>
                <w:rFonts w:hint="eastAsia" w:ascii="Times New Roman" w:hAnsi="Times New Roman" w:eastAsiaTheme="minorEastAsia"/>
                <w:color w:val="auto"/>
                <w:sz w:val="21"/>
                <w:szCs w:val="21"/>
                <w:lang w:val="en-US" w:eastAsia="zh-CN"/>
              </w:rPr>
              <w:t>TSP</w:t>
            </w:r>
          </w:p>
        </w:tc>
        <w:tc>
          <w:tcPr>
            <w:tcW w:w="3295" w:type="dxa"/>
            <w:tcBorders>
              <w:tl2br w:val="nil"/>
              <w:tr2bl w:val="nil"/>
            </w:tcBorders>
            <w:shd w:val="clear" w:color="auto" w:fill="auto"/>
            <w:vAlign w:val="center"/>
          </w:tcPr>
          <w:p>
            <w:pPr>
              <w:jc w:val="center"/>
              <w:rPr>
                <w:rFonts w:hint="default" w:ascii="Times New Roman" w:hAnsi="Times New Roman" w:eastAsia="宋体" w:cs="Times New Roman"/>
                <w:i w:val="0"/>
                <w:color w:val="auto"/>
                <w:sz w:val="21"/>
                <w:szCs w:val="21"/>
                <w:u w:val="none"/>
              </w:rPr>
            </w:pPr>
            <w:r>
              <w:rPr>
                <w:rFonts w:hint="eastAsia" w:ascii="Times New Roman" w:hAnsi="Times New Roman" w:eastAsiaTheme="minorEastAsia"/>
                <w:color w:val="auto"/>
                <w:sz w:val="21"/>
                <w:szCs w:val="21"/>
                <w:lang w:val="en-US" w:eastAsia="zh-CN"/>
              </w:rPr>
              <w:t>0.61</w:t>
            </w:r>
          </w:p>
        </w:tc>
      </w:tr>
    </w:tbl>
    <w:p>
      <w:pPr>
        <w:pStyle w:val="276"/>
        <w:jc w:val="both"/>
        <w:rPr>
          <w:rFonts w:eastAsiaTheme="minorEastAsia"/>
          <w:color w:val="auto"/>
        </w:rPr>
      </w:pPr>
      <w:r>
        <w:rPr>
          <w:rFonts w:eastAsiaTheme="minorEastAsia"/>
          <w:color w:val="auto"/>
        </w:rPr>
        <w:t xml:space="preserve"> （2）非正常工况 </w:t>
      </w:r>
    </w:p>
    <w:p>
      <w:pPr>
        <w:pStyle w:val="276"/>
        <w:jc w:val="both"/>
        <w:rPr>
          <w:rFonts w:hint="eastAsia" w:eastAsiaTheme="minorEastAsia"/>
          <w:color w:val="auto"/>
          <w:lang w:eastAsia="zh-CN"/>
        </w:rPr>
      </w:pPr>
      <w:r>
        <w:rPr>
          <w:rFonts w:eastAsiaTheme="minorEastAsia"/>
          <w:color w:val="auto"/>
        </w:rPr>
        <w:t>本项目废气主要来自为破碎筛分过程产生的颗粒物，废气处理装置可能发生最不利的非正常工况是布袋除尘器发生故障</w:t>
      </w:r>
      <w:r>
        <w:rPr>
          <w:rFonts w:hint="eastAsia" w:eastAsiaTheme="minorEastAsia"/>
          <w:color w:val="auto"/>
          <w:lang w:eastAsia="zh-CN"/>
        </w:rPr>
        <w:t>，</w:t>
      </w:r>
      <w:r>
        <w:rPr>
          <w:rFonts w:eastAsiaTheme="minorEastAsia"/>
          <w:color w:val="auto"/>
        </w:rPr>
        <w:t xml:space="preserve">污染物除尘效率为0%。 </w:t>
      </w:r>
      <w:r>
        <w:rPr>
          <w:rFonts w:hint="eastAsia" w:eastAsiaTheme="minorEastAsia"/>
          <w:color w:val="auto"/>
          <w:lang w:eastAsia="zh-CN"/>
        </w:rPr>
        <w:t>污染物排放量见下表。</w:t>
      </w:r>
    </w:p>
    <w:p>
      <w:pPr>
        <w:pStyle w:val="276"/>
        <w:jc w:val="center"/>
        <w:rPr>
          <w:rFonts w:eastAsiaTheme="minorEastAsia"/>
          <w:color w:val="auto"/>
        </w:rPr>
      </w:pPr>
      <w:r>
        <w:rPr>
          <w:rFonts w:hint="eastAsia" w:eastAsiaTheme="minorEastAsia"/>
          <w:b/>
          <w:bCs/>
          <w:color w:val="auto"/>
          <w:lang w:val="en-US" w:eastAsia="zh-CN"/>
        </w:rPr>
        <w:t>表x 污染源非正常排放量核算表</w:t>
      </w:r>
    </w:p>
    <w:tbl>
      <w:tblPr>
        <w:tblStyle w:val="53"/>
        <w:tblW w:w="8342" w:type="dxa"/>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fixed"/>
        <w:tblCellMar>
          <w:top w:w="15" w:type="dxa"/>
          <w:left w:w="15" w:type="dxa"/>
          <w:bottom w:w="15" w:type="dxa"/>
          <w:right w:w="15" w:type="dxa"/>
        </w:tblCellMar>
      </w:tblPr>
      <w:tblGrid>
        <w:gridCol w:w="639"/>
        <w:gridCol w:w="991"/>
        <w:gridCol w:w="739"/>
        <w:gridCol w:w="550"/>
        <w:gridCol w:w="917"/>
        <w:gridCol w:w="783"/>
        <w:gridCol w:w="517"/>
        <w:gridCol w:w="500"/>
        <w:gridCol w:w="2706"/>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fixed"/>
          <w:tblCellMar>
            <w:top w:w="15" w:type="dxa"/>
            <w:left w:w="15" w:type="dxa"/>
            <w:bottom w:w="15" w:type="dxa"/>
            <w:right w:w="15" w:type="dxa"/>
          </w:tblCellMar>
        </w:tblPrEx>
        <w:trPr>
          <w:trHeight w:val="886" w:hRule="atLeast"/>
        </w:trPr>
        <w:tc>
          <w:tcPr>
            <w:tcW w:w="639" w:type="dxa"/>
            <w:tcBorders>
              <w:tl2br w:val="nil"/>
              <w:tr2bl w:val="nil"/>
            </w:tcBorders>
            <w:shd w:val="clear" w:color="auto" w:fill="FFFFFF"/>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序号</w:t>
            </w:r>
          </w:p>
        </w:tc>
        <w:tc>
          <w:tcPr>
            <w:tcW w:w="991" w:type="dxa"/>
            <w:tcBorders>
              <w:tl2br w:val="nil"/>
              <w:tr2bl w:val="nil"/>
            </w:tcBorders>
            <w:shd w:val="clear" w:color="auto" w:fill="FFFFFF"/>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排放口编号</w:t>
            </w:r>
          </w:p>
        </w:tc>
        <w:tc>
          <w:tcPr>
            <w:tcW w:w="739" w:type="dxa"/>
            <w:tcBorders>
              <w:tl2br w:val="nil"/>
              <w:tr2bl w:val="nil"/>
            </w:tcBorders>
            <w:shd w:val="clear" w:color="auto" w:fill="FFFFFF"/>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污染源名称</w:t>
            </w:r>
          </w:p>
        </w:tc>
        <w:tc>
          <w:tcPr>
            <w:tcW w:w="550" w:type="dxa"/>
            <w:tcBorders>
              <w:tl2br w:val="nil"/>
              <w:tr2bl w:val="nil"/>
            </w:tcBorders>
            <w:shd w:val="clear" w:color="auto" w:fill="FFFFFF"/>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污染物</w:t>
            </w:r>
          </w:p>
        </w:tc>
        <w:tc>
          <w:tcPr>
            <w:tcW w:w="917" w:type="dxa"/>
            <w:tcBorders>
              <w:tl2br w:val="nil"/>
              <w:tr2bl w:val="nil"/>
            </w:tcBorders>
            <w:shd w:val="clear" w:color="auto" w:fill="FFFFFF"/>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非正常排放浓度</w:t>
            </w:r>
            <w:r>
              <w:rPr>
                <w:rFonts w:hint="default" w:ascii="Times New Roman" w:hAnsi="Times New Roman" w:eastAsiaTheme="minorEastAsia"/>
                <w:color w:val="auto"/>
                <w:sz w:val="21"/>
                <w:szCs w:val="21"/>
                <w:lang w:val="en-US" w:eastAsia="zh-CN"/>
              </w:rPr>
              <w:t>/</w:t>
            </w:r>
          </w:p>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w:t>
            </w:r>
            <w:r>
              <w:rPr>
                <w:rFonts w:hint="default" w:ascii="Times New Roman" w:hAnsi="Times New Roman" w:eastAsiaTheme="minorEastAsia"/>
                <w:color w:val="auto"/>
                <w:sz w:val="21"/>
                <w:szCs w:val="21"/>
                <w:lang w:val="en-US" w:eastAsia="zh-CN"/>
              </w:rPr>
              <w:t>μg/m</w:t>
            </w:r>
            <w:r>
              <w:rPr>
                <w:rFonts w:hint="default" w:ascii="Times New Roman" w:hAnsi="Times New Roman" w:eastAsiaTheme="minorEastAsia"/>
                <w:color w:val="auto"/>
                <w:sz w:val="21"/>
                <w:szCs w:val="21"/>
                <w:vertAlign w:val="superscript"/>
                <w:lang w:val="en-US" w:eastAsia="zh-CN"/>
              </w:rPr>
              <w:t>3</w:t>
            </w:r>
            <w:r>
              <w:rPr>
                <w:rFonts w:hint="eastAsia" w:ascii="Times New Roman" w:hAnsi="Times New Roman" w:eastAsiaTheme="minorEastAsia"/>
                <w:color w:val="auto"/>
                <w:sz w:val="21"/>
                <w:szCs w:val="21"/>
                <w:lang w:val="en-US" w:eastAsia="zh-CN"/>
              </w:rPr>
              <w:t>）</w:t>
            </w:r>
          </w:p>
        </w:tc>
        <w:tc>
          <w:tcPr>
            <w:tcW w:w="783" w:type="dxa"/>
            <w:tcBorders>
              <w:tl2br w:val="nil"/>
              <w:tr2bl w:val="nil"/>
            </w:tcBorders>
            <w:shd w:val="clear" w:color="auto" w:fill="FFFFFF"/>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非正常排放速率</w:t>
            </w:r>
            <w:r>
              <w:rPr>
                <w:rFonts w:hint="default" w:ascii="Times New Roman" w:hAnsi="Times New Roman" w:eastAsiaTheme="minorEastAsia"/>
                <w:color w:val="auto"/>
                <w:sz w:val="21"/>
                <w:szCs w:val="21"/>
                <w:lang w:val="en-US" w:eastAsia="zh-CN"/>
              </w:rPr>
              <w:t>/</w:t>
            </w:r>
          </w:p>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w:t>
            </w:r>
            <w:r>
              <w:rPr>
                <w:rFonts w:hint="default" w:ascii="Times New Roman" w:hAnsi="Times New Roman" w:eastAsiaTheme="minorEastAsia"/>
                <w:color w:val="auto"/>
                <w:sz w:val="21"/>
                <w:szCs w:val="21"/>
                <w:lang w:val="en-US" w:eastAsia="zh-CN"/>
              </w:rPr>
              <w:t>kg/h</w:t>
            </w:r>
            <w:r>
              <w:rPr>
                <w:rFonts w:hint="eastAsia" w:ascii="Times New Roman" w:hAnsi="Times New Roman" w:eastAsiaTheme="minorEastAsia"/>
                <w:color w:val="auto"/>
                <w:sz w:val="21"/>
                <w:szCs w:val="21"/>
                <w:lang w:val="en-US" w:eastAsia="zh-CN"/>
              </w:rPr>
              <w:t>）</w:t>
            </w:r>
          </w:p>
        </w:tc>
        <w:tc>
          <w:tcPr>
            <w:tcW w:w="517" w:type="dxa"/>
            <w:tcBorders>
              <w:tl2br w:val="nil"/>
              <w:tr2bl w:val="nil"/>
            </w:tcBorders>
            <w:shd w:val="clear" w:color="auto" w:fill="FFFFFF"/>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单次持续时间</w:t>
            </w:r>
            <w:r>
              <w:rPr>
                <w:rFonts w:hint="default" w:ascii="Times New Roman" w:hAnsi="Times New Roman" w:eastAsiaTheme="minorEastAsia"/>
                <w:color w:val="auto"/>
                <w:sz w:val="21"/>
                <w:szCs w:val="21"/>
                <w:lang w:val="en-US" w:eastAsia="zh-CN"/>
              </w:rPr>
              <w:t>/</w:t>
            </w:r>
          </w:p>
          <w:p>
            <w:pPr>
              <w:pStyle w:val="276"/>
              <w:spacing w:line="280" w:lineRule="exact"/>
              <w:ind w:firstLine="0" w:firstLineChars="0"/>
              <w:jc w:val="center"/>
              <w:rPr>
                <w:rFonts w:hint="default" w:ascii="Times New Roman" w:hAnsi="Times New Roman" w:eastAsiaTheme="minorEastAsia"/>
                <w:color w:val="auto"/>
                <w:sz w:val="21"/>
                <w:szCs w:val="21"/>
                <w:lang w:val="en-US" w:eastAsia="zh-CN"/>
              </w:rPr>
            </w:pPr>
            <w:r>
              <w:rPr>
                <w:rFonts w:hint="default" w:ascii="Times New Roman" w:hAnsi="Times New Roman" w:eastAsiaTheme="minorEastAsia"/>
                <w:color w:val="auto"/>
                <w:sz w:val="21"/>
                <w:szCs w:val="21"/>
                <w:lang w:val="en-US" w:eastAsia="zh-CN"/>
              </w:rPr>
              <w:t>h</w:t>
            </w:r>
          </w:p>
        </w:tc>
        <w:tc>
          <w:tcPr>
            <w:tcW w:w="500" w:type="dxa"/>
            <w:tcBorders>
              <w:tl2br w:val="nil"/>
              <w:tr2bl w:val="nil"/>
            </w:tcBorders>
            <w:shd w:val="clear" w:color="auto" w:fill="FFFFFF"/>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年发生频次</w:t>
            </w:r>
            <w:r>
              <w:rPr>
                <w:rFonts w:hint="default" w:ascii="Times New Roman" w:hAnsi="Times New Roman" w:eastAsiaTheme="minorEastAsia"/>
                <w:color w:val="auto"/>
                <w:sz w:val="21"/>
                <w:szCs w:val="21"/>
                <w:lang w:val="en-US" w:eastAsia="zh-CN"/>
              </w:rPr>
              <w:t>/</w:t>
            </w:r>
          </w:p>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次</w:t>
            </w:r>
          </w:p>
        </w:tc>
        <w:tc>
          <w:tcPr>
            <w:tcW w:w="2706" w:type="dxa"/>
            <w:tcBorders>
              <w:tl2br w:val="nil"/>
              <w:tr2bl w:val="nil"/>
            </w:tcBorders>
            <w:shd w:val="clear" w:color="auto" w:fill="FFFFFF"/>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应对措施</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639"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1</w:t>
            </w:r>
          </w:p>
        </w:tc>
        <w:tc>
          <w:tcPr>
            <w:tcW w:w="991"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ascii="Times New Roman" w:hAnsi="Times New Roman" w:eastAsiaTheme="minorEastAsia"/>
                <w:color w:val="auto"/>
                <w:sz w:val="21"/>
                <w:szCs w:val="21"/>
              </w:rPr>
              <w:t>排气筒1</w:t>
            </w:r>
          </w:p>
        </w:tc>
        <w:tc>
          <w:tcPr>
            <w:tcW w:w="739"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eastAsia="zh-CN"/>
              </w:rPr>
              <w:t>粗碎</w:t>
            </w:r>
          </w:p>
        </w:tc>
        <w:tc>
          <w:tcPr>
            <w:tcW w:w="550"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PM</w:t>
            </w:r>
            <w:r>
              <w:rPr>
                <w:rFonts w:hint="eastAsia" w:ascii="Times New Roman" w:hAnsi="Times New Roman" w:eastAsiaTheme="minorEastAsia"/>
                <w:color w:val="auto"/>
                <w:sz w:val="21"/>
                <w:szCs w:val="21"/>
                <w:vertAlign w:val="subscript"/>
                <w:lang w:val="en-US" w:eastAsia="zh-CN"/>
              </w:rPr>
              <w:t>10</w:t>
            </w:r>
          </w:p>
        </w:tc>
        <w:tc>
          <w:tcPr>
            <w:tcW w:w="917"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default" w:ascii="Times New Roman" w:hAnsi="Times New Roman" w:eastAsiaTheme="minorEastAsia"/>
                <w:color w:val="auto"/>
                <w:sz w:val="21"/>
                <w:szCs w:val="21"/>
                <w:lang w:val="en-US" w:eastAsia="zh-CN"/>
              </w:rPr>
              <w:t>403333</w:t>
            </w:r>
          </w:p>
        </w:tc>
        <w:tc>
          <w:tcPr>
            <w:tcW w:w="783"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default" w:ascii="Times New Roman" w:hAnsi="Times New Roman" w:eastAsiaTheme="minorEastAsia"/>
                <w:color w:val="auto"/>
                <w:sz w:val="21"/>
                <w:szCs w:val="21"/>
                <w:lang w:val="en-US" w:eastAsia="zh-CN"/>
              </w:rPr>
              <w:t>2.42</w:t>
            </w:r>
          </w:p>
        </w:tc>
        <w:tc>
          <w:tcPr>
            <w:tcW w:w="517"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eastAsiaTheme="minorEastAsia"/>
                <w:color w:val="auto"/>
                <w:sz w:val="21"/>
                <w:szCs w:val="21"/>
                <w:lang w:val="en-US" w:eastAsia="zh-CN"/>
              </w:rPr>
              <w:t>8</w:t>
            </w:r>
          </w:p>
        </w:tc>
        <w:tc>
          <w:tcPr>
            <w:tcW w:w="500"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eastAsiaTheme="minorEastAsia"/>
                <w:color w:val="auto"/>
                <w:sz w:val="21"/>
                <w:szCs w:val="21"/>
                <w:lang w:val="en-US" w:eastAsia="zh-CN"/>
              </w:rPr>
              <w:t>1</w:t>
            </w:r>
          </w:p>
        </w:tc>
        <w:tc>
          <w:tcPr>
            <w:tcW w:w="2706" w:type="dxa"/>
            <w:vMerge w:val="restart"/>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加强除尘系统的运行维护，定期对布袋进行除灰和更换，制订巡检和定期检测制度</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639"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2</w:t>
            </w:r>
          </w:p>
        </w:tc>
        <w:tc>
          <w:tcPr>
            <w:tcW w:w="991"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ascii="Times New Roman" w:hAnsi="Times New Roman" w:eastAsiaTheme="minorEastAsia"/>
                <w:color w:val="auto"/>
                <w:sz w:val="21"/>
                <w:szCs w:val="21"/>
              </w:rPr>
              <w:t>排气筒</w:t>
            </w:r>
            <w:r>
              <w:rPr>
                <w:rFonts w:hint="eastAsia" w:ascii="Times New Roman" w:hAnsi="Times New Roman" w:eastAsiaTheme="minorEastAsia"/>
                <w:color w:val="auto"/>
                <w:sz w:val="21"/>
                <w:szCs w:val="21"/>
                <w:lang w:val="en-US" w:eastAsia="zh-CN"/>
              </w:rPr>
              <w:t>2</w:t>
            </w:r>
          </w:p>
        </w:tc>
        <w:tc>
          <w:tcPr>
            <w:tcW w:w="739"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eastAsia="zh-CN"/>
              </w:rPr>
              <w:t>细碎</w:t>
            </w:r>
          </w:p>
        </w:tc>
        <w:tc>
          <w:tcPr>
            <w:tcW w:w="550"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PM</w:t>
            </w:r>
            <w:r>
              <w:rPr>
                <w:rFonts w:hint="eastAsia" w:ascii="Times New Roman" w:hAnsi="Times New Roman" w:eastAsiaTheme="minorEastAsia"/>
                <w:color w:val="auto"/>
                <w:sz w:val="21"/>
                <w:szCs w:val="21"/>
                <w:vertAlign w:val="subscript"/>
                <w:lang w:val="en-US" w:eastAsia="zh-CN"/>
              </w:rPr>
              <w:t>10</w:t>
            </w:r>
          </w:p>
        </w:tc>
        <w:tc>
          <w:tcPr>
            <w:tcW w:w="917"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default" w:ascii="Times New Roman" w:hAnsi="Times New Roman" w:eastAsiaTheme="minorEastAsia"/>
                <w:color w:val="auto"/>
                <w:sz w:val="21"/>
                <w:szCs w:val="21"/>
                <w:lang w:val="en-US" w:eastAsia="zh-CN"/>
              </w:rPr>
              <w:t>415000</w:t>
            </w:r>
          </w:p>
        </w:tc>
        <w:tc>
          <w:tcPr>
            <w:tcW w:w="783"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default" w:ascii="Times New Roman" w:hAnsi="Times New Roman" w:eastAsiaTheme="minorEastAsia"/>
                <w:color w:val="auto"/>
                <w:sz w:val="21"/>
                <w:szCs w:val="21"/>
                <w:lang w:val="en-US" w:eastAsia="zh-CN"/>
              </w:rPr>
              <w:t>2.49</w:t>
            </w:r>
          </w:p>
        </w:tc>
        <w:tc>
          <w:tcPr>
            <w:tcW w:w="517"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eastAsiaTheme="minorEastAsia"/>
                <w:color w:val="auto"/>
                <w:sz w:val="21"/>
                <w:szCs w:val="21"/>
                <w:lang w:val="en-US" w:eastAsia="zh-CN"/>
              </w:rPr>
              <w:t>8</w:t>
            </w:r>
          </w:p>
        </w:tc>
        <w:tc>
          <w:tcPr>
            <w:tcW w:w="500"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eastAsiaTheme="minorEastAsia"/>
                <w:color w:val="auto"/>
                <w:sz w:val="21"/>
                <w:szCs w:val="21"/>
                <w:lang w:val="en-US" w:eastAsia="zh-CN"/>
              </w:rPr>
              <w:t>1</w:t>
            </w:r>
          </w:p>
        </w:tc>
        <w:tc>
          <w:tcPr>
            <w:tcW w:w="2706" w:type="dxa"/>
            <w:vMerge w:val="continue"/>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Ex>
        <w:trPr>
          <w:trHeight w:val="286" w:hRule="atLeast"/>
        </w:trPr>
        <w:tc>
          <w:tcPr>
            <w:tcW w:w="639"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3</w:t>
            </w:r>
          </w:p>
        </w:tc>
        <w:tc>
          <w:tcPr>
            <w:tcW w:w="991"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ascii="Times New Roman" w:hAnsi="Times New Roman" w:eastAsiaTheme="minorEastAsia"/>
                <w:color w:val="auto"/>
                <w:sz w:val="21"/>
                <w:szCs w:val="21"/>
              </w:rPr>
              <w:t>排气筒</w:t>
            </w:r>
            <w:r>
              <w:rPr>
                <w:rFonts w:hint="eastAsia" w:ascii="Times New Roman" w:hAnsi="Times New Roman" w:eastAsiaTheme="minorEastAsia"/>
                <w:color w:val="auto"/>
                <w:sz w:val="21"/>
                <w:szCs w:val="21"/>
                <w:lang w:val="en-US" w:eastAsia="zh-CN"/>
              </w:rPr>
              <w:t>3</w:t>
            </w:r>
          </w:p>
        </w:tc>
        <w:tc>
          <w:tcPr>
            <w:tcW w:w="739"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eastAsia="zh-CN"/>
              </w:rPr>
              <w:t>筛分</w:t>
            </w:r>
          </w:p>
        </w:tc>
        <w:tc>
          <w:tcPr>
            <w:tcW w:w="550"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ascii="Times New Roman" w:hAnsi="Times New Roman" w:eastAsiaTheme="minorEastAsia"/>
                <w:color w:val="auto"/>
                <w:sz w:val="21"/>
                <w:szCs w:val="21"/>
                <w:lang w:val="en-US" w:eastAsia="zh-CN"/>
              </w:rPr>
              <w:t>PM</w:t>
            </w:r>
            <w:r>
              <w:rPr>
                <w:rFonts w:hint="eastAsia" w:ascii="Times New Roman" w:hAnsi="Times New Roman" w:eastAsiaTheme="minorEastAsia"/>
                <w:color w:val="auto"/>
                <w:sz w:val="21"/>
                <w:szCs w:val="21"/>
                <w:vertAlign w:val="subscript"/>
                <w:lang w:val="en-US" w:eastAsia="zh-CN"/>
              </w:rPr>
              <w:t>10</w:t>
            </w:r>
          </w:p>
        </w:tc>
        <w:tc>
          <w:tcPr>
            <w:tcW w:w="917"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default" w:ascii="Times New Roman" w:hAnsi="Times New Roman" w:eastAsiaTheme="minorEastAsia"/>
                <w:color w:val="auto"/>
                <w:sz w:val="21"/>
                <w:szCs w:val="21"/>
                <w:lang w:val="en-US" w:eastAsia="zh-CN"/>
              </w:rPr>
              <w:t>423333</w:t>
            </w:r>
          </w:p>
        </w:tc>
        <w:tc>
          <w:tcPr>
            <w:tcW w:w="783"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default" w:ascii="Times New Roman" w:hAnsi="Times New Roman" w:eastAsiaTheme="minorEastAsia"/>
                <w:color w:val="auto"/>
                <w:sz w:val="21"/>
                <w:szCs w:val="21"/>
                <w:lang w:val="en-US" w:eastAsia="zh-CN"/>
              </w:rPr>
              <w:t>2.54</w:t>
            </w:r>
          </w:p>
        </w:tc>
        <w:tc>
          <w:tcPr>
            <w:tcW w:w="517"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eastAsiaTheme="minorEastAsia"/>
                <w:color w:val="auto"/>
                <w:sz w:val="21"/>
                <w:szCs w:val="21"/>
                <w:lang w:val="en-US" w:eastAsia="zh-CN"/>
              </w:rPr>
              <w:t>8</w:t>
            </w:r>
          </w:p>
        </w:tc>
        <w:tc>
          <w:tcPr>
            <w:tcW w:w="500" w:type="dxa"/>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r>
              <w:rPr>
                <w:rFonts w:hint="eastAsia" w:eastAsiaTheme="minorEastAsia"/>
                <w:color w:val="auto"/>
                <w:sz w:val="21"/>
                <w:szCs w:val="21"/>
                <w:lang w:val="en-US" w:eastAsia="zh-CN"/>
              </w:rPr>
              <w:t>1</w:t>
            </w:r>
          </w:p>
        </w:tc>
        <w:tc>
          <w:tcPr>
            <w:tcW w:w="2706" w:type="dxa"/>
            <w:vMerge w:val="continue"/>
            <w:tcBorders>
              <w:tl2br w:val="nil"/>
              <w:tr2bl w:val="nil"/>
            </w:tcBorders>
            <w:shd w:val="clear" w:color="auto" w:fill="auto"/>
            <w:vAlign w:val="center"/>
          </w:tcPr>
          <w:p>
            <w:pPr>
              <w:pStyle w:val="276"/>
              <w:spacing w:line="280" w:lineRule="exact"/>
              <w:ind w:firstLine="0" w:firstLineChars="0"/>
              <w:jc w:val="center"/>
              <w:rPr>
                <w:rFonts w:hint="eastAsia" w:ascii="Times New Roman" w:hAnsi="Times New Roman" w:eastAsiaTheme="minorEastAsia"/>
                <w:color w:val="auto"/>
                <w:sz w:val="21"/>
                <w:szCs w:val="21"/>
                <w:lang w:val="en-US" w:eastAsia="zh-CN"/>
              </w:rPr>
            </w:pPr>
          </w:p>
        </w:tc>
      </w:tr>
    </w:tbl>
    <w:p>
      <w:pPr>
        <w:pStyle w:val="276"/>
        <w:rPr>
          <w:rFonts w:eastAsiaTheme="minorEastAsia"/>
          <w:color w:val="auto"/>
        </w:rPr>
      </w:pPr>
      <w:r>
        <w:rPr>
          <w:rFonts w:eastAsiaTheme="minorEastAsia"/>
          <w:color w:val="auto"/>
        </w:rPr>
        <w:t>由</w:t>
      </w:r>
      <w:r>
        <w:rPr>
          <w:rFonts w:hint="eastAsia" w:eastAsiaTheme="minorEastAsia"/>
          <w:color w:val="auto"/>
          <w:lang w:eastAsia="zh-CN"/>
        </w:rPr>
        <w:t>上表</w:t>
      </w:r>
      <w:r>
        <w:rPr>
          <w:rFonts w:eastAsiaTheme="minorEastAsia"/>
          <w:color w:val="auto"/>
        </w:rPr>
        <w:t>可以看出，非正常工况下，破碎筛分生产线排气筒颗粒物</w:t>
      </w:r>
      <w:r>
        <w:rPr>
          <w:rFonts w:hint="eastAsia" w:eastAsiaTheme="minorEastAsia"/>
          <w:color w:val="auto"/>
          <w:lang w:eastAsia="zh-CN"/>
        </w:rPr>
        <w:t>排放量较大，</w:t>
      </w:r>
      <w:r>
        <w:rPr>
          <w:rFonts w:eastAsiaTheme="minorEastAsia"/>
          <w:color w:val="auto"/>
        </w:rPr>
        <w:t>本项目应加强除尘系统的运行维护，定期对布袋进行除灰和更换，制订巡检和定期检测制度，监控设备运行是否正常及其处理效率采取上述措施后，可有效降低非正常工况的发生概率，降低对周边环境影响。</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5.2.3地表水环境影响分析</w:t>
      </w:r>
    </w:p>
    <w:p>
      <w:pPr>
        <w:pStyle w:val="276"/>
        <w:rPr>
          <w:rFonts w:eastAsiaTheme="minorEastAsia"/>
          <w:color w:val="auto"/>
        </w:rPr>
      </w:pPr>
      <w:bookmarkStart w:id="202" w:name="_Toc440973130"/>
      <w:bookmarkStart w:id="203" w:name="_Toc440973500"/>
      <w:bookmarkStart w:id="204" w:name="_Toc440973766"/>
      <w:r>
        <w:rPr>
          <w:rFonts w:eastAsiaTheme="minorEastAsia"/>
          <w:color w:val="auto"/>
        </w:rPr>
        <w:t>（1）排水情况</w:t>
      </w:r>
    </w:p>
    <w:p>
      <w:pPr>
        <w:pStyle w:val="276"/>
        <w:rPr>
          <w:rFonts w:eastAsiaTheme="minorEastAsia"/>
          <w:color w:val="auto"/>
        </w:rPr>
      </w:pPr>
      <w:r>
        <w:rPr>
          <w:rFonts w:hint="eastAsia" w:eastAsiaTheme="minorEastAsia"/>
          <w:color w:val="auto"/>
          <w:lang w:eastAsia="zh-CN"/>
        </w:rPr>
        <w:t>本</w:t>
      </w:r>
      <w:r>
        <w:rPr>
          <w:rFonts w:eastAsiaTheme="minorEastAsia"/>
          <w:color w:val="auto"/>
        </w:rPr>
        <w:t>项目生产抑尘及降尘用水绝大多数蒸发掉，不产生废水，不会形成地表径流排入水体；生活污水排入防渗旱厕，定期清掏，外运堆肥，不排入地表水体。矿区所排废水主要是工作人员的生活污水，排放量为0.2t/d，通过防渗旱厕统一收集，定期清掏，外运堆肥。</w:t>
      </w:r>
    </w:p>
    <w:p>
      <w:pPr>
        <w:pStyle w:val="276"/>
        <w:rPr>
          <w:rFonts w:eastAsiaTheme="minorEastAsia"/>
          <w:color w:val="auto"/>
        </w:rPr>
      </w:pPr>
      <w:r>
        <w:rPr>
          <w:rFonts w:eastAsiaTheme="minorEastAsia"/>
          <w:color w:val="auto"/>
        </w:rPr>
        <w:t>（</w:t>
      </w:r>
      <w:r>
        <w:rPr>
          <w:rFonts w:hint="eastAsia" w:eastAsiaTheme="minorEastAsia"/>
          <w:color w:val="auto"/>
          <w:lang w:val="en-US" w:eastAsia="zh-CN"/>
        </w:rPr>
        <w:t>2</w:t>
      </w:r>
      <w:r>
        <w:rPr>
          <w:rFonts w:eastAsiaTheme="minorEastAsia"/>
          <w:color w:val="auto"/>
        </w:rPr>
        <w:t>）评价结论</w:t>
      </w:r>
    </w:p>
    <w:p>
      <w:pPr>
        <w:pStyle w:val="276"/>
        <w:rPr>
          <w:rFonts w:eastAsiaTheme="minorEastAsia"/>
          <w:color w:val="auto"/>
        </w:rPr>
      </w:pPr>
      <w:r>
        <w:rPr>
          <w:rFonts w:eastAsiaTheme="minorEastAsia"/>
          <w:color w:val="auto"/>
        </w:rPr>
        <w:t>本项目收集矿区汇水用于生产抑尘及降尘用水，且绝大多数水份已蒸发的形式消耗掉，不产生生产废水，不会形成地表径流排入水体，生活污水排入防渗旱厕，定期清掏，外运堆肥，不排入地表水体。本项目的运行可实现污水的零排放，因此，项目产生的废水均得到合理处理与利用而无外排，对区域地表水环境不会产生显著性不良影响。</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5.2.4声环境影响预测及评价</w:t>
      </w:r>
    </w:p>
    <w:bookmarkEnd w:id="202"/>
    <w:bookmarkEnd w:id="203"/>
    <w:bookmarkEnd w:id="204"/>
    <w:p>
      <w:pPr>
        <w:pStyle w:val="242"/>
        <w:rPr>
          <w:rFonts w:ascii="Times New Roman" w:hAnsi="Times New Roman" w:cs="Times New Roman" w:eastAsiaTheme="minorEastAsia"/>
          <w:color w:val="auto"/>
        </w:rPr>
      </w:pPr>
      <w:r>
        <w:rPr>
          <w:rFonts w:ascii="Times New Roman" w:hAnsi="Times New Roman" w:cs="Times New Roman" w:eastAsiaTheme="minorEastAsia"/>
          <w:color w:val="auto"/>
        </w:rPr>
        <w:t>5.2.4.1噪声源源强</w:t>
      </w:r>
    </w:p>
    <w:p>
      <w:pPr>
        <w:pStyle w:val="276"/>
        <w:rPr>
          <w:rFonts w:eastAsiaTheme="minorEastAsia"/>
          <w:color w:val="auto"/>
        </w:rPr>
      </w:pPr>
      <w:r>
        <w:rPr>
          <w:rFonts w:eastAsiaTheme="minorEastAsia"/>
          <w:color w:val="auto"/>
        </w:rPr>
        <w:t>本项目噪声主要来自凿岩、爆破、破碎、铲装及运输车辆噪声。通过类比调查，确定本工程主要噪声源源强见表5-2-8。</w:t>
      </w:r>
    </w:p>
    <w:p>
      <w:pPr>
        <w:pStyle w:val="244"/>
        <w:rPr>
          <w:rFonts w:eastAsiaTheme="minorEastAsia"/>
          <w:color w:val="auto"/>
        </w:rPr>
      </w:pPr>
      <w:r>
        <w:rPr>
          <w:rFonts w:eastAsiaTheme="minorEastAsia"/>
          <w:color w:val="auto"/>
        </w:rPr>
        <w:t>表5-2-8  主要噪声源强表</w:t>
      </w:r>
    </w:p>
    <w:tbl>
      <w:tblPr>
        <w:tblStyle w:val="53"/>
        <w:tblW w:w="8532"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81"/>
        <w:gridCol w:w="2016"/>
        <w:gridCol w:w="1722"/>
        <w:gridCol w:w="1722"/>
        <w:gridCol w:w="169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1381" w:type="dxa"/>
            <w:noWrap w:val="0"/>
            <w:vAlign w:val="center"/>
          </w:tcPr>
          <w:p>
            <w:pPr>
              <w:adjustRightInd w:val="0"/>
              <w:snapToGrid w:val="0"/>
              <w:spacing w:line="360" w:lineRule="exact"/>
              <w:jc w:val="center"/>
              <w:rPr>
                <w:color w:val="auto"/>
                <w:sz w:val="18"/>
                <w:szCs w:val="18"/>
              </w:rPr>
            </w:pPr>
            <w:r>
              <w:rPr>
                <w:color w:val="auto"/>
                <w:sz w:val="18"/>
                <w:szCs w:val="18"/>
              </w:rPr>
              <w:t>序号</w:t>
            </w:r>
          </w:p>
        </w:tc>
        <w:tc>
          <w:tcPr>
            <w:tcW w:w="2016" w:type="dxa"/>
            <w:noWrap w:val="0"/>
            <w:vAlign w:val="center"/>
          </w:tcPr>
          <w:p>
            <w:pPr>
              <w:adjustRightInd w:val="0"/>
              <w:snapToGrid w:val="0"/>
              <w:spacing w:line="360" w:lineRule="exact"/>
              <w:jc w:val="center"/>
              <w:rPr>
                <w:color w:val="auto"/>
                <w:sz w:val="18"/>
                <w:szCs w:val="18"/>
              </w:rPr>
            </w:pPr>
            <w:r>
              <w:rPr>
                <w:color w:val="auto"/>
                <w:sz w:val="18"/>
                <w:szCs w:val="18"/>
              </w:rPr>
              <w:t>噪声源</w:t>
            </w:r>
          </w:p>
        </w:tc>
        <w:tc>
          <w:tcPr>
            <w:tcW w:w="1722" w:type="dxa"/>
            <w:noWrap w:val="0"/>
            <w:vAlign w:val="center"/>
          </w:tcPr>
          <w:p>
            <w:pPr>
              <w:adjustRightInd w:val="0"/>
              <w:snapToGrid w:val="0"/>
              <w:spacing w:line="360" w:lineRule="exact"/>
              <w:jc w:val="center"/>
              <w:rPr>
                <w:rFonts w:hint="eastAsia" w:eastAsia="宋体"/>
                <w:color w:val="auto"/>
                <w:sz w:val="18"/>
                <w:szCs w:val="18"/>
                <w:lang w:eastAsia="zh-CN"/>
              </w:rPr>
            </w:pPr>
            <w:r>
              <w:rPr>
                <w:color w:val="auto"/>
                <w:sz w:val="18"/>
                <w:szCs w:val="18"/>
              </w:rPr>
              <w:t>数量（台）</w:t>
            </w:r>
          </w:p>
        </w:tc>
        <w:tc>
          <w:tcPr>
            <w:tcW w:w="1722" w:type="dxa"/>
            <w:noWrap w:val="0"/>
            <w:vAlign w:val="center"/>
          </w:tcPr>
          <w:p>
            <w:pPr>
              <w:adjustRightInd w:val="0"/>
              <w:snapToGrid w:val="0"/>
              <w:spacing w:line="360" w:lineRule="exact"/>
              <w:jc w:val="center"/>
              <w:rPr>
                <w:color w:val="auto"/>
                <w:sz w:val="18"/>
                <w:szCs w:val="18"/>
              </w:rPr>
            </w:pPr>
            <w:r>
              <w:rPr>
                <w:color w:val="auto"/>
                <w:sz w:val="18"/>
                <w:szCs w:val="18"/>
              </w:rPr>
              <w:t>噪声级dB（A）</w:t>
            </w:r>
          </w:p>
        </w:tc>
        <w:tc>
          <w:tcPr>
            <w:tcW w:w="1691" w:type="dxa"/>
            <w:noWrap w:val="0"/>
            <w:vAlign w:val="center"/>
          </w:tcPr>
          <w:p>
            <w:pPr>
              <w:adjustRightInd w:val="0"/>
              <w:snapToGrid w:val="0"/>
              <w:spacing w:line="360" w:lineRule="exact"/>
              <w:jc w:val="center"/>
              <w:rPr>
                <w:color w:val="auto"/>
                <w:sz w:val="18"/>
                <w:szCs w:val="18"/>
              </w:rPr>
            </w:pPr>
            <w:r>
              <w:rPr>
                <w:color w:val="auto"/>
                <w:sz w:val="18"/>
                <w:szCs w:val="18"/>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1381" w:type="dxa"/>
            <w:noWrap w:val="0"/>
            <w:vAlign w:val="center"/>
          </w:tcPr>
          <w:p>
            <w:pPr>
              <w:adjustRightInd w:val="0"/>
              <w:snapToGrid w:val="0"/>
              <w:spacing w:line="360" w:lineRule="exact"/>
              <w:jc w:val="center"/>
              <w:rPr>
                <w:color w:val="auto"/>
                <w:sz w:val="18"/>
                <w:szCs w:val="18"/>
              </w:rPr>
            </w:pPr>
            <w:r>
              <w:rPr>
                <w:color w:val="auto"/>
                <w:sz w:val="18"/>
                <w:szCs w:val="18"/>
              </w:rPr>
              <w:t>1</w:t>
            </w:r>
          </w:p>
        </w:tc>
        <w:tc>
          <w:tcPr>
            <w:tcW w:w="2016" w:type="dxa"/>
            <w:noWrap w:val="0"/>
            <w:vAlign w:val="center"/>
          </w:tcPr>
          <w:p>
            <w:pPr>
              <w:adjustRightInd w:val="0"/>
              <w:snapToGrid w:val="0"/>
              <w:spacing w:line="360" w:lineRule="exact"/>
              <w:jc w:val="center"/>
              <w:rPr>
                <w:color w:val="auto"/>
                <w:sz w:val="18"/>
                <w:szCs w:val="18"/>
              </w:rPr>
            </w:pPr>
            <w:r>
              <w:rPr>
                <w:color w:val="auto"/>
                <w:sz w:val="18"/>
                <w:szCs w:val="18"/>
              </w:rPr>
              <w:t>凿岩机</w:t>
            </w:r>
          </w:p>
        </w:tc>
        <w:tc>
          <w:tcPr>
            <w:tcW w:w="1722" w:type="dxa"/>
            <w:noWrap w:val="0"/>
            <w:vAlign w:val="center"/>
          </w:tcPr>
          <w:p>
            <w:pPr>
              <w:adjustRightInd w:val="0"/>
              <w:snapToGrid w:val="0"/>
              <w:spacing w:line="360" w:lineRule="exact"/>
              <w:jc w:val="center"/>
              <w:rPr>
                <w:rFonts w:hint="eastAsia" w:eastAsia="宋体"/>
                <w:color w:val="auto"/>
                <w:sz w:val="18"/>
                <w:szCs w:val="18"/>
                <w:lang w:val="en-US" w:eastAsia="zh-CN"/>
              </w:rPr>
            </w:pPr>
            <w:r>
              <w:rPr>
                <w:rFonts w:hint="eastAsia"/>
                <w:color w:val="auto"/>
                <w:sz w:val="18"/>
                <w:szCs w:val="18"/>
                <w:lang w:val="en-US" w:eastAsia="zh-CN"/>
              </w:rPr>
              <w:t>1</w:t>
            </w:r>
          </w:p>
        </w:tc>
        <w:tc>
          <w:tcPr>
            <w:tcW w:w="1722" w:type="dxa"/>
            <w:noWrap w:val="0"/>
            <w:vAlign w:val="center"/>
          </w:tcPr>
          <w:p>
            <w:pPr>
              <w:adjustRightInd w:val="0"/>
              <w:snapToGrid w:val="0"/>
              <w:spacing w:line="360" w:lineRule="exact"/>
              <w:jc w:val="center"/>
              <w:rPr>
                <w:color w:val="auto"/>
                <w:sz w:val="18"/>
                <w:szCs w:val="18"/>
              </w:rPr>
            </w:pPr>
            <w:r>
              <w:rPr>
                <w:color w:val="auto"/>
                <w:sz w:val="18"/>
                <w:szCs w:val="18"/>
              </w:rPr>
              <w:t>90~115</w:t>
            </w:r>
          </w:p>
        </w:tc>
        <w:tc>
          <w:tcPr>
            <w:tcW w:w="1691" w:type="dxa"/>
            <w:noWrap w:val="0"/>
            <w:vAlign w:val="center"/>
          </w:tcPr>
          <w:p>
            <w:pPr>
              <w:adjustRightInd w:val="0"/>
              <w:snapToGrid w:val="0"/>
              <w:spacing w:line="360" w:lineRule="exact"/>
              <w:jc w:val="center"/>
              <w:rPr>
                <w:color w:val="auto"/>
                <w:sz w:val="18"/>
                <w:szCs w:val="18"/>
              </w:rPr>
            </w:pPr>
            <w:r>
              <w:rPr>
                <w:color w:val="auto"/>
                <w:sz w:val="18"/>
                <w:szCs w:val="18"/>
              </w:rPr>
              <w:t>间断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1381" w:type="dxa"/>
            <w:noWrap w:val="0"/>
            <w:vAlign w:val="center"/>
          </w:tcPr>
          <w:p>
            <w:pPr>
              <w:adjustRightInd w:val="0"/>
              <w:snapToGrid w:val="0"/>
              <w:spacing w:line="360" w:lineRule="exact"/>
              <w:jc w:val="center"/>
              <w:rPr>
                <w:color w:val="auto"/>
                <w:sz w:val="18"/>
                <w:szCs w:val="18"/>
              </w:rPr>
            </w:pPr>
            <w:r>
              <w:rPr>
                <w:color w:val="auto"/>
                <w:sz w:val="18"/>
                <w:szCs w:val="18"/>
              </w:rPr>
              <w:t>2</w:t>
            </w:r>
          </w:p>
        </w:tc>
        <w:tc>
          <w:tcPr>
            <w:tcW w:w="2016" w:type="dxa"/>
            <w:noWrap w:val="0"/>
            <w:vAlign w:val="center"/>
          </w:tcPr>
          <w:p>
            <w:pPr>
              <w:adjustRightInd w:val="0"/>
              <w:snapToGrid w:val="0"/>
              <w:spacing w:line="360" w:lineRule="exact"/>
              <w:jc w:val="center"/>
              <w:rPr>
                <w:color w:val="auto"/>
                <w:sz w:val="18"/>
                <w:szCs w:val="18"/>
              </w:rPr>
            </w:pPr>
            <w:r>
              <w:rPr>
                <w:color w:val="auto"/>
                <w:sz w:val="18"/>
                <w:szCs w:val="18"/>
              </w:rPr>
              <w:t>空压机</w:t>
            </w:r>
          </w:p>
        </w:tc>
        <w:tc>
          <w:tcPr>
            <w:tcW w:w="1722" w:type="dxa"/>
            <w:noWrap w:val="0"/>
            <w:vAlign w:val="center"/>
          </w:tcPr>
          <w:p>
            <w:pPr>
              <w:adjustRightInd w:val="0"/>
              <w:snapToGrid w:val="0"/>
              <w:spacing w:line="360" w:lineRule="exact"/>
              <w:jc w:val="center"/>
              <w:rPr>
                <w:rFonts w:hint="eastAsia" w:eastAsia="宋体"/>
                <w:color w:val="auto"/>
                <w:sz w:val="18"/>
                <w:szCs w:val="18"/>
                <w:lang w:val="en-US" w:eastAsia="zh-CN"/>
              </w:rPr>
            </w:pPr>
            <w:r>
              <w:rPr>
                <w:rFonts w:hint="eastAsia"/>
                <w:color w:val="auto"/>
                <w:sz w:val="18"/>
                <w:szCs w:val="18"/>
                <w:lang w:val="en-US" w:eastAsia="zh-CN"/>
              </w:rPr>
              <w:t>1</w:t>
            </w:r>
          </w:p>
        </w:tc>
        <w:tc>
          <w:tcPr>
            <w:tcW w:w="1722" w:type="dxa"/>
            <w:noWrap w:val="0"/>
            <w:vAlign w:val="center"/>
          </w:tcPr>
          <w:p>
            <w:pPr>
              <w:adjustRightInd w:val="0"/>
              <w:snapToGrid w:val="0"/>
              <w:spacing w:line="360" w:lineRule="exact"/>
              <w:jc w:val="center"/>
              <w:rPr>
                <w:color w:val="auto"/>
                <w:sz w:val="18"/>
                <w:szCs w:val="18"/>
              </w:rPr>
            </w:pPr>
            <w:r>
              <w:rPr>
                <w:color w:val="auto"/>
                <w:sz w:val="18"/>
                <w:szCs w:val="18"/>
              </w:rPr>
              <w:t>75~90</w:t>
            </w:r>
          </w:p>
        </w:tc>
        <w:tc>
          <w:tcPr>
            <w:tcW w:w="1691" w:type="dxa"/>
            <w:noWrap w:val="0"/>
            <w:vAlign w:val="center"/>
          </w:tcPr>
          <w:p>
            <w:pPr>
              <w:adjustRightInd w:val="0"/>
              <w:snapToGrid w:val="0"/>
              <w:spacing w:line="360" w:lineRule="exact"/>
              <w:jc w:val="center"/>
              <w:rPr>
                <w:color w:val="auto"/>
                <w:sz w:val="18"/>
                <w:szCs w:val="18"/>
              </w:rPr>
            </w:pPr>
            <w:r>
              <w:rPr>
                <w:color w:val="auto"/>
                <w:sz w:val="18"/>
                <w:szCs w:val="18"/>
              </w:rPr>
              <w:t>间断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1381" w:type="dxa"/>
            <w:noWrap w:val="0"/>
            <w:vAlign w:val="center"/>
          </w:tcPr>
          <w:p>
            <w:pPr>
              <w:adjustRightInd w:val="0"/>
              <w:snapToGrid w:val="0"/>
              <w:spacing w:line="360" w:lineRule="exact"/>
              <w:jc w:val="center"/>
              <w:rPr>
                <w:color w:val="auto"/>
                <w:sz w:val="18"/>
                <w:szCs w:val="18"/>
              </w:rPr>
            </w:pPr>
            <w:r>
              <w:rPr>
                <w:color w:val="auto"/>
                <w:sz w:val="18"/>
                <w:szCs w:val="18"/>
              </w:rPr>
              <w:t>3</w:t>
            </w:r>
          </w:p>
        </w:tc>
        <w:tc>
          <w:tcPr>
            <w:tcW w:w="2016" w:type="dxa"/>
            <w:noWrap w:val="0"/>
            <w:vAlign w:val="center"/>
          </w:tcPr>
          <w:p>
            <w:pPr>
              <w:adjustRightInd w:val="0"/>
              <w:snapToGrid w:val="0"/>
              <w:spacing w:line="360" w:lineRule="exact"/>
              <w:jc w:val="center"/>
              <w:rPr>
                <w:color w:val="auto"/>
                <w:sz w:val="18"/>
                <w:szCs w:val="18"/>
              </w:rPr>
            </w:pPr>
            <w:r>
              <w:rPr>
                <w:color w:val="auto"/>
                <w:sz w:val="18"/>
                <w:szCs w:val="18"/>
              </w:rPr>
              <w:t>挖掘机</w:t>
            </w:r>
          </w:p>
        </w:tc>
        <w:tc>
          <w:tcPr>
            <w:tcW w:w="1722" w:type="dxa"/>
            <w:noWrap w:val="0"/>
            <w:vAlign w:val="center"/>
          </w:tcPr>
          <w:p>
            <w:pPr>
              <w:adjustRightInd w:val="0"/>
              <w:snapToGrid w:val="0"/>
              <w:spacing w:line="360" w:lineRule="exact"/>
              <w:jc w:val="center"/>
              <w:rPr>
                <w:rFonts w:hint="eastAsia" w:eastAsia="宋体"/>
                <w:color w:val="auto"/>
                <w:sz w:val="18"/>
                <w:szCs w:val="18"/>
                <w:lang w:val="en-US" w:eastAsia="zh-CN"/>
              </w:rPr>
            </w:pPr>
            <w:r>
              <w:rPr>
                <w:rFonts w:hint="eastAsia"/>
                <w:color w:val="auto"/>
                <w:sz w:val="18"/>
                <w:szCs w:val="18"/>
                <w:lang w:val="en-US" w:eastAsia="zh-CN"/>
              </w:rPr>
              <w:t>1</w:t>
            </w:r>
          </w:p>
        </w:tc>
        <w:tc>
          <w:tcPr>
            <w:tcW w:w="1722" w:type="dxa"/>
            <w:noWrap w:val="0"/>
            <w:vAlign w:val="center"/>
          </w:tcPr>
          <w:p>
            <w:pPr>
              <w:adjustRightInd w:val="0"/>
              <w:snapToGrid w:val="0"/>
              <w:spacing w:line="360" w:lineRule="exact"/>
              <w:jc w:val="center"/>
              <w:rPr>
                <w:color w:val="auto"/>
                <w:sz w:val="18"/>
                <w:szCs w:val="18"/>
              </w:rPr>
            </w:pPr>
            <w:r>
              <w:rPr>
                <w:color w:val="auto"/>
                <w:sz w:val="18"/>
                <w:szCs w:val="18"/>
              </w:rPr>
              <w:t>80~90</w:t>
            </w:r>
          </w:p>
        </w:tc>
        <w:tc>
          <w:tcPr>
            <w:tcW w:w="1691" w:type="dxa"/>
            <w:noWrap w:val="0"/>
            <w:vAlign w:val="center"/>
          </w:tcPr>
          <w:p>
            <w:pPr>
              <w:adjustRightInd w:val="0"/>
              <w:snapToGrid w:val="0"/>
              <w:spacing w:line="360" w:lineRule="exact"/>
              <w:jc w:val="center"/>
              <w:rPr>
                <w:color w:val="auto"/>
                <w:sz w:val="18"/>
                <w:szCs w:val="18"/>
              </w:rPr>
            </w:pPr>
            <w:r>
              <w:rPr>
                <w:color w:val="auto"/>
                <w:sz w:val="18"/>
                <w:szCs w:val="18"/>
              </w:rPr>
              <w:t>连续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1381" w:type="dxa"/>
            <w:noWrap w:val="0"/>
            <w:vAlign w:val="center"/>
          </w:tcPr>
          <w:p>
            <w:pPr>
              <w:adjustRightInd w:val="0"/>
              <w:snapToGrid w:val="0"/>
              <w:spacing w:line="360" w:lineRule="exact"/>
              <w:jc w:val="center"/>
              <w:rPr>
                <w:color w:val="auto"/>
                <w:sz w:val="18"/>
                <w:szCs w:val="18"/>
              </w:rPr>
            </w:pPr>
            <w:r>
              <w:rPr>
                <w:color w:val="auto"/>
                <w:sz w:val="18"/>
                <w:szCs w:val="18"/>
              </w:rPr>
              <w:t>4</w:t>
            </w:r>
          </w:p>
        </w:tc>
        <w:tc>
          <w:tcPr>
            <w:tcW w:w="2016" w:type="dxa"/>
            <w:noWrap w:val="0"/>
            <w:vAlign w:val="center"/>
          </w:tcPr>
          <w:p>
            <w:pPr>
              <w:adjustRightInd w:val="0"/>
              <w:snapToGrid w:val="0"/>
              <w:spacing w:line="360" w:lineRule="exact"/>
              <w:jc w:val="center"/>
              <w:rPr>
                <w:color w:val="auto"/>
                <w:sz w:val="18"/>
                <w:szCs w:val="18"/>
              </w:rPr>
            </w:pPr>
            <w:r>
              <w:rPr>
                <w:color w:val="auto"/>
                <w:sz w:val="18"/>
                <w:szCs w:val="18"/>
              </w:rPr>
              <w:t>推土机</w:t>
            </w:r>
          </w:p>
        </w:tc>
        <w:tc>
          <w:tcPr>
            <w:tcW w:w="1722" w:type="dxa"/>
            <w:noWrap w:val="0"/>
            <w:vAlign w:val="center"/>
          </w:tcPr>
          <w:p>
            <w:pPr>
              <w:adjustRightInd w:val="0"/>
              <w:snapToGrid w:val="0"/>
              <w:spacing w:line="360" w:lineRule="exact"/>
              <w:jc w:val="center"/>
              <w:rPr>
                <w:rFonts w:hint="eastAsia" w:eastAsia="宋体"/>
                <w:color w:val="auto"/>
                <w:sz w:val="18"/>
                <w:szCs w:val="18"/>
                <w:lang w:val="en-US" w:eastAsia="zh-CN"/>
              </w:rPr>
            </w:pPr>
            <w:r>
              <w:rPr>
                <w:rFonts w:hint="eastAsia"/>
                <w:color w:val="auto"/>
                <w:sz w:val="18"/>
                <w:szCs w:val="18"/>
                <w:lang w:val="en-US" w:eastAsia="zh-CN"/>
              </w:rPr>
              <w:t>1</w:t>
            </w:r>
          </w:p>
        </w:tc>
        <w:tc>
          <w:tcPr>
            <w:tcW w:w="1722" w:type="dxa"/>
            <w:noWrap w:val="0"/>
            <w:vAlign w:val="center"/>
          </w:tcPr>
          <w:p>
            <w:pPr>
              <w:adjustRightInd w:val="0"/>
              <w:snapToGrid w:val="0"/>
              <w:spacing w:line="360" w:lineRule="exact"/>
              <w:jc w:val="center"/>
              <w:rPr>
                <w:color w:val="auto"/>
                <w:sz w:val="18"/>
                <w:szCs w:val="18"/>
              </w:rPr>
            </w:pPr>
            <w:r>
              <w:rPr>
                <w:color w:val="auto"/>
                <w:sz w:val="18"/>
                <w:szCs w:val="18"/>
              </w:rPr>
              <w:t>90~100</w:t>
            </w:r>
          </w:p>
        </w:tc>
        <w:tc>
          <w:tcPr>
            <w:tcW w:w="1691" w:type="dxa"/>
            <w:noWrap w:val="0"/>
            <w:vAlign w:val="center"/>
          </w:tcPr>
          <w:p>
            <w:pPr>
              <w:adjustRightInd w:val="0"/>
              <w:snapToGrid w:val="0"/>
              <w:spacing w:line="360" w:lineRule="exact"/>
              <w:jc w:val="center"/>
              <w:rPr>
                <w:color w:val="auto"/>
                <w:sz w:val="18"/>
                <w:szCs w:val="18"/>
              </w:rPr>
            </w:pPr>
            <w:r>
              <w:rPr>
                <w:color w:val="auto"/>
                <w:sz w:val="18"/>
                <w:szCs w:val="18"/>
              </w:rPr>
              <w:t>连续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1381" w:type="dxa"/>
            <w:noWrap w:val="0"/>
            <w:vAlign w:val="center"/>
          </w:tcPr>
          <w:p>
            <w:pPr>
              <w:adjustRightInd w:val="0"/>
              <w:snapToGrid w:val="0"/>
              <w:spacing w:line="360" w:lineRule="exact"/>
              <w:jc w:val="center"/>
              <w:rPr>
                <w:color w:val="auto"/>
                <w:sz w:val="18"/>
                <w:szCs w:val="18"/>
              </w:rPr>
            </w:pPr>
            <w:r>
              <w:rPr>
                <w:color w:val="auto"/>
                <w:sz w:val="18"/>
                <w:szCs w:val="18"/>
              </w:rPr>
              <w:t>5</w:t>
            </w:r>
          </w:p>
        </w:tc>
        <w:tc>
          <w:tcPr>
            <w:tcW w:w="2016" w:type="dxa"/>
            <w:noWrap w:val="0"/>
            <w:vAlign w:val="center"/>
          </w:tcPr>
          <w:p>
            <w:pPr>
              <w:adjustRightInd w:val="0"/>
              <w:snapToGrid w:val="0"/>
              <w:spacing w:line="360" w:lineRule="exact"/>
              <w:jc w:val="center"/>
              <w:rPr>
                <w:color w:val="auto"/>
                <w:sz w:val="18"/>
                <w:szCs w:val="18"/>
              </w:rPr>
            </w:pPr>
            <w:r>
              <w:rPr>
                <w:color w:val="auto"/>
                <w:sz w:val="18"/>
                <w:szCs w:val="18"/>
              </w:rPr>
              <w:t>破碎机</w:t>
            </w:r>
          </w:p>
        </w:tc>
        <w:tc>
          <w:tcPr>
            <w:tcW w:w="1722" w:type="dxa"/>
            <w:noWrap w:val="0"/>
            <w:vAlign w:val="center"/>
          </w:tcPr>
          <w:p>
            <w:pPr>
              <w:spacing w:line="360" w:lineRule="exact"/>
              <w:jc w:val="center"/>
              <w:rPr>
                <w:rFonts w:hint="eastAsia" w:eastAsia="宋体"/>
                <w:color w:val="auto"/>
                <w:sz w:val="18"/>
                <w:szCs w:val="18"/>
                <w:lang w:val="en-US" w:eastAsia="zh-CN"/>
              </w:rPr>
            </w:pPr>
            <w:r>
              <w:rPr>
                <w:rFonts w:hint="eastAsia"/>
                <w:color w:val="auto"/>
                <w:sz w:val="18"/>
                <w:szCs w:val="18"/>
                <w:lang w:val="en-US" w:eastAsia="zh-CN"/>
              </w:rPr>
              <w:t>2</w:t>
            </w:r>
          </w:p>
        </w:tc>
        <w:tc>
          <w:tcPr>
            <w:tcW w:w="1722" w:type="dxa"/>
            <w:noWrap w:val="0"/>
            <w:vAlign w:val="center"/>
          </w:tcPr>
          <w:p>
            <w:pPr>
              <w:spacing w:line="360" w:lineRule="exact"/>
              <w:jc w:val="center"/>
              <w:rPr>
                <w:color w:val="auto"/>
                <w:sz w:val="18"/>
                <w:szCs w:val="18"/>
              </w:rPr>
            </w:pPr>
            <w:r>
              <w:rPr>
                <w:color w:val="auto"/>
                <w:sz w:val="18"/>
                <w:szCs w:val="18"/>
              </w:rPr>
              <w:t>95~105</w:t>
            </w:r>
          </w:p>
        </w:tc>
        <w:tc>
          <w:tcPr>
            <w:tcW w:w="1691" w:type="dxa"/>
            <w:noWrap w:val="0"/>
            <w:vAlign w:val="center"/>
          </w:tcPr>
          <w:p>
            <w:pPr>
              <w:adjustRightInd w:val="0"/>
              <w:snapToGrid w:val="0"/>
              <w:spacing w:line="360" w:lineRule="exact"/>
              <w:jc w:val="center"/>
              <w:rPr>
                <w:color w:val="auto"/>
                <w:sz w:val="18"/>
                <w:szCs w:val="18"/>
              </w:rPr>
            </w:pPr>
            <w:r>
              <w:rPr>
                <w:color w:val="auto"/>
                <w:sz w:val="18"/>
                <w:szCs w:val="18"/>
              </w:rPr>
              <w:t>连续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1381" w:type="dxa"/>
            <w:noWrap w:val="0"/>
            <w:vAlign w:val="center"/>
          </w:tcPr>
          <w:p>
            <w:pPr>
              <w:adjustRightInd w:val="0"/>
              <w:snapToGrid w:val="0"/>
              <w:spacing w:line="360" w:lineRule="exact"/>
              <w:jc w:val="center"/>
              <w:rPr>
                <w:color w:val="auto"/>
                <w:sz w:val="18"/>
                <w:szCs w:val="18"/>
              </w:rPr>
            </w:pPr>
            <w:r>
              <w:rPr>
                <w:color w:val="auto"/>
                <w:sz w:val="18"/>
                <w:szCs w:val="18"/>
              </w:rPr>
              <w:t>6</w:t>
            </w:r>
          </w:p>
        </w:tc>
        <w:tc>
          <w:tcPr>
            <w:tcW w:w="2016" w:type="dxa"/>
            <w:noWrap w:val="0"/>
            <w:vAlign w:val="center"/>
          </w:tcPr>
          <w:p>
            <w:pPr>
              <w:adjustRightInd w:val="0"/>
              <w:snapToGrid w:val="0"/>
              <w:spacing w:line="360" w:lineRule="exact"/>
              <w:jc w:val="center"/>
              <w:rPr>
                <w:color w:val="auto"/>
                <w:sz w:val="18"/>
                <w:szCs w:val="18"/>
              </w:rPr>
            </w:pPr>
            <w:r>
              <w:rPr>
                <w:color w:val="auto"/>
                <w:sz w:val="18"/>
                <w:szCs w:val="18"/>
              </w:rPr>
              <w:t>振动筛</w:t>
            </w:r>
          </w:p>
        </w:tc>
        <w:tc>
          <w:tcPr>
            <w:tcW w:w="1722" w:type="dxa"/>
            <w:noWrap w:val="0"/>
            <w:vAlign w:val="center"/>
          </w:tcPr>
          <w:p>
            <w:pPr>
              <w:spacing w:line="360" w:lineRule="exact"/>
              <w:jc w:val="center"/>
              <w:rPr>
                <w:rFonts w:hint="eastAsia" w:eastAsia="宋体"/>
                <w:color w:val="auto"/>
                <w:sz w:val="18"/>
                <w:szCs w:val="18"/>
                <w:lang w:val="en-US" w:eastAsia="zh-CN"/>
              </w:rPr>
            </w:pPr>
            <w:r>
              <w:rPr>
                <w:rFonts w:hint="eastAsia"/>
                <w:color w:val="auto"/>
                <w:sz w:val="18"/>
                <w:szCs w:val="18"/>
                <w:lang w:val="en-US" w:eastAsia="zh-CN"/>
              </w:rPr>
              <w:t>1</w:t>
            </w:r>
          </w:p>
        </w:tc>
        <w:tc>
          <w:tcPr>
            <w:tcW w:w="1722" w:type="dxa"/>
            <w:noWrap w:val="0"/>
            <w:vAlign w:val="center"/>
          </w:tcPr>
          <w:p>
            <w:pPr>
              <w:spacing w:line="360" w:lineRule="exact"/>
              <w:jc w:val="center"/>
              <w:rPr>
                <w:color w:val="auto"/>
                <w:sz w:val="18"/>
                <w:szCs w:val="18"/>
              </w:rPr>
            </w:pPr>
            <w:r>
              <w:rPr>
                <w:color w:val="auto"/>
                <w:sz w:val="18"/>
                <w:szCs w:val="18"/>
              </w:rPr>
              <w:t>85~95</w:t>
            </w:r>
          </w:p>
        </w:tc>
        <w:tc>
          <w:tcPr>
            <w:tcW w:w="1691" w:type="dxa"/>
            <w:noWrap w:val="0"/>
            <w:vAlign w:val="center"/>
          </w:tcPr>
          <w:p>
            <w:pPr>
              <w:adjustRightInd w:val="0"/>
              <w:snapToGrid w:val="0"/>
              <w:spacing w:line="360" w:lineRule="exact"/>
              <w:jc w:val="center"/>
              <w:rPr>
                <w:color w:val="auto"/>
                <w:sz w:val="18"/>
                <w:szCs w:val="18"/>
              </w:rPr>
            </w:pPr>
            <w:r>
              <w:rPr>
                <w:color w:val="auto"/>
                <w:sz w:val="18"/>
                <w:szCs w:val="18"/>
              </w:rPr>
              <w:t>连续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381" w:type="dxa"/>
            <w:noWrap w:val="0"/>
            <w:vAlign w:val="center"/>
          </w:tcPr>
          <w:p>
            <w:pPr>
              <w:adjustRightInd w:val="0"/>
              <w:snapToGrid w:val="0"/>
              <w:spacing w:line="360" w:lineRule="exact"/>
              <w:jc w:val="center"/>
              <w:rPr>
                <w:color w:val="auto"/>
                <w:sz w:val="18"/>
                <w:szCs w:val="18"/>
              </w:rPr>
            </w:pPr>
            <w:r>
              <w:rPr>
                <w:color w:val="auto"/>
                <w:sz w:val="18"/>
                <w:szCs w:val="18"/>
              </w:rPr>
              <w:t>7</w:t>
            </w:r>
          </w:p>
        </w:tc>
        <w:tc>
          <w:tcPr>
            <w:tcW w:w="2016" w:type="dxa"/>
            <w:noWrap w:val="0"/>
            <w:vAlign w:val="center"/>
          </w:tcPr>
          <w:p>
            <w:pPr>
              <w:adjustRightInd w:val="0"/>
              <w:snapToGrid w:val="0"/>
              <w:spacing w:line="360" w:lineRule="exact"/>
              <w:jc w:val="center"/>
              <w:rPr>
                <w:color w:val="auto"/>
                <w:sz w:val="18"/>
                <w:szCs w:val="18"/>
              </w:rPr>
            </w:pPr>
            <w:r>
              <w:rPr>
                <w:color w:val="auto"/>
                <w:sz w:val="18"/>
                <w:szCs w:val="18"/>
              </w:rPr>
              <w:t>水泵</w:t>
            </w:r>
          </w:p>
        </w:tc>
        <w:tc>
          <w:tcPr>
            <w:tcW w:w="1722" w:type="dxa"/>
            <w:noWrap w:val="0"/>
            <w:vAlign w:val="center"/>
          </w:tcPr>
          <w:p>
            <w:pPr>
              <w:adjustRightInd w:val="0"/>
              <w:snapToGrid w:val="0"/>
              <w:spacing w:line="360" w:lineRule="exact"/>
              <w:jc w:val="center"/>
              <w:rPr>
                <w:rFonts w:hint="eastAsia"/>
                <w:color w:val="auto"/>
                <w:sz w:val="18"/>
                <w:szCs w:val="18"/>
                <w:lang w:val="en-US" w:eastAsia="zh-CN"/>
              </w:rPr>
            </w:pPr>
            <w:r>
              <w:rPr>
                <w:rFonts w:hint="eastAsia"/>
                <w:color w:val="auto"/>
                <w:sz w:val="18"/>
                <w:szCs w:val="18"/>
                <w:lang w:val="en-US" w:eastAsia="zh-CN"/>
              </w:rPr>
              <w:t>1</w:t>
            </w:r>
          </w:p>
        </w:tc>
        <w:tc>
          <w:tcPr>
            <w:tcW w:w="1722" w:type="dxa"/>
            <w:noWrap w:val="0"/>
            <w:vAlign w:val="center"/>
          </w:tcPr>
          <w:p>
            <w:pPr>
              <w:adjustRightInd w:val="0"/>
              <w:snapToGrid w:val="0"/>
              <w:spacing w:line="360" w:lineRule="exact"/>
              <w:jc w:val="center"/>
              <w:rPr>
                <w:rFonts w:hint="eastAsia"/>
                <w:color w:val="auto"/>
                <w:sz w:val="18"/>
                <w:szCs w:val="18"/>
                <w:lang w:val="en-US" w:eastAsia="zh-CN"/>
              </w:rPr>
            </w:pPr>
            <w:r>
              <w:rPr>
                <w:color w:val="auto"/>
                <w:sz w:val="18"/>
                <w:szCs w:val="18"/>
              </w:rPr>
              <w:t>8</w:t>
            </w:r>
            <w:r>
              <w:rPr>
                <w:rFonts w:hint="eastAsia"/>
                <w:color w:val="auto"/>
                <w:sz w:val="18"/>
                <w:szCs w:val="18"/>
                <w:lang w:val="en-US" w:eastAsia="zh-CN"/>
              </w:rPr>
              <w:t>0</w:t>
            </w:r>
            <w:r>
              <w:rPr>
                <w:color w:val="auto"/>
                <w:sz w:val="18"/>
                <w:szCs w:val="18"/>
              </w:rPr>
              <w:t>～</w:t>
            </w:r>
            <w:r>
              <w:rPr>
                <w:rFonts w:hint="eastAsia"/>
                <w:color w:val="auto"/>
                <w:sz w:val="18"/>
                <w:szCs w:val="18"/>
                <w:lang w:val="en-US" w:eastAsia="zh-CN"/>
              </w:rPr>
              <w:t>85</w:t>
            </w:r>
          </w:p>
        </w:tc>
        <w:tc>
          <w:tcPr>
            <w:tcW w:w="1691" w:type="dxa"/>
            <w:noWrap w:val="0"/>
            <w:vAlign w:val="center"/>
          </w:tcPr>
          <w:p>
            <w:pPr>
              <w:adjustRightInd w:val="0"/>
              <w:snapToGrid w:val="0"/>
              <w:spacing w:line="360" w:lineRule="exact"/>
              <w:jc w:val="center"/>
              <w:rPr>
                <w:color w:val="auto"/>
                <w:sz w:val="18"/>
                <w:szCs w:val="18"/>
              </w:rPr>
            </w:pPr>
            <w:r>
              <w:rPr>
                <w:color w:val="auto"/>
                <w:sz w:val="18"/>
                <w:szCs w:val="18"/>
              </w:rPr>
              <w:t>间断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1381" w:type="dxa"/>
            <w:noWrap w:val="0"/>
            <w:vAlign w:val="center"/>
          </w:tcPr>
          <w:p>
            <w:pPr>
              <w:adjustRightInd w:val="0"/>
              <w:snapToGrid w:val="0"/>
              <w:spacing w:line="360" w:lineRule="exact"/>
              <w:jc w:val="center"/>
              <w:rPr>
                <w:color w:val="auto"/>
                <w:sz w:val="18"/>
                <w:szCs w:val="18"/>
              </w:rPr>
            </w:pPr>
            <w:r>
              <w:rPr>
                <w:color w:val="auto"/>
                <w:sz w:val="18"/>
                <w:szCs w:val="18"/>
              </w:rPr>
              <w:t>8</w:t>
            </w:r>
          </w:p>
        </w:tc>
        <w:tc>
          <w:tcPr>
            <w:tcW w:w="2016" w:type="dxa"/>
            <w:noWrap w:val="0"/>
            <w:vAlign w:val="center"/>
          </w:tcPr>
          <w:p>
            <w:pPr>
              <w:adjustRightInd w:val="0"/>
              <w:snapToGrid w:val="0"/>
              <w:spacing w:line="360" w:lineRule="exact"/>
              <w:jc w:val="center"/>
              <w:rPr>
                <w:color w:val="auto"/>
                <w:sz w:val="18"/>
                <w:szCs w:val="18"/>
              </w:rPr>
            </w:pPr>
            <w:r>
              <w:rPr>
                <w:rFonts w:hint="eastAsia"/>
                <w:snapToGrid w:val="0"/>
                <w:color w:val="auto"/>
                <w:sz w:val="18"/>
                <w:szCs w:val="18"/>
                <w:lang w:eastAsia="zh-CN"/>
              </w:rPr>
              <w:t>深孔</w:t>
            </w:r>
            <w:r>
              <w:rPr>
                <w:color w:val="auto"/>
                <w:sz w:val="18"/>
                <w:szCs w:val="18"/>
              </w:rPr>
              <w:t>爆破</w:t>
            </w:r>
          </w:p>
        </w:tc>
        <w:tc>
          <w:tcPr>
            <w:tcW w:w="1722" w:type="dxa"/>
            <w:noWrap w:val="0"/>
            <w:vAlign w:val="center"/>
          </w:tcPr>
          <w:p>
            <w:pPr>
              <w:spacing w:line="360" w:lineRule="exact"/>
              <w:jc w:val="center"/>
              <w:rPr>
                <w:rFonts w:hint="eastAsia" w:eastAsia="宋体"/>
                <w:color w:val="auto"/>
                <w:sz w:val="18"/>
                <w:szCs w:val="18"/>
                <w:lang w:val="en-US" w:eastAsia="zh-CN"/>
              </w:rPr>
            </w:pPr>
            <w:r>
              <w:rPr>
                <w:rFonts w:hint="eastAsia"/>
                <w:color w:val="auto"/>
                <w:sz w:val="18"/>
                <w:szCs w:val="18"/>
                <w:lang w:val="en-US" w:eastAsia="zh-CN"/>
              </w:rPr>
              <w:t>1</w:t>
            </w:r>
          </w:p>
        </w:tc>
        <w:tc>
          <w:tcPr>
            <w:tcW w:w="1722" w:type="dxa"/>
            <w:noWrap w:val="0"/>
            <w:vAlign w:val="center"/>
          </w:tcPr>
          <w:p>
            <w:pPr>
              <w:spacing w:line="360" w:lineRule="exact"/>
              <w:jc w:val="center"/>
              <w:rPr>
                <w:color w:val="auto"/>
                <w:sz w:val="18"/>
                <w:szCs w:val="18"/>
              </w:rPr>
            </w:pPr>
            <w:r>
              <w:rPr>
                <w:color w:val="auto"/>
                <w:sz w:val="18"/>
                <w:szCs w:val="18"/>
              </w:rPr>
              <w:t>100~115</w:t>
            </w:r>
          </w:p>
        </w:tc>
        <w:tc>
          <w:tcPr>
            <w:tcW w:w="1691" w:type="dxa"/>
            <w:noWrap w:val="0"/>
            <w:vAlign w:val="center"/>
          </w:tcPr>
          <w:p>
            <w:pPr>
              <w:adjustRightInd w:val="0"/>
              <w:snapToGrid w:val="0"/>
              <w:spacing w:line="360" w:lineRule="exact"/>
              <w:jc w:val="center"/>
              <w:rPr>
                <w:color w:val="auto"/>
                <w:sz w:val="18"/>
                <w:szCs w:val="18"/>
              </w:rPr>
            </w:pPr>
            <w:r>
              <w:rPr>
                <w:color w:val="auto"/>
                <w:sz w:val="18"/>
                <w:szCs w:val="18"/>
              </w:rPr>
              <w:t>间断</w:t>
            </w:r>
          </w:p>
        </w:tc>
      </w:tr>
    </w:tbl>
    <w:p>
      <w:pPr>
        <w:spacing w:line="360" w:lineRule="auto"/>
        <w:ind w:firstLine="480"/>
        <w:rPr>
          <w:color w:val="auto"/>
          <w:sz w:val="24"/>
        </w:rPr>
      </w:pPr>
      <w:r>
        <w:rPr>
          <w:color w:val="auto"/>
          <w:sz w:val="24"/>
        </w:rPr>
        <w:t>本项目</w:t>
      </w:r>
      <w:r>
        <w:rPr>
          <w:rFonts w:hint="eastAsia"/>
          <w:color w:val="auto"/>
          <w:sz w:val="24"/>
          <w:lang w:eastAsia="zh-CN"/>
        </w:rPr>
        <w:t>对主要机械设备采取隔声、</w:t>
      </w:r>
      <w:r>
        <w:rPr>
          <w:color w:val="auto"/>
          <w:sz w:val="24"/>
        </w:rPr>
        <w:t>基础减振，设置防振橡胶</w:t>
      </w:r>
      <w:r>
        <w:rPr>
          <w:rFonts w:hint="eastAsia"/>
          <w:color w:val="auto"/>
          <w:sz w:val="24"/>
          <w:lang w:eastAsia="zh-CN"/>
        </w:rPr>
        <w:t>等措施</w:t>
      </w:r>
      <w:r>
        <w:rPr>
          <w:color w:val="auto"/>
          <w:sz w:val="24"/>
        </w:rPr>
        <w:t>，</w:t>
      </w:r>
      <w:r>
        <w:rPr>
          <w:rFonts w:hint="eastAsia"/>
          <w:color w:val="auto"/>
          <w:sz w:val="24"/>
          <w:lang w:eastAsia="zh-CN"/>
        </w:rPr>
        <w:t>破碎机、振动筛等设备设置在密闭厂房内，</w:t>
      </w:r>
      <w:r>
        <w:rPr>
          <w:color w:val="auto"/>
          <w:sz w:val="24"/>
        </w:rPr>
        <w:t>在水泵出口安装柔性接头。在采取以上治理措施后，本项目各工序的主要设备噪声值见表</w:t>
      </w:r>
      <w:r>
        <w:rPr>
          <w:rFonts w:hint="eastAsia"/>
          <w:color w:val="auto"/>
          <w:sz w:val="24"/>
        </w:rPr>
        <w:t>7-2-6</w:t>
      </w:r>
      <w:r>
        <w:rPr>
          <w:color w:val="auto"/>
          <w:sz w:val="24"/>
        </w:rPr>
        <w:t>。</w:t>
      </w:r>
    </w:p>
    <w:p>
      <w:pPr>
        <w:spacing w:line="480" w:lineRule="exact"/>
        <w:jc w:val="center"/>
        <w:rPr>
          <w:b/>
          <w:color w:val="auto"/>
          <w:sz w:val="24"/>
          <w:szCs w:val="24"/>
        </w:rPr>
      </w:pPr>
      <w:r>
        <w:rPr>
          <w:b/>
          <w:color w:val="auto"/>
          <w:sz w:val="24"/>
          <w:szCs w:val="24"/>
        </w:rPr>
        <w:t>表</w:t>
      </w:r>
      <w:r>
        <w:rPr>
          <w:rFonts w:hint="eastAsia"/>
          <w:b/>
          <w:color w:val="auto"/>
          <w:sz w:val="24"/>
          <w:szCs w:val="24"/>
        </w:rPr>
        <w:t>7-2-6</w:t>
      </w:r>
      <w:r>
        <w:rPr>
          <w:b/>
          <w:color w:val="auto"/>
          <w:sz w:val="24"/>
          <w:szCs w:val="24"/>
        </w:rPr>
        <w:t xml:space="preserve">  岩石加工过程主要设备噪声值</w:t>
      </w:r>
    </w:p>
    <w:tbl>
      <w:tblPr>
        <w:tblStyle w:val="53"/>
        <w:tblW w:w="8472"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76"/>
        <w:gridCol w:w="1217"/>
        <w:gridCol w:w="1078"/>
        <w:gridCol w:w="1050"/>
        <w:gridCol w:w="3117"/>
        <w:gridCol w:w="11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tcBorders>
              <w:top w:val="single" w:color="auto" w:sz="12" w:space="0"/>
              <w:left w:val="nil"/>
            </w:tcBorders>
            <w:noWrap w:val="0"/>
            <w:vAlign w:val="center"/>
          </w:tcPr>
          <w:p>
            <w:pPr>
              <w:spacing w:line="360" w:lineRule="exact"/>
              <w:jc w:val="center"/>
              <w:rPr>
                <w:color w:val="auto"/>
                <w:sz w:val="18"/>
                <w:szCs w:val="18"/>
              </w:rPr>
            </w:pPr>
            <w:r>
              <w:rPr>
                <w:color w:val="auto"/>
                <w:sz w:val="18"/>
                <w:szCs w:val="18"/>
              </w:rPr>
              <w:t>序号</w:t>
            </w:r>
          </w:p>
        </w:tc>
        <w:tc>
          <w:tcPr>
            <w:tcW w:w="1217" w:type="dxa"/>
            <w:tcBorders>
              <w:top w:val="single" w:color="auto" w:sz="12" w:space="0"/>
            </w:tcBorders>
            <w:noWrap w:val="0"/>
            <w:vAlign w:val="center"/>
          </w:tcPr>
          <w:p>
            <w:pPr>
              <w:spacing w:line="360" w:lineRule="exact"/>
              <w:jc w:val="center"/>
              <w:rPr>
                <w:color w:val="auto"/>
                <w:sz w:val="18"/>
                <w:szCs w:val="18"/>
              </w:rPr>
            </w:pPr>
            <w:r>
              <w:rPr>
                <w:color w:val="auto"/>
                <w:sz w:val="18"/>
                <w:szCs w:val="18"/>
              </w:rPr>
              <w:t>设备名称</w:t>
            </w:r>
          </w:p>
        </w:tc>
        <w:tc>
          <w:tcPr>
            <w:tcW w:w="1078" w:type="dxa"/>
            <w:tcBorders>
              <w:top w:val="single" w:color="auto" w:sz="12" w:space="0"/>
            </w:tcBorders>
            <w:noWrap w:val="0"/>
            <w:vAlign w:val="center"/>
          </w:tcPr>
          <w:p>
            <w:pPr>
              <w:spacing w:line="360" w:lineRule="exact"/>
              <w:jc w:val="center"/>
              <w:rPr>
                <w:color w:val="auto"/>
                <w:sz w:val="18"/>
                <w:szCs w:val="18"/>
              </w:rPr>
            </w:pPr>
            <w:r>
              <w:rPr>
                <w:color w:val="auto"/>
                <w:sz w:val="18"/>
                <w:szCs w:val="18"/>
              </w:rPr>
              <w:t>治理前</w:t>
            </w:r>
          </w:p>
        </w:tc>
        <w:tc>
          <w:tcPr>
            <w:tcW w:w="1050" w:type="dxa"/>
            <w:tcBorders>
              <w:top w:val="single" w:color="auto" w:sz="12" w:space="0"/>
            </w:tcBorders>
            <w:noWrap w:val="0"/>
            <w:vAlign w:val="center"/>
          </w:tcPr>
          <w:p>
            <w:pPr>
              <w:spacing w:line="360" w:lineRule="exact"/>
              <w:jc w:val="center"/>
              <w:rPr>
                <w:color w:val="auto"/>
                <w:sz w:val="18"/>
                <w:szCs w:val="18"/>
              </w:rPr>
            </w:pPr>
            <w:r>
              <w:rPr>
                <w:color w:val="auto"/>
                <w:sz w:val="18"/>
                <w:szCs w:val="18"/>
              </w:rPr>
              <w:t>噪声性质</w:t>
            </w:r>
          </w:p>
        </w:tc>
        <w:tc>
          <w:tcPr>
            <w:tcW w:w="3117" w:type="dxa"/>
            <w:tcBorders>
              <w:top w:val="single" w:color="auto" w:sz="12" w:space="0"/>
            </w:tcBorders>
            <w:noWrap w:val="0"/>
            <w:vAlign w:val="center"/>
          </w:tcPr>
          <w:p>
            <w:pPr>
              <w:spacing w:line="360" w:lineRule="exact"/>
              <w:jc w:val="center"/>
              <w:rPr>
                <w:color w:val="auto"/>
                <w:sz w:val="18"/>
                <w:szCs w:val="18"/>
              </w:rPr>
            </w:pPr>
            <w:r>
              <w:rPr>
                <w:color w:val="auto"/>
                <w:sz w:val="18"/>
                <w:szCs w:val="18"/>
              </w:rPr>
              <w:t>治理措施</w:t>
            </w:r>
          </w:p>
        </w:tc>
        <w:tc>
          <w:tcPr>
            <w:tcW w:w="1134" w:type="dxa"/>
            <w:tcBorders>
              <w:top w:val="single" w:color="auto" w:sz="12" w:space="0"/>
              <w:right w:val="nil"/>
            </w:tcBorders>
            <w:noWrap w:val="0"/>
            <w:vAlign w:val="center"/>
          </w:tcPr>
          <w:p>
            <w:pPr>
              <w:spacing w:line="360" w:lineRule="exact"/>
              <w:jc w:val="center"/>
              <w:rPr>
                <w:color w:val="auto"/>
                <w:sz w:val="18"/>
                <w:szCs w:val="18"/>
              </w:rPr>
            </w:pPr>
            <w:r>
              <w:rPr>
                <w:color w:val="auto"/>
                <w:sz w:val="18"/>
                <w:szCs w:val="18"/>
              </w:rPr>
              <w:t>治理后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tcBorders>
              <w:left w:val="nil"/>
            </w:tcBorders>
            <w:noWrap w:val="0"/>
            <w:vAlign w:val="center"/>
          </w:tcPr>
          <w:p>
            <w:pPr>
              <w:spacing w:line="360" w:lineRule="exact"/>
              <w:jc w:val="center"/>
              <w:rPr>
                <w:color w:val="auto"/>
                <w:sz w:val="18"/>
                <w:szCs w:val="18"/>
              </w:rPr>
            </w:pPr>
            <w:r>
              <w:rPr>
                <w:color w:val="auto"/>
                <w:sz w:val="18"/>
                <w:szCs w:val="18"/>
              </w:rPr>
              <w:t>1</w:t>
            </w:r>
          </w:p>
        </w:tc>
        <w:tc>
          <w:tcPr>
            <w:tcW w:w="1217" w:type="dxa"/>
            <w:noWrap w:val="0"/>
            <w:vAlign w:val="center"/>
          </w:tcPr>
          <w:p>
            <w:pPr>
              <w:spacing w:line="360" w:lineRule="exact"/>
              <w:jc w:val="center"/>
              <w:rPr>
                <w:color w:val="auto"/>
                <w:sz w:val="18"/>
                <w:szCs w:val="18"/>
              </w:rPr>
            </w:pPr>
            <w:r>
              <w:rPr>
                <w:color w:val="auto"/>
                <w:sz w:val="18"/>
                <w:szCs w:val="18"/>
              </w:rPr>
              <w:t>凿岩机</w:t>
            </w:r>
          </w:p>
        </w:tc>
        <w:tc>
          <w:tcPr>
            <w:tcW w:w="1078" w:type="dxa"/>
            <w:noWrap w:val="0"/>
            <w:vAlign w:val="center"/>
          </w:tcPr>
          <w:p>
            <w:pPr>
              <w:spacing w:line="360" w:lineRule="exact"/>
              <w:jc w:val="center"/>
              <w:rPr>
                <w:color w:val="auto"/>
                <w:sz w:val="18"/>
                <w:szCs w:val="18"/>
              </w:rPr>
            </w:pPr>
            <w:r>
              <w:rPr>
                <w:color w:val="auto"/>
                <w:sz w:val="18"/>
                <w:szCs w:val="18"/>
              </w:rPr>
              <w:t>95~115</w:t>
            </w:r>
          </w:p>
        </w:tc>
        <w:tc>
          <w:tcPr>
            <w:tcW w:w="1050" w:type="dxa"/>
            <w:noWrap w:val="0"/>
            <w:vAlign w:val="center"/>
          </w:tcPr>
          <w:p>
            <w:pPr>
              <w:spacing w:line="360" w:lineRule="exact"/>
              <w:jc w:val="center"/>
              <w:rPr>
                <w:color w:val="auto"/>
                <w:sz w:val="18"/>
                <w:szCs w:val="18"/>
              </w:rPr>
            </w:pPr>
            <w:r>
              <w:rPr>
                <w:color w:val="auto"/>
                <w:sz w:val="18"/>
                <w:szCs w:val="18"/>
              </w:rPr>
              <w:t>间断性</w:t>
            </w:r>
          </w:p>
        </w:tc>
        <w:tc>
          <w:tcPr>
            <w:tcW w:w="3117" w:type="dxa"/>
            <w:noWrap w:val="0"/>
            <w:vAlign w:val="center"/>
          </w:tcPr>
          <w:p>
            <w:pPr>
              <w:spacing w:line="360" w:lineRule="exact"/>
              <w:jc w:val="center"/>
              <w:rPr>
                <w:color w:val="auto"/>
                <w:sz w:val="18"/>
                <w:szCs w:val="18"/>
              </w:rPr>
            </w:pPr>
            <w:r>
              <w:rPr>
                <w:color w:val="auto"/>
                <w:sz w:val="18"/>
                <w:szCs w:val="18"/>
              </w:rPr>
              <w:t>基础减震</w:t>
            </w:r>
          </w:p>
        </w:tc>
        <w:tc>
          <w:tcPr>
            <w:tcW w:w="1134" w:type="dxa"/>
            <w:tcBorders>
              <w:right w:val="nil"/>
            </w:tcBorders>
            <w:noWrap w:val="0"/>
            <w:vAlign w:val="center"/>
          </w:tcPr>
          <w:p>
            <w:pPr>
              <w:spacing w:line="360" w:lineRule="exact"/>
              <w:jc w:val="center"/>
              <w:rPr>
                <w:color w:val="auto"/>
                <w:sz w:val="18"/>
                <w:szCs w:val="18"/>
              </w:rPr>
            </w:pPr>
            <w:r>
              <w:rPr>
                <w:color w:val="auto"/>
                <w:sz w:val="18"/>
                <w:szCs w:val="18"/>
              </w:rPr>
              <w:t>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tcBorders>
              <w:left w:val="nil"/>
            </w:tcBorders>
            <w:noWrap w:val="0"/>
            <w:vAlign w:val="center"/>
          </w:tcPr>
          <w:p>
            <w:pPr>
              <w:spacing w:line="360" w:lineRule="exact"/>
              <w:jc w:val="center"/>
              <w:rPr>
                <w:color w:val="auto"/>
                <w:sz w:val="18"/>
                <w:szCs w:val="18"/>
              </w:rPr>
            </w:pPr>
            <w:r>
              <w:rPr>
                <w:color w:val="auto"/>
                <w:sz w:val="18"/>
                <w:szCs w:val="18"/>
              </w:rPr>
              <w:t>2</w:t>
            </w:r>
          </w:p>
        </w:tc>
        <w:tc>
          <w:tcPr>
            <w:tcW w:w="1217" w:type="dxa"/>
            <w:noWrap w:val="0"/>
            <w:vAlign w:val="center"/>
          </w:tcPr>
          <w:p>
            <w:pPr>
              <w:spacing w:line="360" w:lineRule="exact"/>
              <w:jc w:val="center"/>
              <w:rPr>
                <w:color w:val="auto"/>
                <w:sz w:val="18"/>
                <w:szCs w:val="18"/>
              </w:rPr>
            </w:pPr>
            <w:r>
              <w:rPr>
                <w:color w:val="auto"/>
                <w:sz w:val="18"/>
                <w:szCs w:val="18"/>
              </w:rPr>
              <w:t>空压机</w:t>
            </w:r>
          </w:p>
        </w:tc>
        <w:tc>
          <w:tcPr>
            <w:tcW w:w="1078" w:type="dxa"/>
            <w:noWrap w:val="0"/>
            <w:vAlign w:val="center"/>
          </w:tcPr>
          <w:p>
            <w:pPr>
              <w:spacing w:line="360" w:lineRule="exact"/>
              <w:jc w:val="center"/>
              <w:rPr>
                <w:color w:val="auto"/>
                <w:sz w:val="18"/>
                <w:szCs w:val="18"/>
              </w:rPr>
            </w:pPr>
            <w:r>
              <w:rPr>
                <w:color w:val="auto"/>
                <w:sz w:val="18"/>
                <w:szCs w:val="18"/>
              </w:rPr>
              <w:t>75~90</w:t>
            </w:r>
          </w:p>
        </w:tc>
        <w:tc>
          <w:tcPr>
            <w:tcW w:w="1050" w:type="dxa"/>
            <w:noWrap w:val="0"/>
            <w:vAlign w:val="center"/>
          </w:tcPr>
          <w:p>
            <w:pPr>
              <w:spacing w:line="360" w:lineRule="exact"/>
              <w:jc w:val="center"/>
              <w:rPr>
                <w:color w:val="auto"/>
                <w:sz w:val="18"/>
                <w:szCs w:val="18"/>
              </w:rPr>
            </w:pPr>
            <w:r>
              <w:rPr>
                <w:color w:val="auto"/>
                <w:sz w:val="18"/>
                <w:szCs w:val="18"/>
              </w:rPr>
              <w:t>间断性</w:t>
            </w:r>
          </w:p>
        </w:tc>
        <w:tc>
          <w:tcPr>
            <w:tcW w:w="3117" w:type="dxa"/>
            <w:noWrap w:val="0"/>
            <w:vAlign w:val="center"/>
          </w:tcPr>
          <w:p>
            <w:pPr>
              <w:spacing w:line="360" w:lineRule="exact"/>
              <w:jc w:val="center"/>
              <w:rPr>
                <w:color w:val="auto"/>
                <w:sz w:val="18"/>
                <w:szCs w:val="18"/>
              </w:rPr>
            </w:pPr>
            <w:r>
              <w:rPr>
                <w:color w:val="auto"/>
                <w:sz w:val="18"/>
                <w:szCs w:val="18"/>
              </w:rPr>
              <w:t>基础减震、隔声</w:t>
            </w:r>
          </w:p>
        </w:tc>
        <w:tc>
          <w:tcPr>
            <w:tcW w:w="1134" w:type="dxa"/>
            <w:tcBorders>
              <w:right w:val="nil"/>
            </w:tcBorders>
            <w:noWrap w:val="0"/>
            <w:vAlign w:val="center"/>
          </w:tcPr>
          <w:p>
            <w:pPr>
              <w:spacing w:line="360" w:lineRule="exact"/>
              <w:jc w:val="center"/>
              <w:rPr>
                <w:color w:val="auto"/>
                <w:sz w:val="18"/>
                <w:szCs w:val="18"/>
              </w:rPr>
            </w:pPr>
            <w:r>
              <w:rPr>
                <w:color w:val="auto"/>
                <w:sz w:val="18"/>
                <w:szCs w:val="18"/>
              </w:rPr>
              <w:t>85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tcBorders>
              <w:left w:val="nil"/>
            </w:tcBorders>
            <w:noWrap w:val="0"/>
            <w:vAlign w:val="center"/>
          </w:tcPr>
          <w:p>
            <w:pPr>
              <w:spacing w:line="360" w:lineRule="exact"/>
              <w:jc w:val="center"/>
              <w:rPr>
                <w:color w:val="auto"/>
                <w:sz w:val="18"/>
                <w:szCs w:val="18"/>
              </w:rPr>
            </w:pPr>
            <w:r>
              <w:rPr>
                <w:color w:val="auto"/>
                <w:sz w:val="18"/>
                <w:szCs w:val="18"/>
              </w:rPr>
              <w:t>3</w:t>
            </w:r>
          </w:p>
        </w:tc>
        <w:tc>
          <w:tcPr>
            <w:tcW w:w="1217" w:type="dxa"/>
            <w:noWrap w:val="0"/>
            <w:vAlign w:val="center"/>
          </w:tcPr>
          <w:p>
            <w:pPr>
              <w:spacing w:line="360" w:lineRule="exact"/>
              <w:jc w:val="center"/>
              <w:rPr>
                <w:color w:val="auto"/>
                <w:sz w:val="18"/>
                <w:szCs w:val="18"/>
              </w:rPr>
            </w:pPr>
            <w:r>
              <w:rPr>
                <w:color w:val="auto"/>
                <w:sz w:val="18"/>
                <w:szCs w:val="18"/>
              </w:rPr>
              <w:t>挖掘机</w:t>
            </w:r>
          </w:p>
        </w:tc>
        <w:tc>
          <w:tcPr>
            <w:tcW w:w="1078" w:type="dxa"/>
            <w:noWrap w:val="0"/>
            <w:vAlign w:val="center"/>
          </w:tcPr>
          <w:p>
            <w:pPr>
              <w:spacing w:line="360" w:lineRule="exact"/>
              <w:jc w:val="center"/>
              <w:rPr>
                <w:color w:val="auto"/>
                <w:sz w:val="18"/>
                <w:szCs w:val="18"/>
              </w:rPr>
            </w:pPr>
            <w:r>
              <w:rPr>
                <w:color w:val="auto"/>
                <w:sz w:val="18"/>
                <w:szCs w:val="18"/>
              </w:rPr>
              <w:t>80~90</w:t>
            </w:r>
          </w:p>
        </w:tc>
        <w:tc>
          <w:tcPr>
            <w:tcW w:w="1050" w:type="dxa"/>
            <w:noWrap w:val="0"/>
            <w:vAlign w:val="center"/>
          </w:tcPr>
          <w:p>
            <w:pPr>
              <w:spacing w:line="360" w:lineRule="exact"/>
              <w:jc w:val="center"/>
              <w:rPr>
                <w:color w:val="auto"/>
                <w:sz w:val="18"/>
                <w:szCs w:val="18"/>
              </w:rPr>
            </w:pPr>
            <w:r>
              <w:rPr>
                <w:color w:val="auto"/>
                <w:sz w:val="18"/>
                <w:szCs w:val="18"/>
              </w:rPr>
              <w:t>间断性</w:t>
            </w:r>
          </w:p>
        </w:tc>
        <w:tc>
          <w:tcPr>
            <w:tcW w:w="3117" w:type="dxa"/>
            <w:noWrap w:val="0"/>
            <w:vAlign w:val="center"/>
          </w:tcPr>
          <w:p>
            <w:pPr>
              <w:spacing w:line="360" w:lineRule="exact"/>
              <w:jc w:val="center"/>
              <w:rPr>
                <w:color w:val="auto"/>
                <w:sz w:val="18"/>
                <w:szCs w:val="18"/>
              </w:rPr>
            </w:pPr>
            <w:r>
              <w:rPr>
                <w:color w:val="auto"/>
                <w:sz w:val="18"/>
                <w:szCs w:val="18"/>
              </w:rPr>
              <w:t>润滑零件、车的保养</w:t>
            </w:r>
          </w:p>
        </w:tc>
        <w:tc>
          <w:tcPr>
            <w:tcW w:w="1134" w:type="dxa"/>
            <w:tcBorders>
              <w:right w:val="nil"/>
            </w:tcBorders>
            <w:noWrap w:val="0"/>
            <w:vAlign w:val="center"/>
          </w:tcPr>
          <w:p>
            <w:pPr>
              <w:spacing w:line="360" w:lineRule="exact"/>
              <w:jc w:val="center"/>
              <w:rPr>
                <w:color w:val="auto"/>
                <w:sz w:val="18"/>
                <w:szCs w:val="18"/>
              </w:rPr>
            </w:pPr>
            <w:r>
              <w:rPr>
                <w:color w:val="auto"/>
                <w:sz w:val="18"/>
                <w:szCs w:val="18"/>
              </w:rPr>
              <w:t>85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tcBorders>
              <w:left w:val="nil"/>
            </w:tcBorders>
            <w:noWrap w:val="0"/>
            <w:vAlign w:val="center"/>
          </w:tcPr>
          <w:p>
            <w:pPr>
              <w:spacing w:line="360" w:lineRule="exact"/>
              <w:jc w:val="center"/>
              <w:rPr>
                <w:color w:val="auto"/>
                <w:sz w:val="18"/>
                <w:szCs w:val="18"/>
              </w:rPr>
            </w:pPr>
            <w:r>
              <w:rPr>
                <w:color w:val="auto"/>
                <w:sz w:val="18"/>
                <w:szCs w:val="18"/>
              </w:rPr>
              <w:t>4</w:t>
            </w:r>
          </w:p>
        </w:tc>
        <w:tc>
          <w:tcPr>
            <w:tcW w:w="1217" w:type="dxa"/>
            <w:noWrap w:val="0"/>
            <w:vAlign w:val="center"/>
          </w:tcPr>
          <w:p>
            <w:pPr>
              <w:adjustRightInd w:val="0"/>
              <w:snapToGrid w:val="0"/>
              <w:spacing w:line="360" w:lineRule="exact"/>
              <w:jc w:val="center"/>
              <w:rPr>
                <w:color w:val="auto"/>
                <w:sz w:val="18"/>
                <w:szCs w:val="18"/>
              </w:rPr>
            </w:pPr>
            <w:r>
              <w:rPr>
                <w:color w:val="auto"/>
                <w:sz w:val="18"/>
                <w:szCs w:val="18"/>
              </w:rPr>
              <w:t>推土机</w:t>
            </w:r>
          </w:p>
        </w:tc>
        <w:tc>
          <w:tcPr>
            <w:tcW w:w="1078" w:type="dxa"/>
            <w:noWrap w:val="0"/>
            <w:vAlign w:val="center"/>
          </w:tcPr>
          <w:p>
            <w:pPr>
              <w:adjustRightInd w:val="0"/>
              <w:snapToGrid w:val="0"/>
              <w:spacing w:line="360" w:lineRule="exact"/>
              <w:jc w:val="center"/>
              <w:rPr>
                <w:color w:val="auto"/>
                <w:sz w:val="18"/>
                <w:szCs w:val="18"/>
              </w:rPr>
            </w:pPr>
            <w:r>
              <w:rPr>
                <w:color w:val="auto"/>
                <w:sz w:val="18"/>
                <w:szCs w:val="18"/>
              </w:rPr>
              <w:t>90~100</w:t>
            </w:r>
          </w:p>
        </w:tc>
        <w:tc>
          <w:tcPr>
            <w:tcW w:w="1050" w:type="dxa"/>
            <w:noWrap w:val="0"/>
            <w:vAlign w:val="center"/>
          </w:tcPr>
          <w:p>
            <w:pPr>
              <w:adjustRightInd w:val="0"/>
              <w:snapToGrid w:val="0"/>
              <w:spacing w:line="360" w:lineRule="exact"/>
              <w:jc w:val="center"/>
              <w:rPr>
                <w:color w:val="auto"/>
                <w:sz w:val="18"/>
                <w:szCs w:val="18"/>
              </w:rPr>
            </w:pPr>
            <w:r>
              <w:rPr>
                <w:color w:val="auto"/>
                <w:sz w:val="18"/>
                <w:szCs w:val="18"/>
              </w:rPr>
              <w:t>连续性</w:t>
            </w:r>
          </w:p>
        </w:tc>
        <w:tc>
          <w:tcPr>
            <w:tcW w:w="3117" w:type="dxa"/>
            <w:noWrap w:val="0"/>
            <w:vAlign w:val="center"/>
          </w:tcPr>
          <w:p>
            <w:pPr>
              <w:spacing w:line="360" w:lineRule="exact"/>
              <w:jc w:val="center"/>
              <w:rPr>
                <w:color w:val="auto"/>
                <w:sz w:val="18"/>
                <w:szCs w:val="18"/>
              </w:rPr>
            </w:pPr>
            <w:r>
              <w:rPr>
                <w:color w:val="auto"/>
                <w:sz w:val="18"/>
                <w:szCs w:val="18"/>
              </w:rPr>
              <w:t>润滑零件、车的保养</w:t>
            </w:r>
          </w:p>
        </w:tc>
        <w:tc>
          <w:tcPr>
            <w:tcW w:w="1134" w:type="dxa"/>
            <w:tcBorders>
              <w:right w:val="nil"/>
            </w:tcBorders>
            <w:noWrap w:val="0"/>
            <w:vAlign w:val="center"/>
          </w:tcPr>
          <w:p>
            <w:pPr>
              <w:spacing w:line="360" w:lineRule="exact"/>
              <w:jc w:val="center"/>
              <w:rPr>
                <w:color w:val="auto"/>
                <w:sz w:val="18"/>
                <w:szCs w:val="18"/>
              </w:rPr>
            </w:pPr>
            <w:r>
              <w:rPr>
                <w:color w:val="auto"/>
                <w:sz w:val="18"/>
                <w:szCs w:val="18"/>
              </w:rPr>
              <w:t>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tcBorders>
              <w:left w:val="nil"/>
            </w:tcBorders>
            <w:noWrap w:val="0"/>
            <w:vAlign w:val="center"/>
          </w:tcPr>
          <w:p>
            <w:pPr>
              <w:spacing w:line="360" w:lineRule="exact"/>
              <w:jc w:val="center"/>
              <w:rPr>
                <w:color w:val="auto"/>
                <w:sz w:val="18"/>
                <w:szCs w:val="18"/>
              </w:rPr>
            </w:pPr>
            <w:r>
              <w:rPr>
                <w:color w:val="auto"/>
                <w:sz w:val="18"/>
                <w:szCs w:val="18"/>
              </w:rPr>
              <w:t>5</w:t>
            </w:r>
          </w:p>
        </w:tc>
        <w:tc>
          <w:tcPr>
            <w:tcW w:w="1217" w:type="dxa"/>
            <w:noWrap w:val="0"/>
            <w:vAlign w:val="center"/>
          </w:tcPr>
          <w:p>
            <w:pPr>
              <w:spacing w:line="360" w:lineRule="exact"/>
              <w:jc w:val="center"/>
              <w:rPr>
                <w:color w:val="auto"/>
                <w:sz w:val="18"/>
                <w:szCs w:val="18"/>
              </w:rPr>
            </w:pPr>
            <w:r>
              <w:rPr>
                <w:color w:val="auto"/>
                <w:sz w:val="18"/>
                <w:szCs w:val="18"/>
              </w:rPr>
              <w:t>破碎机</w:t>
            </w:r>
          </w:p>
        </w:tc>
        <w:tc>
          <w:tcPr>
            <w:tcW w:w="1078" w:type="dxa"/>
            <w:noWrap w:val="0"/>
            <w:vAlign w:val="center"/>
          </w:tcPr>
          <w:p>
            <w:pPr>
              <w:spacing w:line="360" w:lineRule="exact"/>
              <w:jc w:val="center"/>
              <w:rPr>
                <w:color w:val="auto"/>
                <w:sz w:val="18"/>
                <w:szCs w:val="18"/>
              </w:rPr>
            </w:pPr>
            <w:r>
              <w:rPr>
                <w:color w:val="auto"/>
                <w:sz w:val="18"/>
                <w:szCs w:val="18"/>
              </w:rPr>
              <w:t>95~105</w:t>
            </w:r>
          </w:p>
        </w:tc>
        <w:tc>
          <w:tcPr>
            <w:tcW w:w="1050" w:type="dxa"/>
            <w:noWrap w:val="0"/>
            <w:vAlign w:val="center"/>
          </w:tcPr>
          <w:p>
            <w:pPr>
              <w:spacing w:line="360" w:lineRule="exact"/>
              <w:jc w:val="center"/>
              <w:rPr>
                <w:color w:val="auto"/>
                <w:sz w:val="18"/>
                <w:szCs w:val="18"/>
              </w:rPr>
            </w:pPr>
            <w:r>
              <w:rPr>
                <w:color w:val="auto"/>
                <w:sz w:val="18"/>
                <w:szCs w:val="18"/>
              </w:rPr>
              <w:t>连续性</w:t>
            </w:r>
          </w:p>
        </w:tc>
        <w:tc>
          <w:tcPr>
            <w:tcW w:w="3117" w:type="dxa"/>
            <w:noWrap w:val="0"/>
            <w:vAlign w:val="center"/>
          </w:tcPr>
          <w:p>
            <w:pPr>
              <w:spacing w:line="360" w:lineRule="exact"/>
              <w:jc w:val="center"/>
              <w:rPr>
                <w:color w:val="auto"/>
                <w:sz w:val="18"/>
                <w:szCs w:val="18"/>
              </w:rPr>
            </w:pPr>
            <w:r>
              <w:rPr>
                <w:rFonts w:hint="eastAsia"/>
                <w:color w:val="auto"/>
                <w:sz w:val="18"/>
                <w:szCs w:val="18"/>
                <w:lang w:eastAsia="zh-CN"/>
              </w:rPr>
              <w:t>密闭厂房、</w:t>
            </w:r>
            <w:r>
              <w:rPr>
                <w:color w:val="auto"/>
                <w:sz w:val="18"/>
                <w:szCs w:val="18"/>
              </w:rPr>
              <w:t>基础减震、隔声</w:t>
            </w:r>
          </w:p>
        </w:tc>
        <w:tc>
          <w:tcPr>
            <w:tcW w:w="1134" w:type="dxa"/>
            <w:tcBorders>
              <w:right w:val="nil"/>
            </w:tcBorders>
            <w:noWrap w:val="0"/>
            <w:vAlign w:val="center"/>
          </w:tcPr>
          <w:p>
            <w:pPr>
              <w:spacing w:line="360" w:lineRule="exact"/>
              <w:jc w:val="center"/>
              <w:rPr>
                <w:color w:val="auto"/>
                <w:sz w:val="18"/>
                <w:szCs w:val="18"/>
              </w:rPr>
            </w:pPr>
            <w:r>
              <w:rPr>
                <w:color w:val="auto"/>
                <w:sz w:val="18"/>
                <w:szCs w:val="18"/>
              </w:rPr>
              <w:t>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tcBorders>
              <w:left w:val="nil"/>
            </w:tcBorders>
            <w:noWrap w:val="0"/>
            <w:vAlign w:val="center"/>
          </w:tcPr>
          <w:p>
            <w:pPr>
              <w:spacing w:line="360" w:lineRule="exact"/>
              <w:jc w:val="center"/>
              <w:rPr>
                <w:color w:val="auto"/>
                <w:sz w:val="18"/>
                <w:szCs w:val="18"/>
              </w:rPr>
            </w:pPr>
            <w:r>
              <w:rPr>
                <w:color w:val="auto"/>
                <w:sz w:val="18"/>
                <w:szCs w:val="18"/>
              </w:rPr>
              <w:t>6</w:t>
            </w:r>
          </w:p>
        </w:tc>
        <w:tc>
          <w:tcPr>
            <w:tcW w:w="1217" w:type="dxa"/>
            <w:noWrap w:val="0"/>
            <w:vAlign w:val="center"/>
          </w:tcPr>
          <w:p>
            <w:pPr>
              <w:spacing w:line="360" w:lineRule="exact"/>
              <w:jc w:val="center"/>
              <w:rPr>
                <w:color w:val="auto"/>
                <w:sz w:val="18"/>
                <w:szCs w:val="18"/>
              </w:rPr>
            </w:pPr>
            <w:r>
              <w:rPr>
                <w:color w:val="auto"/>
                <w:sz w:val="18"/>
                <w:szCs w:val="18"/>
              </w:rPr>
              <w:t>振动筛</w:t>
            </w:r>
          </w:p>
        </w:tc>
        <w:tc>
          <w:tcPr>
            <w:tcW w:w="1078" w:type="dxa"/>
            <w:noWrap w:val="0"/>
            <w:vAlign w:val="center"/>
          </w:tcPr>
          <w:p>
            <w:pPr>
              <w:spacing w:line="360" w:lineRule="exact"/>
              <w:jc w:val="center"/>
              <w:rPr>
                <w:color w:val="auto"/>
                <w:sz w:val="18"/>
                <w:szCs w:val="18"/>
              </w:rPr>
            </w:pPr>
            <w:r>
              <w:rPr>
                <w:color w:val="auto"/>
                <w:sz w:val="18"/>
                <w:szCs w:val="18"/>
              </w:rPr>
              <w:t>85~95</w:t>
            </w:r>
          </w:p>
        </w:tc>
        <w:tc>
          <w:tcPr>
            <w:tcW w:w="1050" w:type="dxa"/>
            <w:noWrap w:val="0"/>
            <w:vAlign w:val="center"/>
          </w:tcPr>
          <w:p>
            <w:pPr>
              <w:spacing w:line="360" w:lineRule="exact"/>
              <w:jc w:val="center"/>
              <w:rPr>
                <w:color w:val="auto"/>
                <w:sz w:val="18"/>
                <w:szCs w:val="18"/>
              </w:rPr>
            </w:pPr>
            <w:r>
              <w:rPr>
                <w:color w:val="auto"/>
                <w:sz w:val="18"/>
                <w:szCs w:val="18"/>
              </w:rPr>
              <w:t>连续性</w:t>
            </w:r>
          </w:p>
        </w:tc>
        <w:tc>
          <w:tcPr>
            <w:tcW w:w="3117" w:type="dxa"/>
            <w:noWrap w:val="0"/>
            <w:vAlign w:val="center"/>
          </w:tcPr>
          <w:p>
            <w:pPr>
              <w:spacing w:line="360" w:lineRule="exact"/>
              <w:jc w:val="center"/>
              <w:rPr>
                <w:color w:val="auto"/>
                <w:sz w:val="18"/>
                <w:szCs w:val="18"/>
              </w:rPr>
            </w:pPr>
            <w:r>
              <w:rPr>
                <w:rFonts w:hint="eastAsia"/>
                <w:color w:val="auto"/>
                <w:sz w:val="18"/>
                <w:szCs w:val="18"/>
                <w:lang w:eastAsia="zh-CN"/>
              </w:rPr>
              <w:t>密闭厂房、</w:t>
            </w:r>
            <w:r>
              <w:rPr>
                <w:color w:val="auto"/>
                <w:sz w:val="18"/>
                <w:szCs w:val="18"/>
              </w:rPr>
              <w:t>基础减震、隔声</w:t>
            </w:r>
          </w:p>
        </w:tc>
        <w:tc>
          <w:tcPr>
            <w:tcW w:w="1134" w:type="dxa"/>
            <w:tcBorders>
              <w:right w:val="nil"/>
            </w:tcBorders>
            <w:noWrap w:val="0"/>
            <w:vAlign w:val="center"/>
          </w:tcPr>
          <w:p>
            <w:pPr>
              <w:spacing w:line="360" w:lineRule="exact"/>
              <w:jc w:val="center"/>
              <w:rPr>
                <w:color w:val="auto"/>
                <w:sz w:val="18"/>
                <w:szCs w:val="18"/>
              </w:rPr>
            </w:pPr>
            <w:r>
              <w:rPr>
                <w:color w:val="auto"/>
                <w:sz w:val="18"/>
                <w:szCs w:val="18"/>
              </w:rPr>
              <w:t>85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tcBorders>
              <w:left w:val="nil"/>
            </w:tcBorders>
            <w:noWrap w:val="0"/>
            <w:vAlign w:val="center"/>
          </w:tcPr>
          <w:p>
            <w:pPr>
              <w:spacing w:line="360" w:lineRule="exact"/>
              <w:jc w:val="center"/>
              <w:rPr>
                <w:color w:val="auto"/>
                <w:sz w:val="18"/>
                <w:szCs w:val="18"/>
              </w:rPr>
            </w:pPr>
            <w:r>
              <w:rPr>
                <w:color w:val="auto"/>
                <w:sz w:val="18"/>
                <w:szCs w:val="18"/>
              </w:rPr>
              <w:t>7</w:t>
            </w:r>
          </w:p>
        </w:tc>
        <w:tc>
          <w:tcPr>
            <w:tcW w:w="1217" w:type="dxa"/>
            <w:noWrap w:val="0"/>
            <w:vAlign w:val="center"/>
          </w:tcPr>
          <w:p>
            <w:pPr>
              <w:spacing w:line="360" w:lineRule="exact"/>
              <w:jc w:val="center"/>
              <w:rPr>
                <w:rFonts w:hint="eastAsia" w:eastAsia="宋体"/>
                <w:color w:val="auto"/>
                <w:sz w:val="18"/>
                <w:szCs w:val="18"/>
                <w:lang w:val="en-US" w:eastAsia="zh-CN"/>
              </w:rPr>
            </w:pPr>
            <w:r>
              <w:rPr>
                <w:rFonts w:hint="eastAsia"/>
                <w:color w:val="auto"/>
                <w:sz w:val="18"/>
                <w:szCs w:val="18"/>
                <w:lang w:val="en-US" w:eastAsia="zh-CN"/>
              </w:rPr>
              <w:t>水泵</w:t>
            </w:r>
          </w:p>
        </w:tc>
        <w:tc>
          <w:tcPr>
            <w:tcW w:w="1078" w:type="dxa"/>
            <w:noWrap w:val="0"/>
            <w:vAlign w:val="center"/>
          </w:tcPr>
          <w:p>
            <w:pPr>
              <w:spacing w:line="360" w:lineRule="exact"/>
              <w:jc w:val="center"/>
              <w:rPr>
                <w:color w:val="auto"/>
                <w:sz w:val="18"/>
                <w:szCs w:val="18"/>
              </w:rPr>
            </w:pPr>
            <w:r>
              <w:rPr>
                <w:color w:val="auto"/>
                <w:sz w:val="18"/>
                <w:szCs w:val="18"/>
              </w:rPr>
              <w:t>8</w:t>
            </w:r>
            <w:r>
              <w:rPr>
                <w:rFonts w:hint="eastAsia"/>
                <w:color w:val="auto"/>
                <w:sz w:val="18"/>
                <w:szCs w:val="18"/>
                <w:lang w:val="en-US" w:eastAsia="zh-CN"/>
              </w:rPr>
              <w:t>0</w:t>
            </w:r>
            <w:r>
              <w:rPr>
                <w:color w:val="auto"/>
                <w:sz w:val="18"/>
                <w:szCs w:val="18"/>
              </w:rPr>
              <w:t>～</w:t>
            </w:r>
            <w:r>
              <w:rPr>
                <w:rFonts w:hint="eastAsia"/>
                <w:color w:val="auto"/>
                <w:sz w:val="18"/>
                <w:szCs w:val="18"/>
                <w:lang w:val="en-US" w:eastAsia="zh-CN"/>
              </w:rPr>
              <w:t>85</w:t>
            </w:r>
          </w:p>
        </w:tc>
        <w:tc>
          <w:tcPr>
            <w:tcW w:w="1050" w:type="dxa"/>
            <w:noWrap w:val="0"/>
            <w:vAlign w:val="center"/>
          </w:tcPr>
          <w:p>
            <w:pPr>
              <w:spacing w:line="360" w:lineRule="exact"/>
              <w:jc w:val="center"/>
              <w:rPr>
                <w:color w:val="auto"/>
                <w:sz w:val="18"/>
                <w:szCs w:val="18"/>
              </w:rPr>
            </w:pPr>
            <w:r>
              <w:rPr>
                <w:color w:val="auto"/>
                <w:sz w:val="18"/>
                <w:szCs w:val="18"/>
              </w:rPr>
              <w:t>间断性</w:t>
            </w:r>
          </w:p>
        </w:tc>
        <w:tc>
          <w:tcPr>
            <w:tcW w:w="3117" w:type="dxa"/>
            <w:noWrap w:val="0"/>
            <w:vAlign w:val="center"/>
          </w:tcPr>
          <w:p>
            <w:pPr>
              <w:spacing w:line="360" w:lineRule="exact"/>
              <w:jc w:val="center"/>
              <w:rPr>
                <w:color w:val="auto"/>
                <w:sz w:val="18"/>
                <w:szCs w:val="18"/>
              </w:rPr>
            </w:pPr>
            <w:r>
              <w:rPr>
                <w:color w:val="auto"/>
                <w:sz w:val="18"/>
                <w:szCs w:val="18"/>
              </w:rPr>
              <w:t>安装柔性接头</w:t>
            </w:r>
          </w:p>
        </w:tc>
        <w:tc>
          <w:tcPr>
            <w:tcW w:w="1134" w:type="dxa"/>
            <w:tcBorders>
              <w:right w:val="nil"/>
            </w:tcBorders>
            <w:noWrap w:val="0"/>
            <w:vAlign w:val="center"/>
          </w:tcPr>
          <w:p>
            <w:pPr>
              <w:spacing w:line="360" w:lineRule="exact"/>
              <w:jc w:val="center"/>
              <w:rPr>
                <w:color w:val="auto"/>
                <w:sz w:val="18"/>
                <w:szCs w:val="18"/>
              </w:rPr>
            </w:pPr>
            <w:r>
              <w:rPr>
                <w:color w:val="auto"/>
                <w:sz w:val="18"/>
                <w:szCs w:val="18"/>
              </w:rPr>
              <w:t>85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tcBorders>
              <w:left w:val="nil"/>
              <w:bottom w:val="single" w:color="auto" w:sz="12" w:space="0"/>
            </w:tcBorders>
            <w:noWrap w:val="0"/>
            <w:vAlign w:val="center"/>
          </w:tcPr>
          <w:p>
            <w:pPr>
              <w:spacing w:line="360" w:lineRule="exact"/>
              <w:jc w:val="center"/>
              <w:rPr>
                <w:color w:val="auto"/>
                <w:sz w:val="18"/>
                <w:szCs w:val="18"/>
              </w:rPr>
            </w:pPr>
            <w:r>
              <w:rPr>
                <w:color w:val="auto"/>
                <w:sz w:val="18"/>
                <w:szCs w:val="18"/>
              </w:rPr>
              <w:t>8</w:t>
            </w:r>
          </w:p>
        </w:tc>
        <w:tc>
          <w:tcPr>
            <w:tcW w:w="1217" w:type="dxa"/>
            <w:tcBorders>
              <w:bottom w:val="single" w:color="auto" w:sz="12" w:space="0"/>
            </w:tcBorders>
            <w:noWrap w:val="0"/>
            <w:vAlign w:val="center"/>
          </w:tcPr>
          <w:p>
            <w:pPr>
              <w:spacing w:line="360" w:lineRule="exact"/>
              <w:jc w:val="center"/>
              <w:rPr>
                <w:color w:val="auto"/>
                <w:sz w:val="18"/>
                <w:szCs w:val="18"/>
              </w:rPr>
            </w:pPr>
            <w:r>
              <w:rPr>
                <w:color w:val="auto"/>
                <w:sz w:val="18"/>
                <w:szCs w:val="18"/>
              </w:rPr>
              <w:t>深孔爆破</w:t>
            </w:r>
          </w:p>
        </w:tc>
        <w:tc>
          <w:tcPr>
            <w:tcW w:w="1078" w:type="dxa"/>
            <w:tcBorders>
              <w:bottom w:val="single" w:color="auto" w:sz="12" w:space="0"/>
            </w:tcBorders>
            <w:noWrap w:val="0"/>
            <w:vAlign w:val="center"/>
          </w:tcPr>
          <w:p>
            <w:pPr>
              <w:spacing w:line="360" w:lineRule="exact"/>
              <w:jc w:val="center"/>
              <w:rPr>
                <w:color w:val="auto"/>
                <w:sz w:val="18"/>
                <w:szCs w:val="18"/>
              </w:rPr>
            </w:pPr>
            <w:r>
              <w:rPr>
                <w:color w:val="auto"/>
                <w:sz w:val="18"/>
                <w:szCs w:val="18"/>
              </w:rPr>
              <w:t>100~115</w:t>
            </w:r>
          </w:p>
        </w:tc>
        <w:tc>
          <w:tcPr>
            <w:tcW w:w="1050" w:type="dxa"/>
            <w:tcBorders>
              <w:bottom w:val="single" w:color="auto" w:sz="12" w:space="0"/>
            </w:tcBorders>
            <w:noWrap w:val="0"/>
            <w:vAlign w:val="center"/>
          </w:tcPr>
          <w:p>
            <w:pPr>
              <w:spacing w:line="360" w:lineRule="exact"/>
              <w:jc w:val="center"/>
              <w:rPr>
                <w:color w:val="auto"/>
                <w:sz w:val="18"/>
                <w:szCs w:val="18"/>
              </w:rPr>
            </w:pPr>
            <w:r>
              <w:rPr>
                <w:color w:val="auto"/>
                <w:sz w:val="18"/>
                <w:szCs w:val="18"/>
              </w:rPr>
              <w:t>瞬时性</w:t>
            </w:r>
          </w:p>
        </w:tc>
        <w:tc>
          <w:tcPr>
            <w:tcW w:w="3117" w:type="dxa"/>
            <w:tcBorders>
              <w:bottom w:val="single" w:color="auto" w:sz="12" w:space="0"/>
            </w:tcBorders>
            <w:noWrap w:val="0"/>
            <w:vAlign w:val="center"/>
          </w:tcPr>
          <w:p>
            <w:pPr>
              <w:spacing w:line="360" w:lineRule="exact"/>
              <w:jc w:val="center"/>
              <w:rPr>
                <w:color w:val="auto"/>
                <w:sz w:val="18"/>
                <w:szCs w:val="18"/>
              </w:rPr>
            </w:pPr>
            <w:r>
              <w:rPr>
                <w:color w:val="auto"/>
                <w:sz w:val="18"/>
                <w:szCs w:val="18"/>
              </w:rPr>
              <w:t>合理爆破参数、微差间隔时间</w:t>
            </w:r>
          </w:p>
        </w:tc>
        <w:tc>
          <w:tcPr>
            <w:tcW w:w="1134" w:type="dxa"/>
            <w:tcBorders>
              <w:bottom w:val="single" w:color="auto" w:sz="12" w:space="0"/>
              <w:right w:val="nil"/>
            </w:tcBorders>
            <w:noWrap w:val="0"/>
            <w:vAlign w:val="center"/>
          </w:tcPr>
          <w:p>
            <w:pPr>
              <w:spacing w:line="360" w:lineRule="exact"/>
              <w:jc w:val="center"/>
              <w:rPr>
                <w:color w:val="auto"/>
                <w:sz w:val="18"/>
                <w:szCs w:val="18"/>
              </w:rPr>
            </w:pPr>
            <w:r>
              <w:rPr>
                <w:color w:val="auto"/>
                <w:sz w:val="18"/>
                <w:szCs w:val="18"/>
              </w:rPr>
              <w:t>95</w:t>
            </w:r>
          </w:p>
        </w:tc>
      </w:tr>
    </w:tbl>
    <w:p>
      <w:pPr>
        <w:pStyle w:val="242"/>
        <w:rPr>
          <w:rFonts w:ascii="Times New Roman" w:hAnsi="Times New Roman" w:cs="Times New Roman" w:eastAsiaTheme="minorEastAsia"/>
          <w:color w:val="auto"/>
        </w:rPr>
      </w:pPr>
      <w:r>
        <w:rPr>
          <w:rFonts w:ascii="Times New Roman" w:hAnsi="Times New Roman" w:cs="Times New Roman" w:eastAsiaTheme="minorEastAsia"/>
          <w:color w:val="auto"/>
        </w:rPr>
        <w:t>5.2.4.2预测内容</w:t>
      </w:r>
    </w:p>
    <w:p>
      <w:pPr>
        <w:pStyle w:val="276"/>
        <w:rPr>
          <w:rFonts w:eastAsiaTheme="minorEastAsia"/>
          <w:color w:val="auto"/>
        </w:rPr>
      </w:pPr>
      <w:r>
        <w:rPr>
          <w:rFonts w:eastAsiaTheme="minorEastAsia"/>
          <w:color w:val="auto"/>
        </w:rPr>
        <w:t>预测本项目投产后厂界噪声和运输路线两侧敏感目标处噪声。</w:t>
      </w:r>
    </w:p>
    <w:p>
      <w:pPr>
        <w:pStyle w:val="242"/>
        <w:rPr>
          <w:rFonts w:ascii="Times New Roman" w:hAnsi="Times New Roman" w:cs="Times New Roman" w:eastAsiaTheme="minorEastAsia"/>
          <w:color w:val="auto"/>
        </w:rPr>
      </w:pPr>
      <w:r>
        <w:rPr>
          <w:rFonts w:ascii="Times New Roman" w:hAnsi="Times New Roman" w:cs="Times New Roman" w:eastAsiaTheme="minorEastAsia"/>
          <w:color w:val="auto"/>
        </w:rPr>
        <w:t>5.2.4.3评价标准</w:t>
      </w:r>
    </w:p>
    <w:p>
      <w:pPr>
        <w:pStyle w:val="276"/>
        <w:rPr>
          <w:rFonts w:eastAsiaTheme="minorEastAsia"/>
          <w:color w:val="auto"/>
        </w:rPr>
      </w:pPr>
      <w:r>
        <w:rPr>
          <w:rFonts w:eastAsiaTheme="minorEastAsia"/>
          <w:color w:val="auto"/>
        </w:rPr>
        <w:t>采用《工业企业厂界环境噪声排放标准》(GB12348－2008)表1中的2类标准，昼间60dB(A)，夜间50dB(A)。</w:t>
      </w:r>
    </w:p>
    <w:p>
      <w:pPr>
        <w:pStyle w:val="242"/>
        <w:rPr>
          <w:rFonts w:ascii="Times New Roman" w:hAnsi="Times New Roman" w:cs="Times New Roman" w:eastAsiaTheme="minorEastAsia"/>
          <w:color w:val="auto"/>
        </w:rPr>
      </w:pPr>
      <w:bookmarkStart w:id="205" w:name="_Toc440973504"/>
      <w:bookmarkStart w:id="206" w:name="_Toc440973770"/>
      <w:bookmarkStart w:id="207" w:name="_Toc440973134"/>
      <w:r>
        <w:rPr>
          <w:rFonts w:ascii="Times New Roman" w:hAnsi="Times New Roman" w:cs="Times New Roman" w:eastAsiaTheme="minorEastAsia"/>
          <w:color w:val="auto"/>
        </w:rPr>
        <w:t>5.2.4.4预测模式</w:t>
      </w:r>
    </w:p>
    <w:bookmarkEnd w:id="205"/>
    <w:bookmarkEnd w:id="206"/>
    <w:bookmarkEnd w:id="207"/>
    <w:p>
      <w:pPr>
        <w:pStyle w:val="276"/>
        <w:rPr>
          <w:rFonts w:eastAsiaTheme="minorEastAsia"/>
          <w:color w:val="auto"/>
        </w:rPr>
      </w:pPr>
      <w:r>
        <w:rPr>
          <w:rFonts w:eastAsiaTheme="minorEastAsia"/>
          <w:color w:val="auto"/>
        </w:rPr>
        <w:t>通过公式计算噪声的影响，本项目仅考虑噪声随距离衰减，无指向性点声源几何发散衰减的基本公式是：</w:t>
      </w:r>
    </w:p>
    <w:p>
      <w:pPr>
        <w:pStyle w:val="276"/>
        <w:ind w:firstLine="420"/>
        <w:rPr>
          <w:rFonts w:eastAsiaTheme="minorEastAsia"/>
          <w:color w:val="auto"/>
        </w:rPr>
      </w:pPr>
      <w:r>
        <w:rPr>
          <w:rFonts w:eastAsiaTheme="minorEastAsia"/>
          <w:color w:val="auto"/>
          <w:position w:val="-10"/>
          <w:sz w:val="21"/>
        </w:rPr>
        <w:drawing>
          <wp:inline distT="0" distB="0" distL="0" distR="0">
            <wp:extent cx="1661795" cy="238760"/>
            <wp:effectExtent l="0" t="0" r="0" b="889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a:xfrm>
                      <a:off x="0" y="0"/>
                      <a:ext cx="1661795" cy="238760"/>
                    </a:xfrm>
                    <a:prstGeom prst="rect">
                      <a:avLst/>
                    </a:prstGeom>
                    <a:noFill/>
                    <a:ln>
                      <a:noFill/>
                    </a:ln>
                  </pic:spPr>
                </pic:pic>
              </a:graphicData>
            </a:graphic>
          </wp:inline>
        </w:drawing>
      </w:r>
    </w:p>
    <w:p>
      <w:pPr>
        <w:pStyle w:val="276"/>
        <w:rPr>
          <w:rFonts w:eastAsiaTheme="minorEastAsia"/>
          <w:color w:val="auto"/>
        </w:rPr>
      </w:pPr>
      <w:r>
        <w:rPr>
          <w:rFonts w:eastAsiaTheme="minorEastAsia"/>
          <w:color w:val="auto"/>
        </w:rPr>
        <w:t>式中：L</w:t>
      </w:r>
      <w:r>
        <w:rPr>
          <w:rFonts w:eastAsiaTheme="minorEastAsia"/>
          <w:color w:val="auto"/>
          <w:vertAlign w:val="subscript"/>
        </w:rPr>
        <w:t>p</w:t>
      </w:r>
      <w:r>
        <w:rPr>
          <w:rFonts w:eastAsiaTheme="minorEastAsia"/>
          <w:color w:val="auto"/>
        </w:rPr>
        <w:t>(r)—距离声源r处的倍频带声压级，dB(A)；</w:t>
      </w:r>
    </w:p>
    <w:p>
      <w:pPr>
        <w:pStyle w:val="276"/>
        <w:rPr>
          <w:rFonts w:eastAsiaTheme="minorEastAsia"/>
          <w:color w:val="auto"/>
        </w:rPr>
      </w:pPr>
      <w:r>
        <w:rPr>
          <w:rFonts w:eastAsiaTheme="minorEastAsia"/>
          <w:color w:val="auto"/>
        </w:rPr>
        <w:t xml:space="preserve">      L</w:t>
      </w:r>
      <w:r>
        <w:rPr>
          <w:rFonts w:eastAsiaTheme="minorEastAsia"/>
          <w:color w:val="auto"/>
          <w:vertAlign w:val="subscript"/>
        </w:rPr>
        <w:t>p</w:t>
      </w:r>
      <w:r>
        <w:rPr>
          <w:rFonts w:eastAsiaTheme="minorEastAsia"/>
          <w:color w:val="auto"/>
        </w:rPr>
        <w:t>(r</w:t>
      </w:r>
      <w:r>
        <w:rPr>
          <w:rFonts w:eastAsiaTheme="minorEastAsia"/>
          <w:color w:val="auto"/>
          <w:vertAlign w:val="subscript"/>
        </w:rPr>
        <w:t>0</w:t>
      </w:r>
      <w:r>
        <w:rPr>
          <w:rFonts w:eastAsiaTheme="minorEastAsia"/>
          <w:color w:val="auto"/>
        </w:rPr>
        <w:t>)—参考位置r</w:t>
      </w:r>
      <w:r>
        <w:rPr>
          <w:rFonts w:eastAsiaTheme="minorEastAsia"/>
          <w:color w:val="auto"/>
          <w:vertAlign w:val="subscript"/>
        </w:rPr>
        <w:t>0</w:t>
      </w:r>
      <w:r>
        <w:rPr>
          <w:rFonts w:eastAsiaTheme="minorEastAsia"/>
          <w:color w:val="auto"/>
        </w:rPr>
        <w:t>处的倍频带声压级，dB(A)；</w:t>
      </w:r>
    </w:p>
    <w:p>
      <w:pPr>
        <w:pStyle w:val="276"/>
        <w:rPr>
          <w:rFonts w:eastAsiaTheme="minorEastAsia"/>
          <w:color w:val="auto"/>
        </w:rPr>
      </w:pPr>
      <w:r>
        <w:rPr>
          <w:rFonts w:eastAsiaTheme="minorEastAsia"/>
          <w:color w:val="auto"/>
        </w:rPr>
        <w:t>r—预测点距离声源的距离，m。</w:t>
      </w:r>
    </w:p>
    <w:p>
      <w:pPr>
        <w:pStyle w:val="276"/>
        <w:rPr>
          <w:rFonts w:eastAsiaTheme="minorEastAsia"/>
          <w:color w:val="auto"/>
        </w:rPr>
      </w:pPr>
      <w:r>
        <w:rPr>
          <w:rFonts w:eastAsiaTheme="minorEastAsia"/>
          <w:color w:val="auto"/>
        </w:rPr>
        <w:t>r</w:t>
      </w:r>
      <w:r>
        <w:rPr>
          <w:rFonts w:eastAsiaTheme="minorEastAsia"/>
          <w:color w:val="auto"/>
          <w:vertAlign w:val="subscript"/>
        </w:rPr>
        <w:t>0</w:t>
      </w:r>
      <w:r>
        <w:rPr>
          <w:rFonts w:eastAsiaTheme="minorEastAsia"/>
          <w:color w:val="auto"/>
        </w:rPr>
        <w:t>—参考位置距离声源的距离，m</w:t>
      </w:r>
    </w:p>
    <w:p>
      <w:pPr>
        <w:pStyle w:val="242"/>
        <w:rPr>
          <w:rFonts w:ascii="Times New Roman" w:hAnsi="Times New Roman" w:cs="Times New Roman" w:eastAsiaTheme="minorEastAsia"/>
          <w:color w:val="auto"/>
        </w:rPr>
      </w:pPr>
      <w:r>
        <w:rPr>
          <w:rFonts w:ascii="Times New Roman" w:hAnsi="Times New Roman" w:cs="Times New Roman" w:eastAsiaTheme="minorEastAsia"/>
          <w:color w:val="auto"/>
        </w:rPr>
        <w:t>5.2.4.5预测结果</w:t>
      </w:r>
    </w:p>
    <w:p>
      <w:pPr>
        <w:pStyle w:val="276"/>
        <w:rPr>
          <w:rFonts w:eastAsiaTheme="minorEastAsia"/>
          <w:color w:val="auto"/>
        </w:rPr>
      </w:pPr>
      <w:r>
        <w:rPr>
          <w:rFonts w:eastAsiaTheme="minorEastAsia"/>
          <w:color w:val="auto"/>
        </w:rPr>
        <w:t>（1）采石场噪声预测结果</w:t>
      </w:r>
    </w:p>
    <w:p>
      <w:pPr>
        <w:pStyle w:val="276"/>
        <w:rPr>
          <w:rFonts w:eastAsiaTheme="minorEastAsia"/>
          <w:color w:val="auto"/>
        </w:rPr>
      </w:pPr>
      <w:r>
        <w:rPr>
          <w:rFonts w:eastAsiaTheme="minorEastAsia"/>
          <w:color w:val="auto"/>
        </w:rPr>
        <w:t>根据噪声源强，在考虑距离衰减因素的情况下，预测各噪声传播衰减后的噪声值，预测结果见下表。</w:t>
      </w:r>
    </w:p>
    <w:p>
      <w:pPr>
        <w:widowControl/>
        <w:spacing w:line="240" w:lineRule="auto"/>
        <w:jc w:val="center"/>
        <w:rPr>
          <w:rFonts w:eastAsiaTheme="minorEastAsia"/>
          <w:color w:val="auto"/>
        </w:rPr>
      </w:pPr>
      <w:r>
        <w:rPr>
          <w:rFonts w:eastAsiaTheme="minorEastAsia"/>
          <w:color w:val="auto"/>
        </w:rPr>
        <w:t>表5-2-9   环境噪声预测结果</w:t>
      </w:r>
    </w:p>
    <w:tbl>
      <w:tblPr>
        <w:tblStyle w:val="53"/>
        <w:tblW w:w="8528"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52"/>
        <w:gridCol w:w="1338"/>
        <w:gridCol w:w="954"/>
        <w:gridCol w:w="859"/>
        <w:gridCol w:w="805"/>
        <w:gridCol w:w="791"/>
        <w:gridCol w:w="736"/>
        <w:gridCol w:w="832"/>
        <w:gridCol w:w="86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2" w:hRule="atLeast"/>
          <w:jc w:val="center"/>
        </w:trPr>
        <w:tc>
          <w:tcPr>
            <w:tcW w:w="1352" w:type="dxa"/>
            <w:vMerge w:val="restart"/>
            <w:noWrap w:val="0"/>
            <w:vAlign w:val="center"/>
          </w:tcPr>
          <w:p>
            <w:pPr>
              <w:adjustRightInd w:val="0"/>
              <w:snapToGrid w:val="0"/>
              <w:spacing w:line="360" w:lineRule="exact"/>
              <w:jc w:val="center"/>
              <w:rPr>
                <w:color w:val="auto"/>
                <w:sz w:val="18"/>
                <w:szCs w:val="18"/>
              </w:rPr>
            </w:pPr>
            <w:bookmarkStart w:id="208" w:name="_Toc440973135"/>
            <w:bookmarkStart w:id="209" w:name="_Toc440973505"/>
            <w:bookmarkStart w:id="210" w:name="_Toc440973771"/>
            <w:r>
              <w:rPr>
                <w:color w:val="auto"/>
                <w:sz w:val="18"/>
                <w:szCs w:val="18"/>
              </w:rPr>
              <w:t>噪声源</w:t>
            </w:r>
          </w:p>
        </w:tc>
        <w:tc>
          <w:tcPr>
            <w:tcW w:w="1338" w:type="dxa"/>
            <w:vMerge w:val="restart"/>
            <w:noWrap w:val="0"/>
            <w:vAlign w:val="center"/>
          </w:tcPr>
          <w:p>
            <w:pPr>
              <w:adjustRightInd w:val="0"/>
              <w:snapToGrid w:val="0"/>
              <w:spacing w:line="360" w:lineRule="exact"/>
              <w:jc w:val="center"/>
              <w:rPr>
                <w:color w:val="auto"/>
                <w:sz w:val="18"/>
                <w:szCs w:val="18"/>
              </w:rPr>
            </w:pPr>
            <w:r>
              <w:rPr>
                <w:color w:val="auto"/>
                <w:sz w:val="18"/>
                <w:szCs w:val="18"/>
              </w:rPr>
              <w:t>噪声级dB（A）（1m）</w:t>
            </w:r>
          </w:p>
        </w:tc>
        <w:tc>
          <w:tcPr>
            <w:tcW w:w="5838" w:type="dxa"/>
            <w:gridSpan w:val="7"/>
            <w:noWrap w:val="0"/>
            <w:vAlign w:val="center"/>
          </w:tcPr>
          <w:p>
            <w:pPr>
              <w:spacing w:line="360" w:lineRule="exact"/>
              <w:jc w:val="center"/>
              <w:rPr>
                <w:color w:val="auto"/>
                <w:sz w:val="18"/>
                <w:szCs w:val="18"/>
              </w:rPr>
            </w:pPr>
            <w:r>
              <w:rPr>
                <w:color w:val="auto"/>
                <w:sz w:val="18"/>
                <w:szCs w:val="18"/>
              </w:rPr>
              <w:t>预测噪声级dB（A）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jc w:val="center"/>
        </w:trPr>
        <w:tc>
          <w:tcPr>
            <w:tcW w:w="1352" w:type="dxa"/>
            <w:vMerge w:val="continue"/>
            <w:noWrap w:val="0"/>
            <w:vAlign w:val="center"/>
          </w:tcPr>
          <w:p>
            <w:pPr>
              <w:adjustRightInd w:val="0"/>
              <w:snapToGrid w:val="0"/>
              <w:spacing w:line="360" w:lineRule="exact"/>
              <w:jc w:val="center"/>
              <w:rPr>
                <w:color w:val="auto"/>
                <w:sz w:val="18"/>
                <w:szCs w:val="18"/>
              </w:rPr>
            </w:pPr>
          </w:p>
        </w:tc>
        <w:tc>
          <w:tcPr>
            <w:tcW w:w="1338" w:type="dxa"/>
            <w:vMerge w:val="continue"/>
            <w:noWrap w:val="0"/>
            <w:vAlign w:val="center"/>
          </w:tcPr>
          <w:p>
            <w:pPr>
              <w:adjustRightInd w:val="0"/>
              <w:snapToGrid w:val="0"/>
              <w:spacing w:line="360" w:lineRule="exact"/>
              <w:jc w:val="center"/>
              <w:rPr>
                <w:color w:val="auto"/>
                <w:sz w:val="18"/>
                <w:szCs w:val="18"/>
              </w:rPr>
            </w:pPr>
          </w:p>
        </w:tc>
        <w:tc>
          <w:tcPr>
            <w:tcW w:w="954" w:type="dxa"/>
            <w:tcBorders>
              <w:right w:val="single" w:color="auto" w:sz="2" w:space="0"/>
            </w:tcBorders>
            <w:noWrap w:val="0"/>
            <w:vAlign w:val="center"/>
          </w:tcPr>
          <w:p>
            <w:pPr>
              <w:spacing w:line="360" w:lineRule="exact"/>
              <w:jc w:val="center"/>
              <w:rPr>
                <w:color w:val="auto"/>
                <w:sz w:val="18"/>
                <w:szCs w:val="18"/>
              </w:rPr>
            </w:pPr>
            <w:r>
              <w:rPr>
                <w:color w:val="auto"/>
                <w:sz w:val="18"/>
                <w:szCs w:val="18"/>
              </w:rPr>
              <w:t>10m</w:t>
            </w:r>
          </w:p>
        </w:tc>
        <w:tc>
          <w:tcPr>
            <w:tcW w:w="859" w:type="dxa"/>
            <w:tcBorders>
              <w:left w:val="single" w:color="auto" w:sz="2" w:space="0"/>
            </w:tcBorders>
            <w:noWrap w:val="0"/>
            <w:vAlign w:val="center"/>
          </w:tcPr>
          <w:p>
            <w:pPr>
              <w:spacing w:line="360" w:lineRule="exact"/>
              <w:jc w:val="center"/>
              <w:rPr>
                <w:color w:val="auto"/>
                <w:sz w:val="18"/>
                <w:szCs w:val="18"/>
              </w:rPr>
            </w:pPr>
            <w:r>
              <w:rPr>
                <w:color w:val="auto"/>
                <w:sz w:val="18"/>
                <w:szCs w:val="18"/>
              </w:rPr>
              <w:t>20m</w:t>
            </w:r>
          </w:p>
        </w:tc>
        <w:tc>
          <w:tcPr>
            <w:tcW w:w="805" w:type="dxa"/>
            <w:noWrap w:val="0"/>
            <w:vAlign w:val="center"/>
          </w:tcPr>
          <w:p>
            <w:pPr>
              <w:spacing w:line="360" w:lineRule="exact"/>
              <w:jc w:val="center"/>
              <w:rPr>
                <w:color w:val="auto"/>
                <w:sz w:val="18"/>
                <w:szCs w:val="18"/>
              </w:rPr>
            </w:pPr>
            <w:r>
              <w:rPr>
                <w:rFonts w:hint="eastAsia"/>
                <w:color w:val="auto"/>
                <w:sz w:val="18"/>
                <w:szCs w:val="18"/>
              </w:rPr>
              <w:t>6</w:t>
            </w:r>
            <w:r>
              <w:rPr>
                <w:color w:val="auto"/>
                <w:sz w:val="18"/>
                <w:szCs w:val="18"/>
              </w:rPr>
              <w:t>0m</w:t>
            </w:r>
          </w:p>
        </w:tc>
        <w:tc>
          <w:tcPr>
            <w:tcW w:w="791" w:type="dxa"/>
            <w:noWrap w:val="0"/>
            <w:vAlign w:val="center"/>
          </w:tcPr>
          <w:p>
            <w:pPr>
              <w:spacing w:line="360" w:lineRule="exact"/>
              <w:jc w:val="center"/>
              <w:rPr>
                <w:color w:val="auto"/>
                <w:sz w:val="18"/>
                <w:szCs w:val="18"/>
              </w:rPr>
            </w:pPr>
            <w:r>
              <w:rPr>
                <w:color w:val="auto"/>
                <w:sz w:val="18"/>
                <w:szCs w:val="18"/>
              </w:rPr>
              <w:t>100m</w:t>
            </w:r>
          </w:p>
        </w:tc>
        <w:tc>
          <w:tcPr>
            <w:tcW w:w="736" w:type="dxa"/>
            <w:noWrap w:val="0"/>
            <w:vAlign w:val="center"/>
          </w:tcPr>
          <w:p>
            <w:pPr>
              <w:spacing w:line="360" w:lineRule="exact"/>
              <w:jc w:val="center"/>
              <w:rPr>
                <w:color w:val="auto"/>
                <w:sz w:val="18"/>
                <w:szCs w:val="18"/>
              </w:rPr>
            </w:pPr>
            <w:r>
              <w:rPr>
                <w:color w:val="auto"/>
                <w:sz w:val="18"/>
                <w:szCs w:val="18"/>
              </w:rPr>
              <w:t>200m</w:t>
            </w:r>
          </w:p>
        </w:tc>
        <w:tc>
          <w:tcPr>
            <w:tcW w:w="832" w:type="dxa"/>
            <w:noWrap w:val="0"/>
            <w:vAlign w:val="center"/>
          </w:tcPr>
          <w:p>
            <w:pPr>
              <w:spacing w:line="360" w:lineRule="exact"/>
              <w:jc w:val="center"/>
              <w:rPr>
                <w:color w:val="auto"/>
                <w:sz w:val="18"/>
                <w:szCs w:val="18"/>
              </w:rPr>
            </w:pPr>
            <w:r>
              <w:rPr>
                <w:color w:val="auto"/>
                <w:sz w:val="18"/>
                <w:szCs w:val="18"/>
              </w:rPr>
              <w:t>300m</w:t>
            </w:r>
          </w:p>
        </w:tc>
        <w:tc>
          <w:tcPr>
            <w:tcW w:w="861" w:type="dxa"/>
            <w:noWrap w:val="0"/>
            <w:vAlign w:val="center"/>
          </w:tcPr>
          <w:p>
            <w:pPr>
              <w:spacing w:line="360" w:lineRule="exact"/>
              <w:jc w:val="center"/>
              <w:rPr>
                <w:color w:val="auto"/>
                <w:sz w:val="18"/>
                <w:szCs w:val="18"/>
              </w:rPr>
            </w:pPr>
            <w:r>
              <w:rPr>
                <w:color w:val="auto"/>
                <w:sz w:val="18"/>
                <w:szCs w:val="18"/>
              </w:rPr>
              <w:t>320m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jc w:val="center"/>
        </w:trPr>
        <w:tc>
          <w:tcPr>
            <w:tcW w:w="1352" w:type="dxa"/>
            <w:noWrap w:val="0"/>
            <w:vAlign w:val="center"/>
          </w:tcPr>
          <w:p>
            <w:pPr>
              <w:adjustRightInd w:val="0"/>
              <w:snapToGrid w:val="0"/>
              <w:spacing w:line="360" w:lineRule="exact"/>
              <w:jc w:val="center"/>
              <w:rPr>
                <w:color w:val="auto"/>
                <w:sz w:val="18"/>
                <w:szCs w:val="18"/>
              </w:rPr>
            </w:pPr>
            <w:bookmarkStart w:id="211" w:name="_Hlk290042061"/>
            <w:r>
              <w:rPr>
                <w:color w:val="auto"/>
                <w:sz w:val="18"/>
                <w:szCs w:val="18"/>
              </w:rPr>
              <w:t>凿</w:t>
            </w:r>
            <w:bookmarkEnd w:id="211"/>
            <w:r>
              <w:rPr>
                <w:color w:val="auto"/>
                <w:sz w:val="18"/>
                <w:szCs w:val="18"/>
              </w:rPr>
              <w:t>岩机</w:t>
            </w:r>
          </w:p>
        </w:tc>
        <w:tc>
          <w:tcPr>
            <w:tcW w:w="1338" w:type="dxa"/>
            <w:noWrap w:val="0"/>
            <w:vAlign w:val="center"/>
          </w:tcPr>
          <w:p>
            <w:pPr>
              <w:spacing w:line="360" w:lineRule="exact"/>
              <w:jc w:val="center"/>
              <w:rPr>
                <w:color w:val="auto"/>
                <w:sz w:val="18"/>
                <w:szCs w:val="18"/>
              </w:rPr>
            </w:pPr>
            <w:r>
              <w:rPr>
                <w:color w:val="auto"/>
                <w:sz w:val="18"/>
                <w:szCs w:val="18"/>
              </w:rPr>
              <w:t>90</w:t>
            </w:r>
          </w:p>
        </w:tc>
        <w:tc>
          <w:tcPr>
            <w:tcW w:w="954" w:type="dxa"/>
            <w:tcBorders>
              <w:right w:val="single" w:color="auto" w:sz="2" w:space="0"/>
            </w:tcBorders>
            <w:noWrap w:val="0"/>
            <w:vAlign w:val="center"/>
          </w:tcPr>
          <w:p>
            <w:pPr>
              <w:spacing w:line="360" w:lineRule="exact"/>
              <w:jc w:val="center"/>
              <w:rPr>
                <w:color w:val="auto"/>
                <w:sz w:val="18"/>
                <w:szCs w:val="18"/>
              </w:rPr>
            </w:pPr>
            <w:r>
              <w:rPr>
                <w:color w:val="auto"/>
                <w:sz w:val="18"/>
                <w:szCs w:val="18"/>
              </w:rPr>
              <w:t>70</w:t>
            </w:r>
          </w:p>
        </w:tc>
        <w:tc>
          <w:tcPr>
            <w:tcW w:w="859" w:type="dxa"/>
            <w:tcBorders>
              <w:left w:val="single" w:color="auto" w:sz="2" w:space="0"/>
            </w:tcBorders>
            <w:noWrap w:val="0"/>
            <w:vAlign w:val="center"/>
          </w:tcPr>
          <w:p>
            <w:pPr>
              <w:spacing w:line="360" w:lineRule="exact"/>
              <w:jc w:val="center"/>
              <w:rPr>
                <w:color w:val="auto"/>
                <w:sz w:val="18"/>
                <w:szCs w:val="18"/>
              </w:rPr>
            </w:pPr>
            <w:r>
              <w:rPr>
                <w:color w:val="auto"/>
                <w:sz w:val="18"/>
                <w:szCs w:val="18"/>
              </w:rPr>
              <w:t>64</w:t>
            </w:r>
          </w:p>
        </w:tc>
        <w:tc>
          <w:tcPr>
            <w:tcW w:w="805" w:type="dxa"/>
            <w:noWrap w:val="0"/>
            <w:vAlign w:val="center"/>
          </w:tcPr>
          <w:p>
            <w:pPr>
              <w:spacing w:line="360" w:lineRule="exact"/>
              <w:jc w:val="center"/>
              <w:rPr>
                <w:rFonts w:hint="eastAsia"/>
                <w:color w:val="auto"/>
                <w:sz w:val="18"/>
                <w:szCs w:val="18"/>
              </w:rPr>
            </w:pPr>
            <w:r>
              <w:rPr>
                <w:rFonts w:hint="eastAsia"/>
                <w:color w:val="auto"/>
                <w:sz w:val="18"/>
                <w:szCs w:val="18"/>
              </w:rPr>
              <w:t>54</w:t>
            </w:r>
          </w:p>
        </w:tc>
        <w:tc>
          <w:tcPr>
            <w:tcW w:w="791" w:type="dxa"/>
            <w:noWrap w:val="0"/>
            <w:vAlign w:val="center"/>
          </w:tcPr>
          <w:p>
            <w:pPr>
              <w:spacing w:line="360" w:lineRule="exact"/>
              <w:jc w:val="center"/>
              <w:rPr>
                <w:color w:val="auto"/>
                <w:sz w:val="18"/>
                <w:szCs w:val="18"/>
              </w:rPr>
            </w:pPr>
            <w:r>
              <w:rPr>
                <w:color w:val="auto"/>
                <w:sz w:val="18"/>
                <w:szCs w:val="18"/>
              </w:rPr>
              <w:t>50</w:t>
            </w:r>
          </w:p>
        </w:tc>
        <w:tc>
          <w:tcPr>
            <w:tcW w:w="736" w:type="dxa"/>
            <w:noWrap w:val="0"/>
            <w:vAlign w:val="center"/>
          </w:tcPr>
          <w:p>
            <w:pPr>
              <w:spacing w:line="360" w:lineRule="exact"/>
              <w:jc w:val="center"/>
              <w:rPr>
                <w:color w:val="auto"/>
                <w:sz w:val="18"/>
                <w:szCs w:val="18"/>
              </w:rPr>
            </w:pPr>
            <w:r>
              <w:rPr>
                <w:color w:val="auto"/>
                <w:sz w:val="18"/>
                <w:szCs w:val="18"/>
              </w:rPr>
              <w:t>44</w:t>
            </w:r>
          </w:p>
        </w:tc>
        <w:tc>
          <w:tcPr>
            <w:tcW w:w="832" w:type="dxa"/>
            <w:noWrap w:val="0"/>
            <w:vAlign w:val="center"/>
          </w:tcPr>
          <w:p>
            <w:pPr>
              <w:spacing w:line="360" w:lineRule="exact"/>
              <w:jc w:val="center"/>
              <w:rPr>
                <w:color w:val="auto"/>
                <w:sz w:val="18"/>
                <w:szCs w:val="18"/>
              </w:rPr>
            </w:pPr>
            <w:r>
              <w:rPr>
                <w:color w:val="auto"/>
                <w:sz w:val="18"/>
                <w:szCs w:val="18"/>
              </w:rPr>
              <w:t>41</w:t>
            </w:r>
          </w:p>
        </w:tc>
        <w:tc>
          <w:tcPr>
            <w:tcW w:w="861" w:type="dxa"/>
            <w:noWrap w:val="0"/>
            <w:vAlign w:val="center"/>
          </w:tcPr>
          <w:p>
            <w:pPr>
              <w:spacing w:line="360" w:lineRule="exact"/>
              <w:jc w:val="center"/>
              <w:rPr>
                <w:color w:val="auto"/>
                <w:sz w:val="18"/>
                <w:szCs w:val="18"/>
              </w:rPr>
            </w:pPr>
            <w:r>
              <w:rPr>
                <w:color w:val="auto"/>
                <w:sz w:val="18"/>
                <w:szCs w:val="18"/>
              </w:rPr>
              <w:t>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jc w:val="center"/>
        </w:trPr>
        <w:tc>
          <w:tcPr>
            <w:tcW w:w="1352" w:type="dxa"/>
            <w:noWrap w:val="0"/>
            <w:vAlign w:val="center"/>
          </w:tcPr>
          <w:p>
            <w:pPr>
              <w:adjustRightInd w:val="0"/>
              <w:snapToGrid w:val="0"/>
              <w:spacing w:line="360" w:lineRule="exact"/>
              <w:jc w:val="center"/>
              <w:rPr>
                <w:color w:val="auto"/>
                <w:sz w:val="18"/>
                <w:szCs w:val="18"/>
              </w:rPr>
            </w:pPr>
            <w:r>
              <w:rPr>
                <w:color w:val="auto"/>
                <w:sz w:val="18"/>
                <w:szCs w:val="18"/>
              </w:rPr>
              <w:t>破碎机</w:t>
            </w:r>
          </w:p>
        </w:tc>
        <w:tc>
          <w:tcPr>
            <w:tcW w:w="1338" w:type="dxa"/>
            <w:noWrap w:val="0"/>
            <w:vAlign w:val="center"/>
          </w:tcPr>
          <w:p>
            <w:pPr>
              <w:spacing w:line="360" w:lineRule="exact"/>
              <w:jc w:val="center"/>
              <w:rPr>
                <w:color w:val="auto"/>
                <w:sz w:val="18"/>
                <w:szCs w:val="18"/>
              </w:rPr>
            </w:pPr>
            <w:r>
              <w:rPr>
                <w:color w:val="auto"/>
                <w:sz w:val="18"/>
                <w:szCs w:val="18"/>
              </w:rPr>
              <w:t>90</w:t>
            </w:r>
          </w:p>
        </w:tc>
        <w:tc>
          <w:tcPr>
            <w:tcW w:w="954" w:type="dxa"/>
            <w:tcBorders>
              <w:right w:val="single" w:color="auto" w:sz="2" w:space="0"/>
            </w:tcBorders>
            <w:noWrap w:val="0"/>
            <w:vAlign w:val="center"/>
          </w:tcPr>
          <w:p>
            <w:pPr>
              <w:spacing w:line="360" w:lineRule="exact"/>
              <w:jc w:val="center"/>
              <w:rPr>
                <w:color w:val="auto"/>
                <w:sz w:val="18"/>
                <w:szCs w:val="18"/>
              </w:rPr>
            </w:pPr>
            <w:r>
              <w:rPr>
                <w:color w:val="auto"/>
                <w:sz w:val="18"/>
                <w:szCs w:val="18"/>
              </w:rPr>
              <w:t>70</w:t>
            </w:r>
          </w:p>
        </w:tc>
        <w:tc>
          <w:tcPr>
            <w:tcW w:w="859" w:type="dxa"/>
            <w:tcBorders>
              <w:left w:val="single" w:color="auto" w:sz="2" w:space="0"/>
            </w:tcBorders>
            <w:noWrap w:val="0"/>
            <w:vAlign w:val="center"/>
          </w:tcPr>
          <w:p>
            <w:pPr>
              <w:spacing w:line="360" w:lineRule="exact"/>
              <w:jc w:val="center"/>
              <w:rPr>
                <w:color w:val="auto"/>
                <w:sz w:val="18"/>
                <w:szCs w:val="18"/>
              </w:rPr>
            </w:pPr>
            <w:r>
              <w:rPr>
                <w:color w:val="auto"/>
                <w:sz w:val="18"/>
                <w:szCs w:val="18"/>
              </w:rPr>
              <w:t>64</w:t>
            </w:r>
          </w:p>
        </w:tc>
        <w:tc>
          <w:tcPr>
            <w:tcW w:w="805" w:type="dxa"/>
            <w:noWrap w:val="0"/>
            <w:vAlign w:val="center"/>
          </w:tcPr>
          <w:p>
            <w:pPr>
              <w:spacing w:line="360" w:lineRule="exact"/>
              <w:jc w:val="center"/>
              <w:rPr>
                <w:rFonts w:hint="eastAsia"/>
                <w:color w:val="auto"/>
                <w:sz w:val="18"/>
                <w:szCs w:val="18"/>
              </w:rPr>
            </w:pPr>
            <w:r>
              <w:rPr>
                <w:rFonts w:hint="eastAsia"/>
                <w:color w:val="auto"/>
                <w:sz w:val="18"/>
                <w:szCs w:val="18"/>
              </w:rPr>
              <w:t>54</w:t>
            </w:r>
          </w:p>
        </w:tc>
        <w:tc>
          <w:tcPr>
            <w:tcW w:w="791" w:type="dxa"/>
            <w:noWrap w:val="0"/>
            <w:vAlign w:val="center"/>
          </w:tcPr>
          <w:p>
            <w:pPr>
              <w:spacing w:line="360" w:lineRule="exact"/>
              <w:jc w:val="center"/>
              <w:rPr>
                <w:color w:val="auto"/>
                <w:sz w:val="18"/>
                <w:szCs w:val="18"/>
              </w:rPr>
            </w:pPr>
            <w:r>
              <w:rPr>
                <w:color w:val="auto"/>
                <w:sz w:val="18"/>
                <w:szCs w:val="18"/>
              </w:rPr>
              <w:t>50</w:t>
            </w:r>
          </w:p>
        </w:tc>
        <w:tc>
          <w:tcPr>
            <w:tcW w:w="736" w:type="dxa"/>
            <w:noWrap w:val="0"/>
            <w:vAlign w:val="center"/>
          </w:tcPr>
          <w:p>
            <w:pPr>
              <w:spacing w:line="360" w:lineRule="exact"/>
              <w:jc w:val="center"/>
              <w:rPr>
                <w:color w:val="auto"/>
                <w:sz w:val="18"/>
                <w:szCs w:val="18"/>
              </w:rPr>
            </w:pPr>
            <w:r>
              <w:rPr>
                <w:color w:val="auto"/>
                <w:sz w:val="18"/>
                <w:szCs w:val="18"/>
              </w:rPr>
              <w:t>44</w:t>
            </w:r>
          </w:p>
        </w:tc>
        <w:tc>
          <w:tcPr>
            <w:tcW w:w="832" w:type="dxa"/>
            <w:noWrap w:val="0"/>
            <w:vAlign w:val="center"/>
          </w:tcPr>
          <w:p>
            <w:pPr>
              <w:spacing w:line="360" w:lineRule="exact"/>
              <w:jc w:val="center"/>
              <w:rPr>
                <w:color w:val="auto"/>
                <w:sz w:val="18"/>
                <w:szCs w:val="18"/>
              </w:rPr>
            </w:pPr>
            <w:r>
              <w:rPr>
                <w:color w:val="auto"/>
                <w:sz w:val="18"/>
                <w:szCs w:val="18"/>
              </w:rPr>
              <w:t>41</w:t>
            </w:r>
          </w:p>
        </w:tc>
        <w:tc>
          <w:tcPr>
            <w:tcW w:w="861" w:type="dxa"/>
            <w:noWrap w:val="0"/>
            <w:vAlign w:val="center"/>
          </w:tcPr>
          <w:p>
            <w:pPr>
              <w:spacing w:line="360" w:lineRule="exact"/>
              <w:jc w:val="center"/>
              <w:rPr>
                <w:color w:val="auto"/>
                <w:sz w:val="18"/>
                <w:szCs w:val="18"/>
              </w:rPr>
            </w:pPr>
            <w:r>
              <w:rPr>
                <w:color w:val="auto"/>
                <w:sz w:val="18"/>
                <w:szCs w:val="18"/>
              </w:rPr>
              <w:t>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jc w:val="center"/>
        </w:trPr>
        <w:tc>
          <w:tcPr>
            <w:tcW w:w="1352" w:type="dxa"/>
            <w:noWrap w:val="0"/>
            <w:vAlign w:val="center"/>
          </w:tcPr>
          <w:p>
            <w:pPr>
              <w:adjustRightInd w:val="0"/>
              <w:snapToGrid w:val="0"/>
              <w:spacing w:line="360" w:lineRule="exact"/>
              <w:jc w:val="center"/>
              <w:rPr>
                <w:color w:val="auto"/>
                <w:sz w:val="18"/>
                <w:szCs w:val="18"/>
              </w:rPr>
            </w:pPr>
            <w:r>
              <w:rPr>
                <w:color w:val="auto"/>
                <w:sz w:val="18"/>
                <w:szCs w:val="18"/>
              </w:rPr>
              <w:t>振动筛</w:t>
            </w:r>
          </w:p>
        </w:tc>
        <w:tc>
          <w:tcPr>
            <w:tcW w:w="1338" w:type="dxa"/>
            <w:noWrap w:val="0"/>
            <w:vAlign w:val="center"/>
          </w:tcPr>
          <w:p>
            <w:pPr>
              <w:spacing w:line="360" w:lineRule="exact"/>
              <w:jc w:val="center"/>
              <w:rPr>
                <w:color w:val="auto"/>
                <w:sz w:val="18"/>
                <w:szCs w:val="18"/>
              </w:rPr>
            </w:pPr>
            <w:r>
              <w:rPr>
                <w:color w:val="auto"/>
                <w:sz w:val="18"/>
                <w:szCs w:val="18"/>
              </w:rPr>
              <w:t>85</w:t>
            </w:r>
          </w:p>
        </w:tc>
        <w:tc>
          <w:tcPr>
            <w:tcW w:w="954" w:type="dxa"/>
            <w:tcBorders>
              <w:right w:val="single" w:color="auto" w:sz="2" w:space="0"/>
            </w:tcBorders>
            <w:noWrap w:val="0"/>
            <w:vAlign w:val="center"/>
          </w:tcPr>
          <w:p>
            <w:pPr>
              <w:spacing w:line="360" w:lineRule="exact"/>
              <w:jc w:val="center"/>
              <w:rPr>
                <w:color w:val="auto"/>
                <w:sz w:val="18"/>
                <w:szCs w:val="18"/>
              </w:rPr>
            </w:pPr>
            <w:r>
              <w:rPr>
                <w:color w:val="auto"/>
                <w:sz w:val="18"/>
                <w:szCs w:val="18"/>
              </w:rPr>
              <w:t>65</w:t>
            </w:r>
          </w:p>
        </w:tc>
        <w:tc>
          <w:tcPr>
            <w:tcW w:w="859" w:type="dxa"/>
            <w:tcBorders>
              <w:left w:val="single" w:color="auto" w:sz="2" w:space="0"/>
            </w:tcBorders>
            <w:noWrap w:val="0"/>
            <w:vAlign w:val="center"/>
          </w:tcPr>
          <w:p>
            <w:pPr>
              <w:spacing w:line="360" w:lineRule="exact"/>
              <w:jc w:val="center"/>
              <w:rPr>
                <w:color w:val="auto"/>
                <w:sz w:val="18"/>
                <w:szCs w:val="18"/>
              </w:rPr>
            </w:pPr>
            <w:r>
              <w:rPr>
                <w:color w:val="auto"/>
                <w:sz w:val="18"/>
                <w:szCs w:val="18"/>
              </w:rPr>
              <w:t>59</w:t>
            </w:r>
          </w:p>
        </w:tc>
        <w:tc>
          <w:tcPr>
            <w:tcW w:w="805" w:type="dxa"/>
            <w:noWrap w:val="0"/>
            <w:vAlign w:val="center"/>
          </w:tcPr>
          <w:p>
            <w:pPr>
              <w:spacing w:line="360" w:lineRule="exact"/>
              <w:jc w:val="center"/>
              <w:rPr>
                <w:rFonts w:hint="eastAsia"/>
                <w:color w:val="auto"/>
                <w:sz w:val="18"/>
                <w:szCs w:val="18"/>
              </w:rPr>
            </w:pPr>
            <w:r>
              <w:rPr>
                <w:rFonts w:hint="eastAsia"/>
                <w:color w:val="auto"/>
                <w:sz w:val="18"/>
                <w:szCs w:val="18"/>
              </w:rPr>
              <w:t>49</w:t>
            </w:r>
          </w:p>
        </w:tc>
        <w:tc>
          <w:tcPr>
            <w:tcW w:w="791" w:type="dxa"/>
            <w:noWrap w:val="0"/>
            <w:vAlign w:val="center"/>
          </w:tcPr>
          <w:p>
            <w:pPr>
              <w:spacing w:line="360" w:lineRule="exact"/>
              <w:jc w:val="center"/>
              <w:rPr>
                <w:color w:val="auto"/>
                <w:sz w:val="18"/>
                <w:szCs w:val="18"/>
              </w:rPr>
            </w:pPr>
            <w:r>
              <w:rPr>
                <w:color w:val="auto"/>
                <w:sz w:val="18"/>
                <w:szCs w:val="18"/>
              </w:rPr>
              <w:t>45</w:t>
            </w:r>
          </w:p>
        </w:tc>
        <w:tc>
          <w:tcPr>
            <w:tcW w:w="736" w:type="dxa"/>
            <w:noWrap w:val="0"/>
            <w:vAlign w:val="center"/>
          </w:tcPr>
          <w:p>
            <w:pPr>
              <w:spacing w:line="360" w:lineRule="exact"/>
              <w:jc w:val="center"/>
              <w:rPr>
                <w:color w:val="auto"/>
                <w:sz w:val="18"/>
                <w:szCs w:val="18"/>
              </w:rPr>
            </w:pPr>
            <w:r>
              <w:rPr>
                <w:color w:val="auto"/>
                <w:sz w:val="18"/>
                <w:szCs w:val="18"/>
              </w:rPr>
              <w:t>39</w:t>
            </w:r>
          </w:p>
        </w:tc>
        <w:tc>
          <w:tcPr>
            <w:tcW w:w="832" w:type="dxa"/>
            <w:noWrap w:val="0"/>
            <w:vAlign w:val="center"/>
          </w:tcPr>
          <w:p>
            <w:pPr>
              <w:spacing w:line="360" w:lineRule="exact"/>
              <w:jc w:val="center"/>
              <w:rPr>
                <w:color w:val="auto"/>
                <w:sz w:val="18"/>
                <w:szCs w:val="18"/>
              </w:rPr>
            </w:pPr>
            <w:r>
              <w:rPr>
                <w:color w:val="auto"/>
                <w:sz w:val="18"/>
                <w:szCs w:val="18"/>
              </w:rPr>
              <w:t>35</w:t>
            </w:r>
          </w:p>
        </w:tc>
        <w:tc>
          <w:tcPr>
            <w:tcW w:w="861" w:type="dxa"/>
            <w:noWrap w:val="0"/>
            <w:vAlign w:val="center"/>
          </w:tcPr>
          <w:p>
            <w:pPr>
              <w:spacing w:line="360" w:lineRule="exact"/>
              <w:jc w:val="center"/>
              <w:rPr>
                <w:color w:val="auto"/>
                <w:sz w:val="18"/>
                <w:szCs w:val="18"/>
              </w:rPr>
            </w:pPr>
            <w:r>
              <w:rPr>
                <w:color w:val="auto"/>
                <w:sz w:val="18"/>
                <w:szCs w:val="18"/>
              </w:rPr>
              <w:t>35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jc w:val="center"/>
        </w:trPr>
        <w:tc>
          <w:tcPr>
            <w:tcW w:w="1352" w:type="dxa"/>
            <w:noWrap w:val="0"/>
            <w:vAlign w:val="center"/>
          </w:tcPr>
          <w:p>
            <w:pPr>
              <w:adjustRightInd w:val="0"/>
              <w:snapToGrid w:val="0"/>
              <w:spacing w:line="360" w:lineRule="exact"/>
              <w:jc w:val="center"/>
              <w:rPr>
                <w:color w:val="auto"/>
                <w:sz w:val="18"/>
                <w:szCs w:val="18"/>
              </w:rPr>
            </w:pPr>
            <w:r>
              <w:rPr>
                <w:color w:val="auto"/>
                <w:sz w:val="18"/>
                <w:szCs w:val="18"/>
              </w:rPr>
              <w:t>空压机</w:t>
            </w:r>
          </w:p>
        </w:tc>
        <w:tc>
          <w:tcPr>
            <w:tcW w:w="1338" w:type="dxa"/>
            <w:noWrap w:val="0"/>
            <w:vAlign w:val="center"/>
          </w:tcPr>
          <w:p>
            <w:pPr>
              <w:spacing w:line="360" w:lineRule="exact"/>
              <w:jc w:val="center"/>
              <w:rPr>
                <w:color w:val="auto"/>
                <w:sz w:val="18"/>
                <w:szCs w:val="18"/>
              </w:rPr>
            </w:pPr>
            <w:r>
              <w:rPr>
                <w:color w:val="auto"/>
                <w:sz w:val="18"/>
                <w:szCs w:val="18"/>
              </w:rPr>
              <w:t>85</w:t>
            </w:r>
          </w:p>
        </w:tc>
        <w:tc>
          <w:tcPr>
            <w:tcW w:w="954" w:type="dxa"/>
            <w:tcBorders>
              <w:right w:val="single" w:color="auto" w:sz="2" w:space="0"/>
            </w:tcBorders>
            <w:noWrap w:val="0"/>
            <w:vAlign w:val="center"/>
          </w:tcPr>
          <w:p>
            <w:pPr>
              <w:spacing w:line="360" w:lineRule="exact"/>
              <w:jc w:val="center"/>
              <w:rPr>
                <w:color w:val="auto"/>
                <w:sz w:val="18"/>
                <w:szCs w:val="18"/>
              </w:rPr>
            </w:pPr>
            <w:r>
              <w:rPr>
                <w:color w:val="auto"/>
                <w:sz w:val="18"/>
                <w:szCs w:val="18"/>
              </w:rPr>
              <w:t>65</w:t>
            </w:r>
          </w:p>
        </w:tc>
        <w:tc>
          <w:tcPr>
            <w:tcW w:w="859" w:type="dxa"/>
            <w:tcBorders>
              <w:left w:val="single" w:color="auto" w:sz="2" w:space="0"/>
            </w:tcBorders>
            <w:noWrap w:val="0"/>
            <w:vAlign w:val="center"/>
          </w:tcPr>
          <w:p>
            <w:pPr>
              <w:spacing w:line="360" w:lineRule="exact"/>
              <w:jc w:val="center"/>
              <w:rPr>
                <w:color w:val="auto"/>
                <w:sz w:val="18"/>
                <w:szCs w:val="18"/>
              </w:rPr>
            </w:pPr>
            <w:r>
              <w:rPr>
                <w:color w:val="auto"/>
                <w:sz w:val="18"/>
                <w:szCs w:val="18"/>
              </w:rPr>
              <w:t>59</w:t>
            </w:r>
          </w:p>
        </w:tc>
        <w:tc>
          <w:tcPr>
            <w:tcW w:w="805" w:type="dxa"/>
            <w:noWrap w:val="0"/>
            <w:vAlign w:val="center"/>
          </w:tcPr>
          <w:p>
            <w:pPr>
              <w:spacing w:line="360" w:lineRule="exact"/>
              <w:jc w:val="center"/>
              <w:rPr>
                <w:rFonts w:hint="eastAsia"/>
                <w:color w:val="auto"/>
                <w:sz w:val="18"/>
                <w:szCs w:val="18"/>
              </w:rPr>
            </w:pPr>
            <w:r>
              <w:rPr>
                <w:rFonts w:hint="eastAsia"/>
                <w:color w:val="auto"/>
                <w:sz w:val="18"/>
                <w:szCs w:val="18"/>
              </w:rPr>
              <w:t>49</w:t>
            </w:r>
          </w:p>
        </w:tc>
        <w:tc>
          <w:tcPr>
            <w:tcW w:w="791" w:type="dxa"/>
            <w:noWrap w:val="0"/>
            <w:vAlign w:val="center"/>
          </w:tcPr>
          <w:p>
            <w:pPr>
              <w:spacing w:line="360" w:lineRule="exact"/>
              <w:jc w:val="center"/>
              <w:rPr>
                <w:color w:val="auto"/>
                <w:sz w:val="18"/>
                <w:szCs w:val="18"/>
              </w:rPr>
            </w:pPr>
            <w:r>
              <w:rPr>
                <w:color w:val="auto"/>
                <w:sz w:val="18"/>
                <w:szCs w:val="18"/>
              </w:rPr>
              <w:t>45</w:t>
            </w:r>
          </w:p>
        </w:tc>
        <w:tc>
          <w:tcPr>
            <w:tcW w:w="736" w:type="dxa"/>
            <w:noWrap w:val="0"/>
            <w:vAlign w:val="center"/>
          </w:tcPr>
          <w:p>
            <w:pPr>
              <w:spacing w:line="360" w:lineRule="exact"/>
              <w:jc w:val="center"/>
              <w:rPr>
                <w:color w:val="auto"/>
                <w:sz w:val="18"/>
                <w:szCs w:val="18"/>
              </w:rPr>
            </w:pPr>
            <w:r>
              <w:rPr>
                <w:color w:val="auto"/>
                <w:sz w:val="18"/>
                <w:szCs w:val="18"/>
              </w:rPr>
              <w:t>39</w:t>
            </w:r>
          </w:p>
        </w:tc>
        <w:tc>
          <w:tcPr>
            <w:tcW w:w="832" w:type="dxa"/>
            <w:noWrap w:val="0"/>
            <w:vAlign w:val="center"/>
          </w:tcPr>
          <w:p>
            <w:pPr>
              <w:spacing w:line="360" w:lineRule="exact"/>
              <w:jc w:val="center"/>
              <w:rPr>
                <w:color w:val="auto"/>
                <w:sz w:val="18"/>
                <w:szCs w:val="18"/>
              </w:rPr>
            </w:pPr>
            <w:r>
              <w:rPr>
                <w:color w:val="auto"/>
                <w:sz w:val="18"/>
                <w:szCs w:val="18"/>
              </w:rPr>
              <w:t>35</w:t>
            </w:r>
          </w:p>
        </w:tc>
        <w:tc>
          <w:tcPr>
            <w:tcW w:w="861" w:type="dxa"/>
            <w:noWrap w:val="0"/>
            <w:vAlign w:val="center"/>
          </w:tcPr>
          <w:p>
            <w:pPr>
              <w:spacing w:line="360" w:lineRule="exact"/>
              <w:jc w:val="center"/>
              <w:rPr>
                <w:color w:val="auto"/>
                <w:sz w:val="18"/>
                <w:szCs w:val="18"/>
              </w:rPr>
            </w:pPr>
            <w:r>
              <w:rPr>
                <w:color w:val="auto"/>
                <w:sz w:val="18"/>
                <w:szCs w:val="18"/>
              </w:rPr>
              <w:t>35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jc w:val="center"/>
        </w:trPr>
        <w:tc>
          <w:tcPr>
            <w:tcW w:w="1352" w:type="dxa"/>
            <w:noWrap w:val="0"/>
            <w:vAlign w:val="center"/>
          </w:tcPr>
          <w:p>
            <w:pPr>
              <w:adjustRightInd w:val="0"/>
              <w:snapToGrid w:val="0"/>
              <w:spacing w:line="360" w:lineRule="exact"/>
              <w:jc w:val="center"/>
              <w:rPr>
                <w:snapToGrid w:val="0"/>
                <w:color w:val="auto"/>
                <w:sz w:val="18"/>
                <w:szCs w:val="18"/>
              </w:rPr>
            </w:pPr>
            <w:r>
              <w:rPr>
                <w:snapToGrid w:val="0"/>
                <w:color w:val="auto"/>
                <w:sz w:val="18"/>
                <w:szCs w:val="18"/>
              </w:rPr>
              <w:t>挖掘机</w:t>
            </w:r>
          </w:p>
        </w:tc>
        <w:tc>
          <w:tcPr>
            <w:tcW w:w="1338" w:type="dxa"/>
            <w:noWrap w:val="0"/>
            <w:vAlign w:val="center"/>
          </w:tcPr>
          <w:p>
            <w:pPr>
              <w:spacing w:line="360" w:lineRule="exact"/>
              <w:jc w:val="center"/>
              <w:rPr>
                <w:color w:val="auto"/>
                <w:sz w:val="18"/>
                <w:szCs w:val="18"/>
              </w:rPr>
            </w:pPr>
            <w:r>
              <w:rPr>
                <w:color w:val="auto"/>
                <w:sz w:val="18"/>
                <w:szCs w:val="18"/>
              </w:rPr>
              <w:t>85</w:t>
            </w:r>
          </w:p>
        </w:tc>
        <w:tc>
          <w:tcPr>
            <w:tcW w:w="954" w:type="dxa"/>
            <w:tcBorders>
              <w:right w:val="single" w:color="auto" w:sz="2" w:space="0"/>
            </w:tcBorders>
            <w:noWrap w:val="0"/>
            <w:vAlign w:val="center"/>
          </w:tcPr>
          <w:p>
            <w:pPr>
              <w:spacing w:line="360" w:lineRule="exact"/>
              <w:jc w:val="center"/>
              <w:rPr>
                <w:color w:val="auto"/>
                <w:sz w:val="18"/>
                <w:szCs w:val="18"/>
              </w:rPr>
            </w:pPr>
            <w:r>
              <w:rPr>
                <w:color w:val="auto"/>
                <w:sz w:val="18"/>
                <w:szCs w:val="18"/>
              </w:rPr>
              <w:t>65</w:t>
            </w:r>
          </w:p>
        </w:tc>
        <w:tc>
          <w:tcPr>
            <w:tcW w:w="859" w:type="dxa"/>
            <w:tcBorders>
              <w:left w:val="single" w:color="auto" w:sz="2" w:space="0"/>
            </w:tcBorders>
            <w:noWrap w:val="0"/>
            <w:vAlign w:val="center"/>
          </w:tcPr>
          <w:p>
            <w:pPr>
              <w:spacing w:line="360" w:lineRule="exact"/>
              <w:jc w:val="center"/>
              <w:rPr>
                <w:color w:val="auto"/>
                <w:sz w:val="18"/>
                <w:szCs w:val="18"/>
              </w:rPr>
            </w:pPr>
            <w:r>
              <w:rPr>
                <w:color w:val="auto"/>
                <w:sz w:val="18"/>
                <w:szCs w:val="18"/>
              </w:rPr>
              <w:t>59</w:t>
            </w:r>
          </w:p>
        </w:tc>
        <w:tc>
          <w:tcPr>
            <w:tcW w:w="805" w:type="dxa"/>
            <w:noWrap w:val="0"/>
            <w:vAlign w:val="center"/>
          </w:tcPr>
          <w:p>
            <w:pPr>
              <w:spacing w:line="360" w:lineRule="exact"/>
              <w:jc w:val="center"/>
              <w:rPr>
                <w:color w:val="auto"/>
                <w:sz w:val="18"/>
                <w:szCs w:val="18"/>
              </w:rPr>
            </w:pPr>
            <w:r>
              <w:rPr>
                <w:rFonts w:hint="eastAsia"/>
                <w:color w:val="auto"/>
                <w:sz w:val="18"/>
                <w:szCs w:val="18"/>
              </w:rPr>
              <w:t>49</w:t>
            </w:r>
          </w:p>
        </w:tc>
        <w:tc>
          <w:tcPr>
            <w:tcW w:w="791" w:type="dxa"/>
            <w:noWrap w:val="0"/>
            <w:vAlign w:val="center"/>
          </w:tcPr>
          <w:p>
            <w:pPr>
              <w:spacing w:line="360" w:lineRule="exact"/>
              <w:jc w:val="center"/>
              <w:rPr>
                <w:color w:val="auto"/>
                <w:sz w:val="18"/>
                <w:szCs w:val="18"/>
              </w:rPr>
            </w:pPr>
            <w:r>
              <w:rPr>
                <w:color w:val="auto"/>
                <w:sz w:val="18"/>
                <w:szCs w:val="18"/>
              </w:rPr>
              <w:t>45</w:t>
            </w:r>
          </w:p>
        </w:tc>
        <w:tc>
          <w:tcPr>
            <w:tcW w:w="736" w:type="dxa"/>
            <w:noWrap w:val="0"/>
            <w:vAlign w:val="center"/>
          </w:tcPr>
          <w:p>
            <w:pPr>
              <w:spacing w:line="360" w:lineRule="exact"/>
              <w:jc w:val="center"/>
              <w:rPr>
                <w:color w:val="auto"/>
                <w:sz w:val="18"/>
                <w:szCs w:val="18"/>
              </w:rPr>
            </w:pPr>
            <w:r>
              <w:rPr>
                <w:color w:val="auto"/>
                <w:sz w:val="18"/>
                <w:szCs w:val="18"/>
              </w:rPr>
              <w:t>39</w:t>
            </w:r>
          </w:p>
        </w:tc>
        <w:tc>
          <w:tcPr>
            <w:tcW w:w="832" w:type="dxa"/>
            <w:noWrap w:val="0"/>
            <w:vAlign w:val="center"/>
          </w:tcPr>
          <w:p>
            <w:pPr>
              <w:spacing w:line="360" w:lineRule="exact"/>
              <w:jc w:val="center"/>
              <w:rPr>
                <w:color w:val="auto"/>
                <w:sz w:val="18"/>
                <w:szCs w:val="18"/>
              </w:rPr>
            </w:pPr>
            <w:r>
              <w:rPr>
                <w:color w:val="auto"/>
                <w:sz w:val="18"/>
                <w:szCs w:val="18"/>
              </w:rPr>
              <w:t>35</w:t>
            </w:r>
          </w:p>
        </w:tc>
        <w:tc>
          <w:tcPr>
            <w:tcW w:w="861" w:type="dxa"/>
            <w:noWrap w:val="0"/>
            <w:vAlign w:val="center"/>
          </w:tcPr>
          <w:p>
            <w:pPr>
              <w:spacing w:line="360" w:lineRule="exact"/>
              <w:jc w:val="center"/>
              <w:rPr>
                <w:color w:val="auto"/>
                <w:sz w:val="18"/>
                <w:szCs w:val="18"/>
              </w:rPr>
            </w:pPr>
            <w:r>
              <w:rPr>
                <w:color w:val="auto"/>
                <w:sz w:val="18"/>
                <w:szCs w:val="18"/>
              </w:rPr>
              <w:t>35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jc w:val="center"/>
        </w:trPr>
        <w:tc>
          <w:tcPr>
            <w:tcW w:w="1352" w:type="dxa"/>
            <w:noWrap w:val="0"/>
            <w:vAlign w:val="center"/>
          </w:tcPr>
          <w:p>
            <w:pPr>
              <w:adjustRightInd w:val="0"/>
              <w:snapToGrid w:val="0"/>
              <w:spacing w:line="360" w:lineRule="exact"/>
              <w:jc w:val="center"/>
              <w:rPr>
                <w:rFonts w:hint="eastAsia" w:eastAsiaTheme="minorEastAsia"/>
                <w:snapToGrid w:val="0"/>
                <w:color w:val="auto"/>
                <w:sz w:val="18"/>
                <w:szCs w:val="18"/>
                <w:lang w:eastAsia="zh-CN"/>
              </w:rPr>
            </w:pPr>
            <w:r>
              <w:rPr>
                <w:rFonts w:hint="eastAsia"/>
                <w:snapToGrid w:val="0"/>
                <w:color w:val="auto"/>
                <w:sz w:val="18"/>
                <w:szCs w:val="18"/>
                <w:lang w:eastAsia="zh-CN"/>
              </w:rPr>
              <w:t>装载机</w:t>
            </w:r>
          </w:p>
        </w:tc>
        <w:tc>
          <w:tcPr>
            <w:tcW w:w="1338" w:type="dxa"/>
            <w:noWrap w:val="0"/>
            <w:vAlign w:val="center"/>
          </w:tcPr>
          <w:p>
            <w:pPr>
              <w:spacing w:line="360" w:lineRule="exact"/>
              <w:jc w:val="center"/>
              <w:rPr>
                <w:rFonts w:hint="eastAsia" w:eastAsiaTheme="minorEastAsia"/>
                <w:color w:val="auto"/>
                <w:sz w:val="18"/>
                <w:szCs w:val="18"/>
                <w:lang w:val="en-US" w:eastAsia="zh-CN"/>
              </w:rPr>
            </w:pPr>
            <w:r>
              <w:rPr>
                <w:rFonts w:hint="eastAsia"/>
                <w:color w:val="auto"/>
                <w:sz w:val="18"/>
                <w:szCs w:val="18"/>
                <w:lang w:val="en-US" w:eastAsia="zh-CN"/>
              </w:rPr>
              <w:t>90</w:t>
            </w:r>
          </w:p>
        </w:tc>
        <w:tc>
          <w:tcPr>
            <w:tcW w:w="954" w:type="dxa"/>
            <w:tcBorders>
              <w:right w:val="single" w:color="auto" w:sz="2" w:space="0"/>
            </w:tcBorders>
            <w:noWrap w:val="0"/>
            <w:vAlign w:val="center"/>
          </w:tcPr>
          <w:p>
            <w:pPr>
              <w:spacing w:line="360" w:lineRule="exact"/>
              <w:jc w:val="center"/>
              <w:rPr>
                <w:color w:val="auto"/>
                <w:sz w:val="18"/>
                <w:szCs w:val="18"/>
              </w:rPr>
            </w:pPr>
            <w:r>
              <w:rPr>
                <w:color w:val="auto"/>
                <w:sz w:val="18"/>
                <w:szCs w:val="18"/>
              </w:rPr>
              <w:t>70</w:t>
            </w:r>
          </w:p>
        </w:tc>
        <w:tc>
          <w:tcPr>
            <w:tcW w:w="859" w:type="dxa"/>
            <w:tcBorders>
              <w:left w:val="single" w:color="auto" w:sz="2" w:space="0"/>
            </w:tcBorders>
            <w:noWrap w:val="0"/>
            <w:vAlign w:val="center"/>
          </w:tcPr>
          <w:p>
            <w:pPr>
              <w:spacing w:line="360" w:lineRule="exact"/>
              <w:jc w:val="center"/>
              <w:rPr>
                <w:color w:val="auto"/>
                <w:sz w:val="18"/>
                <w:szCs w:val="18"/>
              </w:rPr>
            </w:pPr>
            <w:r>
              <w:rPr>
                <w:color w:val="auto"/>
                <w:sz w:val="18"/>
                <w:szCs w:val="18"/>
              </w:rPr>
              <w:t>64</w:t>
            </w:r>
          </w:p>
        </w:tc>
        <w:tc>
          <w:tcPr>
            <w:tcW w:w="805" w:type="dxa"/>
            <w:noWrap w:val="0"/>
            <w:vAlign w:val="center"/>
          </w:tcPr>
          <w:p>
            <w:pPr>
              <w:spacing w:line="360" w:lineRule="exact"/>
              <w:jc w:val="center"/>
              <w:rPr>
                <w:rFonts w:hint="eastAsia"/>
                <w:color w:val="auto"/>
                <w:sz w:val="18"/>
                <w:szCs w:val="18"/>
              </w:rPr>
            </w:pPr>
            <w:r>
              <w:rPr>
                <w:rFonts w:hint="eastAsia"/>
                <w:color w:val="auto"/>
                <w:sz w:val="18"/>
                <w:szCs w:val="18"/>
              </w:rPr>
              <w:t>54</w:t>
            </w:r>
          </w:p>
        </w:tc>
        <w:tc>
          <w:tcPr>
            <w:tcW w:w="791" w:type="dxa"/>
            <w:noWrap w:val="0"/>
            <w:vAlign w:val="center"/>
          </w:tcPr>
          <w:p>
            <w:pPr>
              <w:spacing w:line="360" w:lineRule="exact"/>
              <w:jc w:val="center"/>
              <w:rPr>
                <w:color w:val="auto"/>
                <w:sz w:val="18"/>
                <w:szCs w:val="18"/>
              </w:rPr>
            </w:pPr>
            <w:r>
              <w:rPr>
                <w:color w:val="auto"/>
                <w:sz w:val="18"/>
                <w:szCs w:val="18"/>
              </w:rPr>
              <w:t>50</w:t>
            </w:r>
          </w:p>
        </w:tc>
        <w:tc>
          <w:tcPr>
            <w:tcW w:w="736" w:type="dxa"/>
            <w:noWrap w:val="0"/>
            <w:vAlign w:val="center"/>
          </w:tcPr>
          <w:p>
            <w:pPr>
              <w:spacing w:line="360" w:lineRule="exact"/>
              <w:jc w:val="center"/>
              <w:rPr>
                <w:color w:val="auto"/>
                <w:sz w:val="18"/>
                <w:szCs w:val="18"/>
              </w:rPr>
            </w:pPr>
            <w:r>
              <w:rPr>
                <w:color w:val="auto"/>
                <w:sz w:val="18"/>
                <w:szCs w:val="18"/>
              </w:rPr>
              <w:t>44</w:t>
            </w:r>
          </w:p>
        </w:tc>
        <w:tc>
          <w:tcPr>
            <w:tcW w:w="832" w:type="dxa"/>
            <w:noWrap w:val="0"/>
            <w:vAlign w:val="center"/>
          </w:tcPr>
          <w:p>
            <w:pPr>
              <w:spacing w:line="360" w:lineRule="exact"/>
              <w:jc w:val="center"/>
              <w:rPr>
                <w:color w:val="auto"/>
                <w:sz w:val="18"/>
                <w:szCs w:val="18"/>
              </w:rPr>
            </w:pPr>
            <w:r>
              <w:rPr>
                <w:color w:val="auto"/>
                <w:sz w:val="18"/>
                <w:szCs w:val="18"/>
              </w:rPr>
              <w:t>41</w:t>
            </w:r>
          </w:p>
        </w:tc>
        <w:tc>
          <w:tcPr>
            <w:tcW w:w="861" w:type="dxa"/>
            <w:noWrap w:val="0"/>
            <w:vAlign w:val="center"/>
          </w:tcPr>
          <w:p>
            <w:pPr>
              <w:spacing w:line="360" w:lineRule="exact"/>
              <w:jc w:val="center"/>
              <w:rPr>
                <w:color w:val="auto"/>
                <w:sz w:val="18"/>
                <w:szCs w:val="18"/>
              </w:rPr>
            </w:pPr>
            <w:r>
              <w:rPr>
                <w:color w:val="auto"/>
                <w:sz w:val="18"/>
                <w:szCs w:val="18"/>
              </w:rPr>
              <w:t>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jc w:val="center"/>
        </w:trPr>
        <w:tc>
          <w:tcPr>
            <w:tcW w:w="1352" w:type="dxa"/>
            <w:noWrap w:val="0"/>
            <w:vAlign w:val="center"/>
          </w:tcPr>
          <w:p>
            <w:pPr>
              <w:adjustRightInd w:val="0"/>
              <w:snapToGrid w:val="0"/>
              <w:spacing w:line="360" w:lineRule="exact"/>
              <w:jc w:val="center"/>
              <w:rPr>
                <w:rFonts w:hint="eastAsia" w:eastAsiaTheme="minorEastAsia"/>
                <w:color w:val="auto"/>
                <w:sz w:val="18"/>
                <w:szCs w:val="18"/>
                <w:lang w:eastAsia="zh-CN"/>
              </w:rPr>
            </w:pPr>
            <w:r>
              <w:rPr>
                <w:rFonts w:hint="eastAsia"/>
                <w:color w:val="auto"/>
                <w:sz w:val="18"/>
                <w:szCs w:val="18"/>
                <w:lang w:eastAsia="zh-CN"/>
              </w:rPr>
              <w:t>水泵</w:t>
            </w:r>
          </w:p>
        </w:tc>
        <w:tc>
          <w:tcPr>
            <w:tcW w:w="1338" w:type="dxa"/>
            <w:noWrap w:val="0"/>
            <w:vAlign w:val="center"/>
          </w:tcPr>
          <w:p>
            <w:pPr>
              <w:spacing w:line="360" w:lineRule="exact"/>
              <w:jc w:val="center"/>
              <w:rPr>
                <w:color w:val="auto"/>
                <w:sz w:val="18"/>
                <w:szCs w:val="18"/>
              </w:rPr>
            </w:pPr>
            <w:r>
              <w:rPr>
                <w:color w:val="auto"/>
                <w:sz w:val="18"/>
                <w:szCs w:val="18"/>
              </w:rPr>
              <w:t>85</w:t>
            </w:r>
          </w:p>
        </w:tc>
        <w:tc>
          <w:tcPr>
            <w:tcW w:w="954" w:type="dxa"/>
            <w:tcBorders>
              <w:right w:val="single" w:color="auto" w:sz="2" w:space="0"/>
            </w:tcBorders>
            <w:noWrap w:val="0"/>
            <w:vAlign w:val="center"/>
          </w:tcPr>
          <w:p>
            <w:pPr>
              <w:spacing w:line="360" w:lineRule="exact"/>
              <w:jc w:val="center"/>
              <w:rPr>
                <w:color w:val="auto"/>
                <w:sz w:val="18"/>
                <w:szCs w:val="18"/>
              </w:rPr>
            </w:pPr>
            <w:r>
              <w:rPr>
                <w:color w:val="auto"/>
                <w:sz w:val="18"/>
                <w:szCs w:val="18"/>
              </w:rPr>
              <w:t>65</w:t>
            </w:r>
          </w:p>
        </w:tc>
        <w:tc>
          <w:tcPr>
            <w:tcW w:w="859" w:type="dxa"/>
            <w:tcBorders>
              <w:left w:val="single" w:color="auto" w:sz="2" w:space="0"/>
            </w:tcBorders>
            <w:noWrap w:val="0"/>
            <w:vAlign w:val="center"/>
          </w:tcPr>
          <w:p>
            <w:pPr>
              <w:spacing w:line="360" w:lineRule="exact"/>
              <w:jc w:val="center"/>
              <w:rPr>
                <w:color w:val="auto"/>
                <w:sz w:val="18"/>
                <w:szCs w:val="18"/>
              </w:rPr>
            </w:pPr>
            <w:r>
              <w:rPr>
                <w:color w:val="auto"/>
                <w:sz w:val="18"/>
                <w:szCs w:val="18"/>
              </w:rPr>
              <w:t>59</w:t>
            </w:r>
          </w:p>
        </w:tc>
        <w:tc>
          <w:tcPr>
            <w:tcW w:w="805" w:type="dxa"/>
            <w:noWrap w:val="0"/>
            <w:vAlign w:val="center"/>
          </w:tcPr>
          <w:p>
            <w:pPr>
              <w:spacing w:line="360" w:lineRule="exact"/>
              <w:jc w:val="center"/>
              <w:rPr>
                <w:rFonts w:hint="eastAsia"/>
                <w:color w:val="auto"/>
                <w:sz w:val="18"/>
                <w:szCs w:val="18"/>
              </w:rPr>
            </w:pPr>
            <w:r>
              <w:rPr>
                <w:rFonts w:hint="eastAsia"/>
                <w:color w:val="auto"/>
                <w:sz w:val="18"/>
                <w:szCs w:val="18"/>
              </w:rPr>
              <w:t>49</w:t>
            </w:r>
          </w:p>
        </w:tc>
        <w:tc>
          <w:tcPr>
            <w:tcW w:w="791" w:type="dxa"/>
            <w:noWrap w:val="0"/>
            <w:vAlign w:val="center"/>
          </w:tcPr>
          <w:p>
            <w:pPr>
              <w:spacing w:line="360" w:lineRule="exact"/>
              <w:jc w:val="center"/>
              <w:rPr>
                <w:color w:val="auto"/>
                <w:sz w:val="18"/>
                <w:szCs w:val="18"/>
              </w:rPr>
            </w:pPr>
            <w:r>
              <w:rPr>
                <w:color w:val="auto"/>
                <w:sz w:val="18"/>
                <w:szCs w:val="18"/>
              </w:rPr>
              <w:t>45</w:t>
            </w:r>
          </w:p>
        </w:tc>
        <w:tc>
          <w:tcPr>
            <w:tcW w:w="736" w:type="dxa"/>
            <w:noWrap w:val="0"/>
            <w:vAlign w:val="center"/>
          </w:tcPr>
          <w:p>
            <w:pPr>
              <w:spacing w:line="360" w:lineRule="exact"/>
              <w:jc w:val="center"/>
              <w:rPr>
                <w:color w:val="auto"/>
                <w:sz w:val="18"/>
                <w:szCs w:val="18"/>
              </w:rPr>
            </w:pPr>
            <w:r>
              <w:rPr>
                <w:color w:val="auto"/>
                <w:sz w:val="18"/>
                <w:szCs w:val="18"/>
              </w:rPr>
              <w:t>39</w:t>
            </w:r>
          </w:p>
        </w:tc>
        <w:tc>
          <w:tcPr>
            <w:tcW w:w="832" w:type="dxa"/>
            <w:noWrap w:val="0"/>
            <w:vAlign w:val="center"/>
          </w:tcPr>
          <w:p>
            <w:pPr>
              <w:spacing w:line="360" w:lineRule="exact"/>
              <w:jc w:val="center"/>
              <w:rPr>
                <w:color w:val="auto"/>
                <w:sz w:val="18"/>
                <w:szCs w:val="18"/>
              </w:rPr>
            </w:pPr>
            <w:r>
              <w:rPr>
                <w:color w:val="auto"/>
                <w:sz w:val="18"/>
                <w:szCs w:val="18"/>
              </w:rPr>
              <w:t>35</w:t>
            </w:r>
          </w:p>
        </w:tc>
        <w:tc>
          <w:tcPr>
            <w:tcW w:w="861" w:type="dxa"/>
            <w:noWrap w:val="0"/>
            <w:vAlign w:val="center"/>
          </w:tcPr>
          <w:p>
            <w:pPr>
              <w:spacing w:line="360" w:lineRule="exact"/>
              <w:jc w:val="center"/>
              <w:rPr>
                <w:color w:val="auto"/>
                <w:sz w:val="18"/>
                <w:szCs w:val="18"/>
              </w:rPr>
            </w:pPr>
            <w:r>
              <w:rPr>
                <w:color w:val="auto"/>
                <w:sz w:val="18"/>
                <w:szCs w:val="18"/>
              </w:rPr>
              <w:t>35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jc w:val="center"/>
        </w:trPr>
        <w:tc>
          <w:tcPr>
            <w:tcW w:w="1352" w:type="dxa"/>
            <w:noWrap w:val="0"/>
            <w:vAlign w:val="center"/>
          </w:tcPr>
          <w:p>
            <w:pPr>
              <w:adjustRightInd w:val="0"/>
              <w:snapToGrid w:val="0"/>
              <w:spacing w:line="360" w:lineRule="exact"/>
              <w:jc w:val="center"/>
              <w:rPr>
                <w:snapToGrid w:val="0"/>
                <w:color w:val="auto"/>
                <w:sz w:val="18"/>
                <w:szCs w:val="18"/>
              </w:rPr>
            </w:pPr>
            <w:r>
              <w:rPr>
                <w:rFonts w:hint="eastAsia"/>
                <w:snapToGrid w:val="0"/>
                <w:color w:val="auto"/>
                <w:sz w:val="18"/>
                <w:szCs w:val="18"/>
                <w:lang w:eastAsia="zh-CN"/>
              </w:rPr>
              <w:t>深孔</w:t>
            </w:r>
            <w:r>
              <w:rPr>
                <w:snapToGrid w:val="0"/>
                <w:color w:val="auto"/>
                <w:sz w:val="18"/>
                <w:szCs w:val="18"/>
              </w:rPr>
              <w:t>爆破</w:t>
            </w:r>
          </w:p>
        </w:tc>
        <w:tc>
          <w:tcPr>
            <w:tcW w:w="1338" w:type="dxa"/>
            <w:noWrap w:val="0"/>
            <w:vAlign w:val="center"/>
          </w:tcPr>
          <w:p>
            <w:pPr>
              <w:spacing w:line="360" w:lineRule="exact"/>
              <w:jc w:val="center"/>
              <w:rPr>
                <w:color w:val="auto"/>
                <w:sz w:val="18"/>
                <w:szCs w:val="18"/>
              </w:rPr>
            </w:pPr>
            <w:r>
              <w:rPr>
                <w:color w:val="auto"/>
                <w:sz w:val="18"/>
                <w:szCs w:val="18"/>
              </w:rPr>
              <w:t>95</w:t>
            </w:r>
          </w:p>
        </w:tc>
        <w:tc>
          <w:tcPr>
            <w:tcW w:w="954" w:type="dxa"/>
            <w:tcBorders>
              <w:right w:val="single" w:color="auto" w:sz="2" w:space="0"/>
            </w:tcBorders>
            <w:noWrap w:val="0"/>
            <w:vAlign w:val="center"/>
          </w:tcPr>
          <w:p>
            <w:pPr>
              <w:spacing w:line="360" w:lineRule="exact"/>
              <w:jc w:val="center"/>
              <w:rPr>
                <w:color w:val="auto"/>
                <w:sz w:val="18"/>
                <w:szCs w:val="18"/>
              </w:rPr>
            </w:pPr>
            <w:r>
              <w:rPr>
                <w:color w:val="auto"/>
                <w:sz w:val="18"/>
                <w:szCs w:val="18"/>
              </w:rPr>
              <w:t>75</w:t>
            </w:r>
          </w:p>
        </w:tc>
        <w:tc>
          <w:tcPr>
            <w:tcW w:w="859" w:type="dxa"/>
            <w:tcBorders>
              <w:left w:val="single" w:color="auto" w:sz="2" w:space="0"/>
            </w:tcBorders>
            <w:noWrap w:val="0"/>
            <w:vAlign w:val="center"/>
          </w:tcPr>
          <w:p>
            <w:pPr>
              <w:spacing w:line="360" w:lineRule="exact"/>
              <w:jc w:val="center"/>
              <w:rPr>
                <w:color w:val="auto"/>
                <w:sz w:val="18"/>
                <w:szCs w:val="18"/>
              </w:rPr>
            </w:pPr>
            <w:r>
              <w:rPr>
                <w:color w:val="auto"/>
                <w:sz w:val="18"/>
                <w:szCs w:val="18"/>
              </w:rPr>
              <w:t>69</w:t>
            </w:r>
          </w:p>
        </w:tc>
        <w:tc>
          <w:tcPr>
            <w:tcW w:w="805" w:type="dxa"/>
            <w:noWrap w:val="0"/>
            <w:vAlign w:val="center"/>
          </w:tcPr>
          <w:p>
            <w:pPr>
              <w:spacing w:line="360" w:lineRule="exact"/>
              <w:jc w:val="center"/>
              <w:rPr>
                <w:rFonts w:hint="eastAsia"/>
                <w:color w:val="auto"/>
                <w:sz w:val="18"/>
                <w:szCs w:val="18"/>
              </w:rPr>
            </w:pPr>
            <w:r>
              <w:rPr>
                <w:rFonts w:hint="eastAsia"/>
                <w:color w:val="auto"/>
                <w:sz w:val="18"/>
                <w:szCs w:val="18"/>
              </w:rPr>
              <w:t>59</w:t>
            </w:r>
          </w:p>
        </w:tc>
        <w:tc>
          <w:tcPr>
            <w:tcW w:w="791" w:type="dxa"/>
            <w:noWrap w:val="0"/>
            <w:vAlign w:val="center"/>
          </w:tcPr>
          <w:p>
            <w:pPr>
              <w:spacing w:line="360" w:lineRule="exact"/>
              <w:jc w:val="center"/>
              <w:rPr>
                <w:color w:val="auto"/>
                <w:sz w:val="18"/>
                <w:szCs w:val="18"/>
              </w:rPr>
            </w:pPr>
            <w:r>
              <w:rPr>
                <w:color w:val="auto"/>
                <w:sz w:val="18"/>
                <w:szCs w:val="18"/>
              </w:rPr>
              <w:t>55</w:t>
            </w:r>
          </w:p>
        </w:tc>
        <w:tc>
          <w:tcPr>
            <w:tcW w:w="736" w:type="dxa"/>
            <w:noWrap w:val="0"/>
            <w:vAlign w:val="center"/>
          </w:tcPr>
          <w:p>
            <w:pPr>
              <w:spacing w:line="360" w:lineRule="exact"/>
              <w:jc w:val="center"/>
              <w:rPr>
                <w:color w:val="auto"/>
                <w:sz w:val="18"/>
                <w:szCs w:val="18"/>
              </w:rPr>
            </w:pPr>
            <w:r>
              <w:rPr>
                <w:color w:val="auto"/>
                <w:sz w:val="18"/>
                <w:szCs w:val="18"/>
              </w:rPr>
              <w:t>49</w:t>
            </w:r>
          </w:p>
        </w:tc>
        <w:tc>
          <w:tcPr>
            <w:tcW w:w="832" w:type="dxa"/>
            <w:noWrap w:val="0"/>
            <w:vAlign w:val="center"/>
          </w:tcPr>
          <w:p>
            <w:pPr>
              <w:spacing w:line="360" w:lineRule="exact"/>
              <w:jc w:val="center"/>
              <w:rPr>
                <w:color w:val="auto"/>
                <w:sz w:val="18"/>
                <w:szCs w:val="18"/>
              </w:rPr>
            </w:pPr>
            <w:r>
              <w:rPr>
                <w:color w:val="auto"/>
                <w:sz w:val="18"/>
                <w:szCs w:val="18"/>
              </w:rPr>
              <w:t>45</w:t>
            </w:r>
          </w:p>
        </w:tc>
        <w:tc>
          <w:tcPr>
            <w:tcW w:w="861" w:type="dxa"/>
            <w:noWrap w:val="0"/>
            <w:vAlign w:val="center"/>
          </w:tcPr>
          <w:p>
            <w:pPr>
              <w:spacing w:line="360" w:lineRule="exact"/>
              <w:jc w:val="center"/>
              <w:rPr>
                <w:color w:val="auto"/>
                <w:sz w:val="18"/>
                <w:szCs w:val="18"/>
              </w:rPr>
            </w:pPr>
            <w:r>
              <w:rPr>
                <w:color w:val="auto"/>
                <w:sz w:val="18"/>
                <w:szCs w:val="18"/>
              </w:rPr>
              <w:t>45</w:t>
            </w:r>
          </w:p>
        </w:tc>
      </w:tr>
    </w:tbl>
    <w:p>
      <w:pPr>
        <w:pStyle w:val="244"/>
        <w:rPr>
          <w:rFonts w:eastAsiaTheme="minorEastAsia"/>
          <w:color w:val="auto"/>
        </w:rPr>
      </w:pPr>
      <w:r>
        <w:rPr>
          <w:rFonts w:eastAsiaTheme="minorEastAsia"/>
          <w:color w:val="auto"/>
        </w:rPr>
        <w:t>表5-2-10  厂界昼间噪声预测结果</w:t>
      </w:r>
    </w:p>
    <w:tbl>
      <w:tblPr>
        <w:tblStyle w:val="53"/>
        <w:tblW w:w="8528" w:type="dxa"/>
        <w:jc w:val="center"/>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4297"/>
        <w:gridCol w:w="4231"/>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jc w:val="center"/>
        </w:trPr>
        <w:tc>
          <w:tcPr>
            <w:tcW w:w="4297" w:type="dxa"/>
            <w:vAlign w:val="center"/>
          </w:tcPr>
          <w:p>
            <w:pPr>
              <w:pStyle w:val="246"/>
              <w:rPr>
                <w:rFonts w:eastAsiaTheme="minorEastAsia"/>
                <w:color w:val="auto"/>
              </w:rPr>
            </w:pPr>
            <w:r>
              <w:rPr>
                <w:rFonts w:eastAsiaTheme="minorEastAsia"/>
                <w:color w:val="auto"/>
              </w:rPr>
              <w:t>位置</w:t>
            </w:r>
          </w:p>
        </w:tc>
        <w:tc>
          <w:tcPr>
            <w:tcW w:w="4231" w:type="dxa"/>
            <w:vAlign w:val="center"/>
          </w:tcPr>
          <w:p>
            <w:pPr>
              <w:pStyle w:val="246"/>
              <w:rPr>
                <w:rFonts w:eastAsiaTheme="minorEastAsia"/>
                <w:color w:val="auto"/>
              </w:rPr>
            </w:pPr>
            <w:r>
              <w:rPr>
                <w:rFonts w:eastAsiaTheme="minorEastAsia"/>
                <w:color w:val="auto"/>
              </w:rPr>
              <w:t>贡献值dB（A）</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jc w:val="center"/>
        </w:trPr>
        <w:tc>
          <w:tcPr>
            <w:tcW w:w="4297" w:type="dxa"/>
            <w:vAlign w:val="center"/>
          </w:tcPr>
          <w:p>
            <w:pPr>
              <w:pStyle w:val="246"/>
              <w:rPr>
                <w:rFonts w:eastAsiaTheme="minorEastAsia"/>
                <w:color w:val="auto"/>
              </w:rPr>
            </w:pPr>
            <w:r>
              <w:rPr>
                <w:rFonts w:hint="eastAsia" w:eastAsiaTheme="minorEastAsia"/>
                <w:color w:val="auto"/>
                <w:lang w:val="en-US" w:eastAsia="zh-CN"/>
              </w:rPr>
              <w:t>工业场地北厂界</w:t>
            </w:r>
          </w:p>
        </w:tc>
        <w:tc>
          <w:tcPr>
            <w:tcW w:w="4231" w:type="dxa"/>
            <w:vAlign w:val="center"/>
          </w:tcPr>
          <w:p>
            <w:pPr>
              <w:pStyle w:val="246"/>
              <w:rPr>
                <w:rFonts w:hint="eastAsia" w:eastAsiaTheme="minorEastAsia"/>
                <w:color w:val="auto"/>
                <w:lang w:val="en-US" w:eastAsia="zh-CN"/>
              </w:rPr>
            </w:pPr>
            <w:r>
              <w:rPr>
                <w:rFonts w:hint="eastAsia" w:eastAsiaTheme="minorEastAsia"/>
                <w:color w:val="auto"/>
                <w:lang w:val="en-US" w:eastAsia="zh-CN"/>
              </w:rPr>
              <w:t xml:space="preserve">45.3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jc w:val="center"/>
        </w:trPr>
        <w:tc>
          <w:tcPr>
            <w:tcW w:w="4297" w:type="dxa"/>
            <w:vAlign w:val="center"/>
          </w:tcPr>
          <w:p>
            <w:pPr>
              <w:pStyle w:val="246"/>
              <w:rPr>
                <w:rFonts w:eastAsiaTheme="minorEastAsia"/>
                <w:color w:val="auto"/>
              </w:rPr>
            </w:pPr>
            <w:r>
              <w:rPr>
                <w:rFonts w:hint="eastAsia" w:eastAsiaTheme="minorEastAsia"/>
                <w:color w:val="auto"/>
                <w:lang w:val="en-US" w:eastAsia="zh-CN"/>
              </w:rPr>
              <w:t>工业场地南厂界</w:t>
            </w:r>
          </w:p>
        </w:tc>
        <w:tc>
          <w:tcPr>
            <w:tcW w:w="4231" w:type="dxa"/>
            <w:vAlign w:val="center"/>
          </w:tcPr>
          <w:p>
            <w:pPr>
              <w:pStyle w:val="246"/>
              <w:rPr>
                <w:rFonts w:hint="eastAsia" w:eastAsiaTheme="minorEastAsia"/>
                <w:color w:val="auto"/>
                <w:lang w:val="en-US" w:eastAsia="zh-CN"/>
              </w:rPr>
            </w:pPr>
            <w:r>
              <w:rPr>
                <w:rFonts w:hint="eastAsia" w:eastAsiaTheme="minorEastAsia"/>
                <w:color w:val="auto"/>
                <w:lang w:val="en-US" w:eastAsia="zh-CN"/>
              </w:rPr>
              <w:t xml:space="preserve">54.0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jc w:val="center"/>
        </w:trPr>
        <w:tc>
          <w:tcPr>
            <w:tcW w:w="4297" w:type="dxa"/>
            <w:vAlign w:val="center"/>
          </w:tcPr>
          <w:p>
            <w:pPr>
              <w:pStyle w:val="246"/>
              <w:rPr>
                <w:rFonts w:eastAsiaTheme="minorEastAsia"/>
                <w:color w:val="auto"/>
              </w:rPr>
            </w:pPr>
            <w:r>
              <w:rPr>
                <w:rFonts w:hint="eastAsia" w:eastAsiaTheme="minorEastAsia"/>
                <w:color w:val="auto"/>
                <w:lang w:val="en-US" w:eastAsia="zh-CN"/>
              </w:rPr>
              <w:t>工业场地西厂界</w:t>
            </w:r>
          </w:p>
        </w:tc>
        <w:tc>
          <w:tcPr>
            <w:tcW w:w="4231" w:type="dxa"/>
            <w:vAlign w:val="center"/>
          </w:tcPr>
          <w:p>
            <w:pPr>
              <w:pStyle w:val="246"/>
              <w:rPr>
                <w:rFonts w:hint="eastAsia" w:eastAsiaTheme="minorEastAsia"/>
                <w:color w:val="auto"/>
                <w:lang w:val="en-US" w:eastAsia="zh-CN"/>
              </w:rPr>
            </w:pPr>
            <w:r>
              <w:rPr>
                <w:rFonts w:hint="eastAsia" w:eastAsiaTheme="minorEastAsia"/>
                <w:color w:val="auto"/>
                <w:lang w:val="en-US" w:eastAsia="zh-CN"/>
              </w:rPr>
              <w:t xml:space="preserve">46.0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jc w:val="center"/>
        </w:trPr>
        <w:tc>
          <w:tcPr>
            <w:tcW w:w="4297" w:type="dxa"/>
            <w:vAlign w:val="center"/>
          </w:tcPr>
          <w:p>
            <w:pPr>
              <w:pStyle w:val="246"/>
              <w:rPr>
                <w:rFonts w:eastAsiaTheme="minorEastAsia"/>
                <w:color w:val="auto"/>
              </w:rPr>
            </w:pPr>
            <w:r>
              <w:rPr>
                <w:rFonts w:hint="eastAsia" w:eastAsiaTheme="minorEastAsia"/>
                <w:color w:val="auto"/>
                <w:lang w:val="en-US" w:eastAsia="zh-CN"/>
              </w:rPr>
              <w:t>工业场地东厂界</w:t>
            </w:r>
          </w:p>
        </w:tc>
        <w:tc>
          <w:tcPr>
            <w:tcW w:w="4231" w:type="dxa"/>
            <w:vAlign w:val="center"/>
          </w:tcPr>
          <w:p>
            <w:pPr>
              <w:pStyle w:val="246"/>
              <w:rPr>
                <w:rFonts w:hint="eastAsia" w:eastAsiaTheme="minorEastAsia"/>
                <w:color w:val="auto"/>
                <w:lang w:val="en-US" w:eastAsia="zh-CN"/>
              </w:rPr>
            </w:pPr>
            <w:r>
              <w:rPr>
                <w:rFonts w:hint="eastAsia" w:eastAsiaTheme="minorEastAsia"/>
                <w:color w:val="auto"/>
                <w:lang w:val="en-US" w:eastAsia="zh-CN"/>
              </w:rPr>
              <w:t xml:space="preserve">47.1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jc w:val="center"/>
        </w:trPr>
        <w:tc>
          <w:tcPr>
            <w:tcW w:w="4297" w:type="dxa"/>
            <w:vAlign w:val="center"/>
          </w:tcPr>
          <w:p>
            <w:pPr>
              <w:pStyle w:val="246"/>
              <w:rPr>
                <w:rFonts w:eastAsiaTheme="minorEastAsia"/>
                <w:color w:val="auto"/>
              </w:rPr>
            </w:pPr>
            <w:r>
              <w:rPr>
                <w:rFonts w:hint="eastAsia" w:eastAsiaTheme="minorEastAsia"/>
                <w:color w:val="auto"/>
                <w:lang w:val="en-US" w:eastAsia="zh-CN"/>
              </w:rPr>
              <w:t>采场北厂界</w:t>
            </w:r>
          </w:p>
        </w:tc>
        <w:tc>
          <w:tcPr>
            <w:tcW w:w="4231" w:type="dxa"/>
            <w:vAlign w:val="center"/>
          </w:tcPr>
          <w:p>
            <w:pPr>
              <w:pStyle w:val="246"/>
              <w:rPr>
                <w:rFonts w:hint="eastAsia" w:eastAsiaTheme="minorEastAsia"/>
                <w:color w:val="auto"/>
                <w:lang w:val="en-US" w:eastAsia="zh-CN"/>
              </w:rPr>
            </w:pPr>
            <w:r>
              <w:rPr>
                <w:rFonts w:hint="eastAsia" w:eastAsiaTheme="minorEastAsia"/>
                <w:color w:val="auto"/>
                <w:lang w:val="en-US" w:eastAsia="zh-CN"/>
              </w:rPr>
              <w:t xml:space="preserve">56.3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jc w:val="center"/>
        </w:trPr>
        <w:tc>
          <w:tcPr>
            <w:tcW w:w="4297" w:type="dxa"/>
            <w:vAlign w:val="center"/>
          </w:tcPr>
          <w:p>
            <w:pPr>
              <w:pStyle w:val="246"/>
              <w:rPr>
                <w:rFonts w:eastAsiaTheme="minorEastAsia"/>
                <w:color w:val="auto"/>
              </w:rPr>
            </w:pPr>
            <w:r>
              <w:rPr>
                <w:rFonts w:hint="eastAsia" w:eastAsiaTheme="minorEastAsia"/>
                <w:color w:val="auto"/>
                <w:lang w:val="en-US" w:eastAsia="zh-CN"/>
              </w:rPr>
              <w:t>采场南厂界</w:t>
            </w:r>
          </w:p>
        </w:tc>
        <w:tc>
          <w:tcPr>
            <w:tcW w:w="4231" w:type="dxa"/>
            <w:vAlign w:val="center"/>
          </w:tcPr>
          <w:p>
            <w:pPr>
              <w:pStyle w:val="246"/>
              <w:rPr>
                <w:rFonts w:hint="eastAsia" w:eastAsiaTheme="minorEastAsia"/>
                <w:color w:val="auto"/>
                <w:lang w:val="en-US" w:eastAsia="zh-CN"/>
              </w:rPr>
            </w:pPr>
            <w:r>
              <w:rPr>
                <w:rFonts w:hint="eastAsia" w:eastAsiaTheme="minorEastAsia"/>
                <w:color w:val="auto"/>
                <w:lang w:val="en-US" w:eastAsia="zh-CN"/>
              </w:rPr>
              <w:t xml:space="preserve">48.0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jc w:val="center"/>
        </w:trPr>
        <w:tc>
          <w:tcPr>
            <w:tcW w:w="4297" w:type="dxa"/>
            <w:vAlign w:val="center"/>
          </w:tcPr>
          <w:p>
            <w:pPr>
              <w:pStyle w:val="246"/>
              <w:rPr>
                <w:rFonts w:eastAsiaTheme="minorEastAsia"/>
                <w:color w:val="auto"/>
              </w:rPr>
            </w:pPr>
            <w:r>
              <w:rPr>
                <w:rFonts w:hint="eastAsia" w:eastAsiaTheme="minorEastAsia"/>
                <w:color w:val="auto"/>
                <w:lang w:val="en-US" w:eastAsia="zh-CN"/>
              </w:rPr>
              <w:t>采场西厂界</w:t>
            </w:r>
          </w:p>
        </w:tc>
        <w:tc>
          <w:tcPr>
            <w:tcW w:w="4231" w:type="dxa"/>
            <w:vAlign w:val="center"/>
          </w:tcPr>
          <w:p>
            <w:pPr>
              <w:pStyle w:val="246"/>
              <w:rPr>
                <w:rFonts w:hint="eastAsia" w:eastAsiaTheme="minorEastAsia"/>
                <w:color w:val="auto"/>
                <w:lang w:val="en-US" w:eastAsia="zh-CN"/>
              </w:rPr>
            </w:pPr>
            <w:r>
              <w:rPr>
                <w:rFonts w:hint="eastAsia" w:eastAsiaTheme="minorEastAsia"/>
                <w:color w:val="auto"/>
                <w:lang w:val="en-US" w:eastAsia="zh-CN"/>
              </w:rPr>
              <w:t xml:space="preserve">54.0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jc w:val="center"/>
        </w:trPr>
        <w:tc>
          <w:tcPr>
            <w:tcW w:w="4297" w:type="dxa"/>
            <w:vAlign w:val="center"/>
          </w:tcPr>
          <w:p>
            <w:pPr>
              <w:pStyle w:val="246"/>
              <w:rPr>
                <w:rFonts w:eastAsiaTheme="minorEastAsia"/>
                <w:color w:val="auto"/>
              </w:rPr>
            </w:pPr>
            <w:r>
              <w:rPr>
                <w:rFonts w:hint="eastAsia" w:eastAsiaTheme="minorEastAsia"/>
                <w:color w:val="auto"/>
                <w:lang w:val="en-US" w:eastAsia="zh-CN"/>
              </w:rPr>
              <w:t>采场东厂界</w:t>
            </w:r>
          </w:p>
        </w:tc>
        <w:tc>
          <w:tcPr>
            <w:tcW w:w="4231" w:type="dxa"/>
            <w:vAlign w:val="center"/>
          </w:tcPr>
          <w:p>
            <w:pPr>
              <w:pStyle w:val="246"/>
              <w:rPr>
                <w:rFonts w:hint="eastAsia" w:eastAsiaTheme="minorEastAsia"/>
                <w:color w:val="auto"/>
                <w:lang w:val="en-US" w:eastAsia="zh-CN"/>
              </w:rPr>
            </w:pPr>
            <w:r>
              <w:rPr>
                <w:rFonts w:hint="eastAsia" w:eastAsiaTheme="minorEastAsia"/>
                <w:color w:val="auto"/>
                <w:lang w:val="en-US" w:eastAsia="zh-CN"/>
              </w:rPr>
              <w:t xml:space="preserve">52.3 </w:t>
            </w:r>
          </w:p>
        </w:tc>
      </w:tr>
      <w:bookmarkEnd w:id="208"/>
      <w:bookmarkEnd w:id="209"/>
      <w:bookmarkEnd w:id="210"/>
    </w:tbl>
    <w:p>
      <w:pPr>
        <w:pStyle w:val="276"/>
        <w:rPr>
          <w:rFonts w:eastAsiaTheme="minorEastAsia"/>
          <w:color w:val="auto"/>
        </w:rPr>
      </w:pPr>
      <w:r>
        <w:rPr>
          <w:rFonts w:hint="eastAsia"/>
          <w:color w:val="auto"/>
          <w:sz w:val="24"/>
          <w:szCs w:val="24"/>
          <w:lang w:eastAsia="zh-CN"/>
        </w:rPr>
        <w:t>根据预测结果，</w:t>
      </w:r>
      <w:r>
        <w:rPr>
          <w:rFonts w:eastAsiaTheme="minorEastAsia"/>
          <w:color w:val="auto"/>
        </w:rPr>
        <w:t>本项目非爆破时厂界处</w:t>
      </w:r>
      <w:r>
        <w:rPr>
          <w:rFonts w:hint="eastAsia" w:eastAsiaTheme="minorEastAsia"/>
          <w:color w:val="auto"/>
          <w:lang w:eastAsia="zh-CN"/>
        </w:rPr>
        <w:t>昼间</w:t>
      </w:r>
      <w:r>
        <w:rPr>
          <w:rFonts w:eastAsiaTheme="minorEastAsia"/>
          <w:color w:val="auto"/>
        </w:rPr>
        <w:t>噪声</w:t>
      </w:r>
      <w:r>
        <w:rPr>
          <w:rFonts w:hint="eastAsia" w:eastAsiaTheme="minorEastAsia"/>
          <w:color w:val="auto"/>
          <w:lang w:eastAsia="zh-CN"/>
        </w:rPr>
        <w:t>能够</w:t>
      </w:r>
      <w:r>
        <w:rPr>
          <w:rFonts w:eastAsiaTheme="minorEastAsia"/>
          <w:color w:val="auto"/>
        </w:rPr>
        <w:t>满足《工业企业厂界环境噪声排放标准》（GB12348-2008）2类标准。</w:t>
      </w:r>
      <w:r>
        <w:rPr>
          <w:color w:val="auto"/>
          <w:sz w:val="24"/>
          <w:szCs w:val="24"/>
        </w:rPr>
        <w:t>本项目夜间不施工，</w:t>
      </w:r>
      <w:r>
        <w:rPr>
          <w:rFonts w:hint="eastAsia"/>
          <w:color w:val="auto"/>
          <w:sz w:val="24"/>
          <w:szCs w:val="24"/>
        </w:rPr>
        <w:t>夜间</w:t>
      </w:r>
      <w:r>
        <w:rPr>
          <w:color w:val="auto"/>
          <w:sz w:val="24"/>
          <w:szCs w:val="24"/>
        </w:rPr>
        <w:t>噪声对附近村居民</w:t>
      </w:r>
      <w:r>
        <w:rPr>
          <w:rFonts w:hint="eastAsia"/>
          <w:color w:val="auto"/>
          <w:sz w:val="24"/>
          <w:szCs w:val="24"/>
        </w:rPr>
        <w:t>影响较小，因此，本项目噪声对周围环境影响可接受</w:t>
      </w:r>
      <w:r>
        <w:rPr>
          <w:color w:val="auto"/>
          <w:sz w:val="24"/>
          <w:szCs w:val="24"/>
        </w:rPr>
        <w:t>。</w:t>
      </w:r>
    </w:p>
    <w:p>
      <w:pPr>
        <w:pStyle w:val="276"/>
        <w:rPr>
          <w:rFonts w:eastAsiaTheme="minorEastAsia"/>
          <w:color w:val="auto"/>
        </w:rPr>
      </w:pPr>
      <w:r>
        <w:rPr>
          <w:rFonts w:eastAsiaTheme="minorEastAsia"/>
          <w:color w:val="auto"/>
        </w:rPr>
        <w:t>本项目爆破每工作12天进行一次，采用微差中深孔爆破方式，合理安排爆破时间，控制爆破频次，夜间禁止爆破，经调查最近敏感</w:t>
      </w:r>
      <w:r>
        <w:rPr>
          <w:rFonts w:hint="eastAsia" w:eastAsiaTheme="minorEastAsia"/>
          <w:color w:val="auto"/>
          <w:lang w:eastAsia="zh-CN"/>
        </w:rPr>
        <w:t>目标为新华村</w:t>
      </w:r>
      <w:r>
        <w:rPr>
          <w:rFonts w:eastAsiaTheme="minorEastAsia"/>
          <w:color w:val="auto"/>
        </w:rPr>
        <w:t>，爆破提前告知附近村屯，做好防护工作。</w:t>
      </w:r>
      <w:r>
        <w:rPr>
          <w:color w:val="auto"/>
          <w:sz w:val="24"/>
          <w:szCs w:val="24"/>
        </w:rPr>
        <w:t>在采取必要的治理措施后，</w:t>
      </w:r>
      <w:r>
        <w:rPr>
          <w:rFonts w:hint="eastAsia"/>
          <w:color w:val="auto"/>
          <w:sz w:val="24"/>
          <w:szCs w:val="24"/>
        </w:rPr>
        <w:t>再通过距离衰减，</w:t>
      </w:r>
      <w:r>
        <w:rPr>
          <w:color w:val="auto"/>
          <w:sz w:val="24"/>
          <w:szCs w:val="24"/>
        </w:rPr>
        <w:t>爆破噪声昼间的影响范围在</w:t>
      </w:r>
      <w:r>
        <w:rPr>
          <w:rFonts w:hint="eastAsia"/>
          <w:color w:val="auto"/>
          <w:sz w:val="24"/>
          <w:szCs w:val="24"/>
        </w:rPr>
        <w:t>60</w:t>
      </w:r>
      <w:r>
        <w:rPr>
          <w:color w:val="auto"/>
          <w:sz w:val="24"/>
          <w:szCs w:val="24"/>
        </w:rPr>
        <w:t>m范围内，根据项目所在地实际情况，项目所在地</w:t>
      </w:r>
      <w:r>
        <w:rPr>
          <w:rFonts w:hint="eastAsia"/>
          <w:color w:val="auto"/>
          <w:sz w:val="24"/>
          <w:szCs w:val="24"/>
          <w:lang w:val="en-US" w:eastAsia="zh-CN"/>
        </w:rPr>
        <w:t>450m内</w:t>
      </w:r>
      <w:r>
        <w:rPr>
          <w:color w:val="auto"/>
          <w:sz w:val="24"/>
          <w:szCs w:val="24"/>
        </w:rPr>
        <w:t>没有居民分布</w:t>
      </w:r>
      <w:r>
        <w:rPr>
          <w:rFonts w:hint="eastAsia"/>
          <w:color w:val="auto"/>
          <w:sz w:val="24"/>
          <w:szCs w:val="24"/>
        </w:rPr>
        <w:t>，</w:t>
      </w:r>
      <w:r>
        <w:rPr>
          <w:rFonts w:eastAsiaTheme="minorEastAsia"/>
          <w:color w:val="auto"/>
        </w:rPr>
        <w:t>且爆破时间选择在上午9点—10点。由于爆破噪声属于短时、定时、定点的瞬时噪声，通过矿坑陡坎的反射、树木的吸收，爆破噪声对敏感目标的影响可接受。</w:t>
      </w:r>
    </w:p>
    <w:p>
      <w:pPr>
        <w:pStyle w:val="276"/>
        <w:rPr>
          <w:rFonts w:eastAsiaTheme="minorEastAsia"/>
          <w:color w:val="auto"/>
        </w:rPr>
      </w:pPr>
      <w:r>
        <w:rPr>
          <w:rFonts w:eastAsiaTheme="minorEastAsia"/>
          <w:color w:val="auto"/>
        </w:rPr>
        <w:t>（2）运输噪声预测结果</w:t>
      </w:r>
    </w:p>
    <w:p>
      <w:pPr>
        <w:pStyle w:val="276"/>
        <w:rPr>
          <w:rFonts w:eastAsiaTheme="minorEastAsia"/>
          <w:bCs/>
          <w:color w:val="auto"/>
        </w:rPr>
      </w:pPr>
      <w:r>
        <w:rPr>
          <w:rFonts w:eastAsiaTheme="minorEastAsia"/>
          <w:bCs/>
          <w:color w:val="auto"/>
        </w:rPr>
        <w:t>本项目产品外运汽车运输路线经</w:t>
      </w:r>
      <w:r>
        <w:rPr>
          <w:rFonts w:hint="eastAsia" w:eastAsiaTheme="minorEastAsia"/>
          <w:bCs/>
          <w:color w:val="auto"/>
          <w:lang w:eastAsia="zh-CN"/>
        </w:rPr>
        <w:t>新华村、三联村、沿江村、荣耀家园等敏感点</w:t>
      </w:r>
      <w:r>
        <w:rPr>
          <w:rFonts w:eastAsiaTheme="minorEastAsia"/>
          <w:bCs/>
          <w:color w:val="auto"/>
        </w:rPr>
        <w:t>，运输车辆行驶噪声源按照已批复的《普罗旺斯薰衣草庄园-通富路道路工程》环境影响报告表，噪声源取大型车80.2 dB（A），车速按40km/h时速，道路边界线距村屯最近距离</w:t>
      </w:r>
      <w:r>
        <w:rPr>
          <w:rFonts w:hint="eastAsia" w:eastAsiaTheme="minorEastAsia"/>
          <w:bCs/>
          <w:color w:val="auto"/>
          <w:lang w:val="en-US" w:eastAsia="zh-CN"/>
        </w:rPr>
        <w:t>20</w:t>
      </w:r>
      <w:r>
        <w:rPr>
          <w:rFonts w:eastAsiaTheme="minorEastAsia"/>
          <w:bCs/>
          <w:color w:val="auto"/>
        </w:rPr>
        <w:t>m，预测昼间车辆噪声环境影响的计算结果见表5-2-11。</w:t>
      </w:r>
    </w:p>
    <w:p>
      <w:pPr>
        <w:pStyle w:val="244"/>
        <w:rPr>
          <w:rFonts w:eastAsiaTheme="minorEastAsia"/>
          <w:color w:val="auto"/>
        </w:rPr>
      </w:pPr>
      <w:r>
        <w:rPr>
          <w:rFonts w:eastAsiaTheme="minorEastAsia"/>
          <w:color w:val="auto"/>
        </w:rPr>
        <w:t>表5-2-11  噪声随距离衰减情况预测    单位：dB（A）</w:t>
      </w:r>
    </w:p>
    <w:tbl>
      <w:tblPr>
        <w:tblStyle w:val="53"/>
        <w:tblW w:w="8312" w:type="dxa"/>
        <w:jc w:val="center"/>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2358"/>
        <w:gridCol w:w="664"/>
        <w:gridCol w:w="663"/>
        <w:gridCol w:w="663"/>
        <w:gridCol w:w="663"/>
        <w:gridCol w:w="652"/>
        <w:gridCol w:w="663"/>
        <w:gridCol w:w="663"/>
        <w:gridCol w:w="663"/>
        <w:gridCol w:w="660"/>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jc w:val="center"/>
        </w:trPr>
        <w:tc>
          <w:tcPr>
            <w:tcW w:w="2358" w:type="dxa"/>
            <w:vMerge w:val="restart"/>
            <w:vAlign w:val="center"/>
          </w:tcPr>
          <w:p>
            <w:pPr>
              <w:pStyle w:val="246"/>
              <w:rPr>
                <w:rFonts w:eastAsiaTheme="minorEastAsia"/>
                <w:color w:val="auto"/>
              </w:rPr>
            </w:pPr>
            <w:r>
              <w:rPr>
                <w:rFonts w:eastAsiaTheme="minorEastAsia"/>
                <w:color w:val="auto"/>
              </w:rPr>
              <w:t>噪声源强</w:t>
            </w:r>
          </w:p>
          <w:p>
            <w:pPr>
              <w:pStyle w:val="246"/>
              <w:rPr>
                <w:rFonts w:eastAsiaTheme="minorEastAsia"/>
                <w:color w:val="auto"/>
              </w:rPr>
            </w:pPr>
            <w:r>
              <w:rPr>
                <w:rFonts w:eastAsiaTheme="minorEastAsia"/>
                <w:color w:val="auto"/>
              </w:rPr>
              <w:t>（1m处）</w:t>
            </w:r>
          </w:p>
        </w:tc>
        <w:tc>
          <w:tcPr>
            <w:tcW w:w="5954" w:type="dxa"/>
            <w:gridSpan w:val="9"/>
            <w:vAlign w:val="center"/>
          </w:tcPr>
          <w:p>
            <w:pPr>
              <w:pStyle w:val="246"/>
              <w:rPr>
                <w:rFonts w:eastAsiaTheme="minorEastAsia"/>
                <w:color w:val="auto"/>
              </w:rPr>
            </w:pPr>
            <w:r>
              <w:rPr>
                <w:rFonts w:eastAsiaTheme="minorEastAsia"/>
                <w:color w:val="auto"/>
              </w:rPr>
              <w:t>距离（m）</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jc w:val="center"/>
        </w:trPr>
        <w:tc>
          <w:tcPr>
            <w:tcW w:w="2358" w:type="dxa"/>
            <w:vMerge w:val="continue"/>
            <w:vAlign w:val="center"/>
          </w:tcPr>
          <w:p>
            <w:pPr>
              <w:pStyle w:val="246"/>
              <w:rPr>
                <w:rFonts w:eastAsiaTheme="minorEastAsia"/>
                <w:color w:val="auto"/>
              </w:rPr>
            </w:pPr>
          </w:p>
        </w:tc>
        <w:tc>
          <w:tcPr>
            <w:tcW w:w="664" w:type="dxa"/>
            <w:vAlign w:val="center"/>
          </w:tcPr>
          <w:p>
            <w:pPr>
              <w:pStyle w:val="246"/>
              <w:rPr>
                <w:rFonts w:eastAsiaTheme="minorEastAsia"/>
                <w:color w:val="auto"/>
              </w:rPr>
            </w:pPr>
            <w:r>
              <w:rPr>
                <w:rFonts w:eastAsiaTheme="minorEastAsia"/>
                <w:color w:val="auto"/>
              </w:rPr>
              <w:t>2</w:t>
            </w:r>
          </w:p>
        </w:tc>
        <w:tc>
          <w:tcPr>
            <w:tcW w:w="663" w:type="dxa"/>
            <w:vAlign w:val="center"/>
          </w:tcPr>
          <w:p>
            <w:pPr>
              <w:pStyle w:val="246"/>
              <w:rPr>
                <w:rFonts w:eastAsiaTheme="minorEastAsia"/>
                <w:color w:val="auto"/>
              </w:rPr>
            </w:pPr>
            <w:r>
              <w:rPr>
                <w:rFonts w:eastAsiaTheme="minorEastAsia"/>
                <w:color w:val="auto"/>
              </w:rPr>
              <w:t>3</w:t>
            </w:r>
          </w:p>
        </w:tc>
        <w:tc>
          <w:tcPr>
            <w:tcW w:w="663" w:type="dxa"/>
            <w:vAlign w:val="center"/>
          </w:tcPr>
          <w:p>
            <w:pPr>
              <w:pStyle w:val="246"/>
              <w:rPr>
                <w:rFonts w:eastAsiaTheme="minorEastAsia"/>
                <w:color w:val="auto"/>
              </w:rPr>
            </w:pPr>
            <w:r>
              <w:rPr>
                <w:rFonts w:eastAsiaTheme="minorEastAsia"/>
                <w:color w:val="auto"/>
              </w:rPr>
              <w:t>4</w:t>
            </w:r>
          </w:p>
        </w:tc>
        <w:tc>
          <w:tcPr>
            <w:tcW w:w="663" w:type="dxa"/>
            <w:vAlign w:val="center"/>
          </w:tcPr>
          <w:p>
            <w:pPr>
              <w:pStyle w:val="246"/>
              <w:rPr>
                <w:rFonts w:eastAsiaTheme="minorEastAsia"/>
                <w:color w:val="auto"/>
              </w:rPr>
            </w:pPr>
            <w:r>
              <w:rPr>
                <w:rFonts w:eastAsiaTheme="minorEastAsia"/>
                <w:color w:val="auto"/>
              </w:rPr>
              <w:t>5</w:t>
            </w:r>
          </w:p>
        </w:tc>
        <w:tc>
          <w:tcPr>
            <w:tcW w:w="652" w:type="dxa"/>
            <w:vAlign w:val="center"/>
          </w:tcPr>
          <w:p>
            <w:pPr>
              <w:pStyle w:val="246"/>
              <w:rPr>
                <w:rFonts w:eastAsiaTheme="minorEastAsia"/>
                <w:color w:val="auto"/>
              </w:rPr>
            </w:pPr>
            <w:r>
              <w:rPr>
                <w:rFonts w:eastAsiaTheme="minorEastAsia"/>
                <w:color w:val="auto"/>
              </w:rPr>
              <w:t>6</w:t>
            </w:r>
          </w:p>
        </w:tc>
        <w:tc>
          <w:tcPr>
            <w:tcW w:w="663" w:type="dxa"/>
            <w:vAlign w:val="center"/>
          </w:tcPr>
          <w:p>
            <w:pPr>
              <w:pStyle w:val="246"/>
              <w:rPr>
                <w:rFonts w:eastAsiaTheme="minorEastAsia"/>
                <w:color w:val="auto"/>
              </w:rPr>
            </w:pPr>
            <w:r>
              <w:rPr>
                <w:rFonts w:eastAsiaTheme="minorEastAsia"/>
                <w:color w:val="auto"/>
              </w:rPr>
              <w:t>10</w:t>
            </w:r>
          </w:p>
        </w:tc>
        <w:tc>
          <w:tcPr>
            <w:tcW w:w="663" w:type="dxa"/>
            <w:vAlign w:val="center"/>
          </w:tcPr>
          <w:p>
            <w:pPr>
              <w:pStyle w:val="246"/>
              <w:rPr>
                <w:rFonts w:eastAsiaTheme="minorEastAsia"/>
                <w:color w:val="auto"/>
              </w:rPr>
            </w:pPr>
            <w:r>
              <w:rPr>
                <w:rFonts w:eastAsiaTheme="minorEastAsia"/>
                <w:color w:val="auto"/>
              </w:rPr>
              <w:t>20</w:t>
            </w:r>
          </w:p>
        </w:tc>
        <w:tc>
          <w:tcPr>
            <w:tcW w:w="663" w:type="dxa"/>
            <w:vAlign w:val="center"/>
          </w:tcPr>
          <w:p>
            <w:pPr>
              <w:pStyle w:val="246"/>
              <w:rPr>
                <w:rFonts w:eastAsiaTheme="minorEastAsia"/>
                <w:color w:val="auto"/>
              </w:rPr>
            </w:pPr>
            <w:r>
              <w:rPr>
                <w:rFonts w:eastAsiaTheme="minorEastAsia"/>
                <w:color w:val="auto"/>
              </w:rPr>
              <w:t>40</w:t>
            </w:r>
          </w:p>
        </w:tc>
        <w:tc>
          <w:tcPr>
            <w:tcW w:w="660" w:type="dxa"/>
            <w:vAlign w:val="center"/>
          </w:tcPr>
          <w:p>
            <w:pPr>
              <w:pStyle w:val="246"/>
              <w:rPr>
                <w:rFonts w:eastAsiaTheme="minorEastAsia"/>
                <w:color w:val="auto"/>
              </w:rPr>
            </w:pPr>
            <w:r>
              <w:rPr>
                <w:rFonts w:eastAsiaTheme="minorEastAsia"/>
                <w:color w:val="auto"/>
              </w:rPr>
              <w:t>50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jc w:val="center"/>
        </w:trPr>
        <w:tc>
          <w:tcPr>
            <w:tcW w:w="2358" w:type="dxa"/>
            <w:vAlign w:val="center"/>
          </w:tcPr>
          <w:p>
            <w:pPr>
              <w:pStyle w:val="246"/>
              <w:rPr>
                <w:rFonts w:eastAsiaTheme="minorEastAsia"/>
                <w:color w:val="auto"/>
              </w:rPr>
            </w:pPr>
            <w:r>
              <w:rPr>
                <w:rFonts w:eastAsiaTheme="minorEastAsia"/>
                <w:color w:val="auto"/>
              </w:rPr>
              <w:t>80.2</w:t>
            </w:r>
          </w:p>
        </w:tc>
        <w:tc>
          <w:tcPr>
            <w:tcW w:w="664" w:type="dxa"/>
            <w:vAlign w:val="center"/>
          </w:tcPr>
          <w:p>
            <w:pPr>
              <w:pStyle w:val="246"/>
              <w:rPr>
                <w:rFonts w:eastAsiaTheme="minorEastAsia"/>
                <w:color w:val="auto"/>
              </w:rPr>
            </w:pPr>
            <w:r>
              <w:rPr>
                <w:rFonts w:eastAsiaTheme="minorEastAsia"/>
                <w:color w:val="auto"/>
              </w:rPr>
              <w:t>72.8</w:t>
            </w:r>
          </w:p>
        </w:tc>
        <w:tc>
          <w:tcPr>
            <w:tcW w:w="663" w:type="dxa"/>
            <w:vAlign w:val="center"/>
          </w:tcPr>
          <w:p>
            <w:pPr>
              <w:pStyle w:val="246"/>
              <w:rPr>
                <w:rFonts w:eastAsiaTheme="minorEastAsia"/>
                <w:color w:val="auto"/>
              </w:rPr>
            </w:pPr>
            <w:r>
              <w:rPr>
                <w:rFonts w:eastAsiaTheme="minorEastAsia"/>
                <w:color w:val="auto"/>
              </w:rPr>
              <w:t>69.8</w:t>
            </w:r>
          </w:p>
        </w:tc>
        <w:tc>
          <w:tcPr>
            <w:tcW w:w="663" w:type="dxa"/>
            <w:vAlign w:val="center"/>
          </w:tcPr>
          <w:p>
            <w:pPr>
              <w:pStyle w:val="246"/>
              <w:rPr>
                <w:rFonts w:eastAsiaTheme="minorEastAsia"/>
                <w:color w:val="auto"/>
              </w:rPr>
            </w:pPr>
            <w:r>
              <w:rPr>
                <w:rFonts w:eastAsiaTheme="minorEastAsia"/>
                <w:color w:val="auto"/>
              </w:rPr>
              <w:t>67.6</w:t>
            </w:r>
          </w:p>
        </w:tc>
        <w:tc>
          <w:tcPr>
            <w:tcW w:w="663" w:type="dxa"/>
            <w:vAlign w:val="center"/>
          </w:tcPr>
          <w:p>
            <w:pPr>
              <w:pStyle w:val="246"/>
              <w:rPr>
                <w:rFonts w:eastAsiaTheme="minorEastAsia"/>
                <w:color w:val="auto"/>
              </w:rPr>
            </w:pPr>
            <w:r>
              <w:rPr>
                <w:rFonts w:eastAsiaTheme="minorEastAsia"/>
                <w:color w:val="auto"/>
              </w:rPr>
              <w:t>65.9</w:t>
            </w:r>
          </w:p>
        </w:tc>
        <w:tc>
          <w:tcPr>
            <w:tcW w:w="652" w:type="dxa"/>
            <w:vAlign w:val="center"/>
          </w:tcPr>
          <w:p>
            <w:pPr>
              <w:pStyle w:val="246"/>
              <w:rPr>
                <w:rFonts w:eastAsiaTheme="minorEastAsia"/>
                <w:color w:val="auto"/>
              </w:rPr>
            </w:pPr>
            <w:r>
              <w:rPr>
                <w:rFonts w:eastAsiaTheme="minorEastAsia"/>
                <w:color w:val="auto"/>
              </w:rPr>
              <w:t>64.4</w:t>
            </w:r>
          </w:p>
        </w:tc>
        <w:tc>
          <w:tcPr>
            <w:tcW w:w="663" w:type="dxa"/>
            <w:vAlign w:val="center"/>
          </w:tcPr>
          <w:p>
            <w:pPr>
              <w:pStyle w:val="246"/>
              <w:rPr>
                <w:rFonts w:eastAsiaTheme="minorEastAsia"/>
                <w:color w:val="auto"/>
              </w:rPr>
            </w:pPr>
            <w:r>
              <w:rPr>
                <w:rFonts w:eastAsiaTheme="minorEastAsia"/>
                <w:color w:val="auto"/>
              </w:rPr>
              <w:t>60.1</w:t>
            </w:r>
          </w:p>
        </w:tc>
        <w:tc>
          <w:tcPr>
            <w:tcW w:w="663" w:type="dxa"/>
            <w:vAlign w:val="center"/>
          </w:tcPr>
          <w:p>
            <w:pPr>
              <w:pStyle w:val="246"/>
              <w:rPr>
                <w:rFonts w:eastAsiaTheme="minorEastAsia"/>
                <w:color w:val="auto"/>
              </w:rPr>
            </w:pPr>
            <w:r>
              <w:rPr>
                <w:rFonts w:eastAsiaTheme="minorEastAsia"/>
                <w:color w:val="auto"/>
              </w:rPr>
              <w:t>52.8</w:t>
            </w:r>
          </w:p>
        </w:tc>
        <w:tc>
          <w:tcPr>
            <w:tcW w:w="663" w:type="dxa"/>
            <w:vAlign w:val="center"/>
          </w:tcPr>
          <w:p>
            <w:pPr>
              <w:pStyle w:val="246"/>
              <w:rPr>
                <w:rFonts w:eastAsiaTheme="minorEastAsia"/>
                <w:color w:val="auto"/>
              </w:rPr>
            </w:pPr>
            <w:r>
              <w:rPr>
                <w:rFonts w:eastAsiaTheme="minorEastAsia"/>
                <w:color w:val="auto"/>
              </w:rPr>
              <w:t>44.6</w:t>
            </w:r>
          </w:p>
        </w:tc>
        <w:tc>
          <w:tcPr>
            <w:tcW w:w="660" w:type="dxa"/>
            <w:vAlign w:val="center"/>
          </w:tcPr>
          <w:p>
            <w:pPr>
              <w:pStyle w:val="246"/>
              <w:rPr>
                <w:rFonts w:eastAsiaTheme="minorEastAsia"/>
                <w:color w:val="auto"/>
              </w:rPr>
            </w:pPr>
            <w:r>
              <w:rPr>
                <w:rFonts w:eastAsiaTheme="minorEastAsia"/>
                <w:color w:val="auto"/>
              </w:rPr>
              <w:t>42.3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jc w:val="center"/>
        </w:trPr>
        <w:tc>
          <w:tcPr>
            <w:tcW w:w="2358" w:type="dxa"/>
            <w:vAlign w:val="center"/>
          </w:tcPr>
          <w:p>
            <w:pPr>
              <w:pStyle w:val="246"/>
              <w:rPr>
                <w:rFonts w:eastAsiaTheme="minorEastAsia"/>
                <w:color w:val="auto"/>
              </w:rPr>
            </w:pPr>
            <w:r>
              <w:rPr>
                <w:rFonts w:eastAsiaTheme="minorEastAsia"/>
                <w:color w:val="auto"/>
              </w:rPr>
              <w:t>标准</w:t>
            </w:r>
          </w:p>
        </w:tc>
        <w:tc>
          <w:tcPr>
            <w:tcW w:w="5954" w:type="dxa"/>
            <w:gridSpan w:val="9"/>
            <w:vAlign w:val="center"/>
          </w:tcPr>
          <w:p>
            <w:pPr>
              <w:pStyle w:val="246"/>
              <w:rPr>
                <w:rFonts w:hint="eastAsia" w:eastAsiaTheme="minorEastAsia"/>
                <w:color w:val="auto"/>
                <w:lang w:val="en-US" w:eastAsia="zh-CN"/>
              </w:rPr>
            </w:pPr>
            <w:r>
              <w:rPr>
                <w:rFonts w:hint="eastAsia" w:eastAsiaTheme="minorEastAsia"/>
                <w:color w:val="auto"/>
                <w:lang w:val="en-US" w:eastAsia="zh-CN"/>
              </w:rPr>
              <w:t>2</w:t>
            </w:r>
            <w:r>
              <w:rPr>
                <w:rFonts w:eastAsiaTheme="minorEastAsia"/>
                <w:color w:val="auto"/>
              </w:rPr>
              <w:t>类昼间：</w:t>
            </w:r>
            <w:r>
              <w:rPr>
                <w:rFonts w:hint="eastAsia" w:eastAsiaTheme="minorEastAsia"/>
                <w:color w:val="auto"/>
                <w:lang w:val="en-US" w:eastAsia="zh-CN"/>
              </w:rPr>
              <w:t>60</w:t>
            </w:r>
          </w:p>
        </w:tc>
      </w:tr>
    </w:tbl>
    <w:p>
      <w:pPr>
        <w:ind w:firstLine="480" w:firstLineChars="200"/>
        <w:rPr>
          <w:rFonts w:eastAsiaTheme="minorEastAsia"/>
          <w:color w:val="auto"/>
        </w:rPr>
      </w:pPr>
      <w:r>
        <w:rPr>
          <w:rFonts w:eastAsiaTheme="minorEastAsia"/>
          <w:color w:val="auto"/>
        </w:rPr>
        <w:t>根据预测结果，沿线村屯声环境</w:t>
      </w:r>
      <w:r>
        <w:rPr>
          <w:rFonts w:hint="eastAsia" w:eastAsiaTheme="minorEastAsia"/>
          <w:color w:val="auto"/>
          <w:lang w:eastAsia="zh-CN"/>
        </w:rPr>
        <w:t>昼间能够</w:t>
      </w:r>
      <w:r>
        <w:rPr>
          <w:rFonts w:eastAsiaTheme="minorEastAsia"/>
          <w:color w:val="auto"/>
        </w:rPr>
        <w:t>满足《声环境质量标准》（GB3096-2008）</w:t>
      </w:r>
      <w:r>
        <w:rPr>
          <w:rFonts w:hint="eastAsia" w:eastAsiaTheme="minorEastAsia"/>
          <w:color w:val="auto"/>
          <w:lang w:val="en-US" w:eastAsia="zh-CN"/>
        </w:rPr>
        <w:t>2</w:t>
      </w:r>
      <w:r>
        <w:rPr>
          <w:rFonts w:eastAsiaTheme="minorEastAsia"/>
          <w:color w:val="auto"/>
        </w:rPr>
        <w:t>类声环境功能区要求。</w:t>
      </w:r>
      <w:r>
        <w:rPr>
          <w:rFonts w:hint="eastAsia" w:eastAsiaTheme="minorEastAsia"/>
          <w:color w:val="auto"/>
          <w:lang w:eastAsia="zh-CN"/>
        </w:rPr>
        <w:t>企业夜间不生产、不运输，对周围声环境敏感目标不造成影响。为了进一步降低本项目对周围环境的影响，应采取以下措施：</w:t>
      </w:r>
      <w:r>
        <w:rPr>
          <w:rFonts w:eastAsiaTheme="minorEastAsia"/>
          <w:color w:val="auto"/>
        </w:rPr>
        <w:t>禁止使用超过噪声限值的运输车辆，汽车运输机械设备应安装消声器和禁用高音喇叭，</w:t>
      </w:r>
      <w:r>
        <w:rPr>
          <w:rFonts w:eastAsiaTheme="minorEastAsia"/>
          <w:color w:val="auto"/>
          <w:lang w:val="zh-CN"/>
        </w:rPr>
        <w:t>低速行驶</w:t>
      </w:r>
      <w:r>
        <w:rPr>
          <w:rFonts w:hint="eastAsia" w:eastAsiaTheme="minorEastAsia"/>
          <w:color w:val="auto"/>
          <w:lang w:val="zh-CN"/>
        </w:rPr>
        <w:t>，</w:t>
      </w:r>
      <w:r>
        <w:rPr>
          <w:rFonts w:eastAsiaTheme="minorEastAsia"/>
          <w:color w:val="auto"/>
        </w:rPr>
        <w:t>机动车辆必须加强维修和保养，保持技术性能良好，在经过运输道路沿途</w:t>
      </w:r>
      <w:r>
        <w:rPr>
          <w:rFonts w:hint="eastAsia" w:eastAsiaTheme="minorEastAsia"/>
          <w:color w:val="auto"/>
          <w:lang w:eastAsia="zh-CN"/>
        </w:rPr>
        <w:t>居民区</w:t>
      </w:r>
      <w:r>
        <w:rPr>
          <w:rFonts w:eastAsiaTheme="minorEastAsia"/>
          <w:color w:val="auto"/>
        </w:rPr>
        <w:t>时，应限制鸣笛，合理安排运输车辆工作时间，22：00—次日6:00禁止运输工作，避免交通噪声对沿途</w:t>
      </w:r>
      <w:r>
        <w:rPr>
          <w:rFonts w:hint="eastAsia" w:eastAsiaTheme="minorEastAsia"/>
          <w:color w:val="auto"/>
          <w:lang w:eastAsia="zh-CN"/>
        </w:rPr>
        <w:t>居民区</w:t>
      </w:r>
      <w:r>
        <w:rPr>
          <w:rFonts w:eastAsiaTheme="minorEastAsia"/>
          <w:color w:val="auto"/>
        </w:rPr>
        <w:t>产生影响，降低运输噪声对沿线居民的影响。根据《民用建筑隔声设计规范》（GB50118-2010），经门窗、墙体隔声后，隔声量按25dB计，距离道路最近</w:t>
      </w:r>
      <w:r>
        <w:rPr>
          <w:rFonts w:hint="eastAsia" w:eastAsiaTheme="minorEastAsia"/>
          <w:color w:val="auto"/>
          <w:lang w:val="en-US" w:eastAsia="zh-CN"/>
        </w:rPr>
        <w:t>20</w:t>
      </w:r>
      <w:r>
        <w:rPr>
          <w:rFonts w:eastAsiaTheme="minorEastAsia"/>
          <w:color w:val="auto"/>
        </w:rPr>
        <w:t>m村民室内声级为</w:t>
      </w:r>
      <w:r>
        <w:rPr>
          <w:rFonts w:hint="eastAsia" w:eastAsiaTheme="minorEastAsia"/>
          <w:color w:val="auto"/>
          <w:lang w:val="en-US" w:eastAsia="zh-CN"/>
        </w:rPr>
        <w:t>27.8</w:t>
      </w:r>
      <w:r>
        <w:rPr>
          <w:rFonts w:eastAsiaTheme="minorEastAsia"/>
          <w:color w:val="auto"/>
        </w:rPr>
        <w:t>dB</w:t>
      </w:r>
      <w:r>
        <w:rPr>
          <w:rFonts w:eastAsiaTheme="minorEastAsia"/>
          <w:color w:val="auto"/>
        </w:rPr>
        <w:t>，能够满足《民用建筑隔声设计规范》（GB50118-2010）中规定的住宅的卧室、起居室（厅）内允许噪声级（A声级）昼间≤45dB。因此，运输路线敏感目标经门窗、墙体隔声作用，室内噪声符合《民用建筑隔声设计规范》（GB50118-2010）标准昼间限值要求。</w:t>
      </w:r>
    </w:p>
    <w:p>
      <w:pPr>
        <w:pStyle w:val="242"/>
        <w:rPr>
          <w:rFonts w:ascii="Times New Roman" w:hAnsi="Times New Roman" w:cs="Times New Roman" w:eastAsiaTheme="minorEastAsia"/>
          <w:color w:val="auto"/>
        </w:rPr>
      </w:pPr>
      <w:r>
        <w:rPr>
          <w:rFonts w:ascii="Times New Roman" w:hAnsi="Times New Roman" w:cs="Times New Roman" w:eastAsiaTheme="minorEastAsia"/>
          <w:color w:val="auto"/>
        </w:rPr>
        <w:t>5.2.4.6评价结论</w:t>
      </w:r>
    </w:p>
    <w:p>
      <w:pPr>
        <w:pStyle w:val="276"/>
        <w:jc w:val="both"/>
        <w:rPr>
          <w:rFonts w:eastAsiaTheme="minorEastAsia"/>
          <w:color w:val="auto"/>
          <w:lang w:val="zh-CN"/>
        </w:rPr>
      </w:pPr>
      <w:r>
        <w:rPr>
          <w:rFonts w:eastAsiaTheme="minorEastAsia"/>
          <w:color w:val="auto"/>
          <w:lang w:val="zh-CN"/>
        </w:rPr>
        <w:t>本项目非爆破时厂界处噪声满足《工业企业厂界环境噪声排放标准》（GB12348-2008）2类标准；爆破每12天进行一次，爆破时间选择在上午9点—10点。运营期采用微差中深孔爆破方式，合理安排爆破时间，控制爆破频次，夜间禁止爆破，最近敏感</w:t>
      </w:r>
      <w:r>
        <w:rPr>
          <w:rFonts w:hint="eastAsia" w:eastAsiaTheme="minorEastAsia"/>
          <w:color w:val="auto"/>
          <w:lang w:val="zh-CN"/>
        </w:rPr>
        <w:t>目标</w:t>
      </w:r>
      <w:r>
        <w:rPr>
          <w:rFonts w:hint="eastAsia" w:eastAsiaTheme="minorEastAsia"/>
          <w:color w:val="auto"/>
          <w:lang w:eastAsia="zh-CN"/>
        </w:rPr>
        <w:t>为新华村</w:t>
      </w:r>
      <w:r>
        <w:rPr>
          <w:rFonts w:eastAsiaTheme="minorEastAsia"/>
          <w:color w:val="auto"/>
          <w:lang w:val="zh-CN"/>
        </w:rPr>
        <w:t>，爆破提前告知附近村屯，做好防护工作，由于爆破噪声属于短时、定时、定点的瞬时噪声，通过矿坑陡坎的反射、树木的吸收，爆破噪声，对敏感目标的影响可以接受。针对运输噪声通过低速行驶，合理安排运输时间、限制鸣笛等措施，可将对运输路线沿途居民的影响降至最低，因此，本项目建设对区域声环境的影响可以被环境所接受。</w:t>
      </w:r>
    </w:p>
    <w:p>
      <w:pPr>
        <w:pStyle w:val="276"/>
        <w:rPr>
          <w:rFonts w:eastAsiaTheme="minorEastAsia"/>
          <w:color w:val="auto"/>
        </w:rPr>
      </w:pPr>
      <w:r>
        <w:rPr>
          <w:rFonts w:eastAsiaTheme="minorEastAsia"/>
          <w:color w:val="auto"/>
          <w:lang w:val="zh-CN"/>
        </w:rPr>
        <w:t>综上所述，本项目在采取本报告所提出的各项噪声治理措施前提下，从声环境角度分析，本项目建设是可行的。</w:t>
      </w:r>
    </w:p>
    <w:p>
      <w:pPr>
        <w:pStyle w:val="240"/>
        <w:rPr>
          <w:rFonts w:ascii="Times New Roman" w:hAnsi="Times New Roman" w:cs="Times New Roman" w:eastAsiaTheme="minorEastAsia"/>
          <w:color w:val="auto"/>
        </w:rPr>
      </w:pPr>
      <w:bookmarkStart w:id="212" w:name="_Toc438124543"/>
      <w:bookmarkStart w:id="213" w:name="_Toc440973506"/>
      <w:bookmarkStart w:id="214" w:name="_Toc440973772"/>
      <w:r>
        <w:rPr>
          <w:rFonts w:ascii="Times New Roman" w:hAnsi="Times New Roman" w:cs="Times New Roman" w:eastAsiaTheme="minorEastAsia"/>
          <w:color w:val="auto"/>
        </w:rPr>
        <w:t>5.2.5振动环境影响分析</w:t>
      </w:r>
    </w:p>
    <w:bookmarkEnd w:id="212"/>
    <w:bookmarkEnd w:id="213"/>
    <w:bookmarkEnd w:id="214"/>
    <w:p>
      <w:pPr>
        <w:pStyle w:val="242"/>
        <w:rPr>
          <w:rFonts w:ascii="Times New Roman" w:hAnsi="Times New Roman" w:cs="Times New Roman" w:eastAsiaTheme="minorEastAsia"/>
          <w:color w:val="auto"/>
        </w:rPr>
      </w:pPr>
      <w:bookmarkStart w:id="215" w:name="_Toc440973507"/>
      <w:bookmarkStart w:id="216" w:name="_Toc440973137"/>
      <w:bookmarkStart w:id="217" w:name="_Toc440973773"/>
      <w:r>
        <w:rPr>
          <w:rFonts w:ascii="Times New Roman" w:hAnsi="Times New Roman" w:cs="Times New Roman" w:eastAsiaTheme="minorEastAsia"/>
          <w:color w:val="auto"/>
        </w:rPr>
        <w:t>5.2.5.1评价方法</w:t>
      </w:r>
    </w:p>
    <w:bookmarkEnd w:id="215"/>
    <w:bookmarkEnd w:id="216"/>
    <w:bookmarkEnd w:id="217"/>
    <w:p>
      <w:pPr>
        <w:pStyle w:val="276"/>
        <w:rPr>
          <w:rFonts w:eastAsiaTheme="minorEastAsia"/>
          <w:color w:val="auto"/>
        </w:rPr>
      </w:pPr>
      <w:r>
        <w:rPr>
          <w:rFonts w:eastAsiaTheme="minorEastAsia"/>
          <w:color w:val="auto"/>
        </w:rPr>
        <w:t>在研究我国露天煤矿爆破振动观测成果的基础上，参考国内外有关资料，按照爆破安全规程确定的原则，提出如下评价方法。</w:t>
      </w:r>
    </w:p>
    <w:p>
      <w:pPr>
        <w:pStyle w:val="276"/>
        <w:rPr>
          <w:rFonts w:eastAsiaTheme="minorEastAsia"/>
          <w:color w:val="auto"/>
        </w:rPr>
      </w:pPr>
      <w:r>
        <w:rPr>
          <w:rFonts w:eastAsiaTheme="minorEastAsia"/>
          <w:color w:val="auto"/>
        </w:rPr>
        <w:t>（1）振动强度计算模式</w:t>
      </w:r>
    </w:p>
    <w:p>
      <w:pPr>
        <w:pStyle w:val="276"/>
        <w:rPr>
          <w:rFonts w:eastAsiaTheme="minorEastAsia"/>
          <w:color w:val="auto"/>
        </w:rPr>
      </w:pPr>
      <w:r>
        <w:rPr>
          <w:rFonts w:eastAsiaTheme="minorEastAsia"/>
          <w:color w:val="auto"/>
        </w:rPr>
        <w:t>根据《爆破安全规程》(GB6722-2014)爆破振动强度衰减规律应由下式确定：</w:t>
      </w:r>
    </w:p>
    <w:p>
      <w:pPr>
        <w:pStyle w:val="276"/>
        <w:spacing w:line="360" w:lineRule="auto"/>
        <w:rPr>
          <w:rFonts w:eastAsiaTheme="minorEastAsia"/>
          <w:color w:val="auto"/>
        </w:rPr>
      </w:pPr>
      <w:r>
        <w:rPr>
          <w:rFonts w:eastAsiaTheme="minorEastAsia"/>
          <w:color w:val="auto"/>
        </w:rPr>
        <w:t xml:space="preserve">      </w:t>
      </w:r>
      <w:r>
        <w:rPr>
          <w:rFonts w:eastAsiaTheme="minorEastAsia"/>
          <w:color w:val="auto"/>
        </w:rPr>
        <w:drawing>
          <wp:inline distT="0" distB="0" distL="0" distR="0">
            <wp:extent cx="1649095" cy="654685"/>
            <wp:effectExtent l="0" t="0" r="8255"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44"/>
                    <a:stretch>
                      <a:fillRect/>
                    </a:stretch>
                  </pic:blipFill>
                  <pic:spPr>
                    <a:xfrm>
                      <a:off x="0" y="0"/>
                      <a:ext cx="1656326" cy="657659"/>
                    </a:xfrm>
                    <a:prstGeom prst="rect">
                      <a:avLst/>
                    </a:prstGeom>
                  </pic:spPr>
                </pic:pic>
              </a:graphicData>
            </a:graphic>
          </wp:inline>
        </w:drawing>
      </w:r>
    </w:p>
    <w:p>
      <w:pPr>
        <w:pStyle w:val="276"/>
        <w:rPr>
          <w:rFonts w:eastAsiaTheme="minorEastAsia"/>
          <w:color w:val="auto"/>
        </w:rPr>
      </w:pPr>
      <w:r>
        <w:rPr>
          <w:rFonts w:eastAsiaTheme="minorEastAsia"/>
          <w:color w:val="auto"/>
        </w:rPr>
        <w:t>式中：V——地面质点振动速度，是振动强度参数，cm/s；</w:t>
      </w:r>
    </w:p>
    <w:p>
      <w:pPr>
        <w:pStyle w:val="276"/>
        <w:rPr>
          <w:rFonts w:eastAsiaTheme="minorEastAsia"/>
          <w:color w:val="auto"/>
        </w:rPr>
      </w:pPr>
      <w:r>
        <w:rPr>
          <w:rFonts w:eastAsiaTheme="minorEastAsia"/>
          <w:color w:val="auto"/>
        </w:rPr>
        <w:t xml:space="preserve">      Q——炸药量，kg；齐发爆破取总炸药量，延期爆破取最大一段药量；</w:t>
      </w:r>
    </w:p>
    <w:p>
      <w:pPr>
        <w:pStyle w:val="276"/>
        <w:rPr>
          <w:rFonts w:eastAsiaTheme="minorEastAsia"/>
          <w:color w:val="auto"/>
        </w:rPr>
      </w:pPr>
      <w:r>
        <w:rPr>
          <w:rFonts w:eastAsiaTheme="minorEastAsia"/>
          <w:color w:val="auto"/>
        </w:rPr>
        <w:t xml:space="preserve">      R——测震点至爆源中心水平距离(以下简称爆源距)，m；</w:t>
      </w:r>
    </w:p>
    <w:p>
      <w:pPr>
        <w:pStyle w:val="276"/>
        <w:rPr>
          <w:rFonts w:eastAsiaTheme="minorEastAsia"/>
          <w:color w:val="auto"/>
        </w:rPr>
      </w:pPr>
      <w:r>
        <w:rPr>
          <w:rFonts w:eastAsiaTheme="minorEastAsia"/>
          <w:color w:val="auto"/>
        </w:rPr>
        <w:t xml:space="preserve">      K，α——与爆破技术条件、传播途径的地质、地形等条件有关的系数和衰简指数。</w:t>
      </w:r>
    </w:p>
    <w:p>
      <w:pPr>
        <w:pStyle w:val="276"/>
        <w:rPr>
          <w:rFonts w:eastAsiaTheme="minorEastAsia"/>
          <w:color w:val="auto"/>
        </w:rPr>
      </w:pPr>
      <w:r>
        <w:rPr>
          <w:rFonts w:eastAsiaTheme="minorEastAsia"/>
          <w:color w:val="auto"/>
        </w:rPr>
        <w:t>（2）振动强度测算</w:t>
      </w:r>
    </w:p>
    <w:p>
      <w:pPr>
        <w:pStyle w:val="276"/>
        <w:rPr>
          <w:rFonts w:eastAsiaTheme="minorEastAsia"/>
          <w:color w:val="auto"/>
        </w:rPr>
      </w:pPr>
      <w:r>
        <w:rPr>
          <w:rFonts w:eastAsiaTheme="minorEastAsia"/>
          <w:color w:val="auto"/>
        </w:rPr>
        <w:t>测算给定点或范围的地震强度，按测算目标点或范围在爆破台阶的背后、两侧、前方，选取不同的K、α值，见表5-2-6。进而选择对应的计算公式进行测算。分别用水平、垂直振动衰减公式计算，取其较大者。计算前还需确定炸药量(Q)和爆源距(R)。</w:t>
      </w:r>
    </w:p>
    <w:p>
      <w:pPr>
        <w:pStyle w:val="244"/>
        <w:rPr>
          <w:rFonts w:eastAsiaTheme="minorEastAsia"/>
          <w:color w:val="auto"/>
        </w:rPr>
      </w:pPr>
      <w:r>
        <w:rPr>
          <w:rFonts w:eastAsiaTheme="minorEastAsia"/>
          <w:color w:val="auto"/>
        </w:rPr>
        <w:t>表5-2-12  爆区不同岩性的K、α值</w:t>
      </w:r>
    </w:p>
    <w:tbl>
      <w:tblPr>
        <w:tblStyle w:val="53"/>
        <w:tblW w:w="8522" w:type="dxa"/>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2840"/>
        <w:gridCol w:w="2841"/>
        <w:gridCol w:w="2841"/>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2840" w:type="dxa"/>
            <w:vAlign w:val="center"/>
          </w:tcPr>
          <w:p>
            <w:pPr>
              <w:pStyle w:val="246"/>
              <w:rPr>
                <w:rFonts w:eastAsiaTheme="minorEastAsia"/>
                <w:color w:val="auto"/>
              </w:rPr>
            </w:pPr>
            <w:r>
              <w:rPr>
                <w:rFonts w:eastAsiaTheme="minorEastAsia"/>
                <w:color w:val="auto"/>
              </w:rPr>
              <w:t>岩性</w:t>
            </w:r>
          </w:p>
        </w:tc>
        <w:tc>
          <w:tcPr>
            <w:tcW w:w="2841" w:type="dxa"/>
            <w:vAlign w:val="center"/>
          </w:tcPr>
          <w:p>
            <w:pPr>
              <w:pStyle w:val="246"/>
              <w:rPr>
                <w:rFonts w:eastAsiaTheme="minorEastAsia"/>
                <w:color w:val="auto"/>
              </w:rPr>
            </w:pPr>
            <w:r>
              <w:rPr>
                <w:rFonts w:eastAsiaTheme="minorEastAsia"/>
                <w:color w:val="auto"/>
              </w:rPr>
              <w:t>K</w:t>
            </w:r>
          </w:p>
        </w:tc>
        <w:tc>
          <w:tcPr>
            <w:tcW w:w="2841" w:type="dxa"/>
            <w:vAlign w:val="center"/>
          </w:tcPr>
          <w:p>
            <w:pPr>
              <w:pStyle w:val="246"/>
              <w:rPr>
                <w:rFonts w:eastAsiaTheme="minorEastAsia"/>
                <w:color w:val="auto"/>
              </w:rPr>
            </w:pPr>
            <w:r>
              <w:rPr>
                <w:rFonts w:eastAsiaTheme="minorEastAsia"/>
                <w:color w:val="auto"/>
              </w:rPr>
              <w:t>α</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2840" w:type="dxa"/>
            <w:vAlign w:val="center"/>
          </w:tcPr>
          <w:p>
            <w:pPr>
              <w:pStyle w:val="246"/>
              <w:rPr>
                <w:rFonts w:eastAsiaTheme="minorEastAsia"/>
                <w:color w:val="auto"/>
              </w:rPr>
            </w:pPr>
            <w:r>
              <w:rPr>
                <w:rFonts w:eastAsiaTheme="minorEastAsia"/>
                <w:color w:val="auto"/>
              </w:rPr>
              <w:t>坚硬岩石</w:t>
            </w:r>
          </w:p>
        </w:tc>
        <w:tc>
          <w:tcPr>
            <w:tcW w:w="2841" w:type="dxa"/>
            <w:vAlign w:val="center"/>
          </w:tcPr>
          <w:p>
            <w:pPr>
              <w:pStyle w:val="246"/>
              <w:rPr>
                <w:rFonts w:eastAsiaTheme="minorEastAsia"/>
                <w:color w:val="auto"/>
              </w:rPr>
            </w:pPr>
            <w:r>
              <w:rPr>
                <w:rFonts w:eastAsiaTheme="minorEastAsia"/>
                <w:color w:val="auto"/>
              </w:rPr>
              <w:t>50-150</w:t>
            </w:r>
          </w:p>
        </w:tc>
        <w:tc>
          <w:tcPr>
            <w:tcW w:w="2841" w:type="dxa"/>
            <w:vAlign w:val="center"/>
          </w:tcPr>
          <w:p>
            <w:pPr>
              <w:pStyle w:val="246"/>
              <w:rPr>
                <w:rFonts w:eastAsiaTheme="minorEastAsia"/>
                <w:color w:val="auto"/>
              </w:rPr>
            </w:pPr>
            <w:r>
              <w:rPr>
                <w:rFonts w:eastAsiaTheme="minorEastAsia"/>
                <w:color w:val="auto"/>
              </w:rPr>
              <w:t>1.3-1.5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2840" w:type="dxa"/>
            <w:vAlign w:val="center"/>
          </w:tcPr>
          <w:p>
            <w:pPr>
              <w:pStyle w:val="246"/>
              <w:rPr>
                <w:rFonts w:eastAsiaTheme="minorEastAsia"/>
                <w:color w:val="auto"/>
              </w:rPr>
            </w:pPr>
            <w:r>
              <w:rPr>
                <w:rFonts w:eastAsiaTheme="minorEastAsia"/>
                <w:color w:val="auto"/>
              </w:rPr>
              <w:t>中硬岩石</w:t>
            </w:r>
          </w:p>
        </w:tc>
        <w:tc>
          <w:tcPr>
            <w:tcW w:w="2841" w:type="dxa"/>
            <w:vAlign w:val="center"/>
          </w:tcPr>
          <w:p>
            <w:pPr>
              <w:pStyle w:val="246"/>
              <w:rPr>
                <w:rFonts w:eastAsiaTheme="minorEastAsia"/>
                <w:color w:val="auto"/>
              </w:rPr>
            </w:pPr>
            <w:r>
              <w:rPr>
                <w:rFonts w:eastAsiaTheme="minorEastAsia"/>
                <w:color w:val="auto"/>
              </w:rPr>
              <w:t>150-250</w:t>
            </w:r>
          </w:p>
        </w:tc>
        <w:tc>
          <w:tcPr>
            <w:tcW w:w="2841" w:type="dxa"/>
            <w:vAlign w:val="center"/>
          </w:tcPr>
          <w:p>
            <w:pPr>
              <w:pStyle w:val="246"/>
              <w:rPr>
                <w:rFonts w:eastAsiaTheme="minorEastAsia"/>
                <w:color w:val="auto"/>
              </w:rPr>
            </w:pPr>
            <w:r>
              <w:rPr>
                <w:rFonts w:eastAsiaTheme="minorEastAsia"/>
                <w:color w:val="auto"/>
              </w:rPr>
              <w:t>1.5-1.8</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2840" w:type="dxa"/>
            <w:vAlign w:val="center"/>
          </w:tcPr>
          <w:p>
            <w:pPr>
              <w:pStyle w:val="246"/>
              <w:rPr>
                <w:rFonts w:eastAsiaTheme="minorEastAsia"/>
                <w:color w:val="auto"/>
              </w:rPr>
            </w:pPr>
            <w:r>
              <w:rPr>
                <w:rFonts w:eastAsiaTheme="minorEastAsia"/>
                <w:color w:val="auto"/>
              </w:rPr>
              <w:t>软岩石</w:t>
            </w:r>
          </w:p>
        </w:tc>
        <w:tc>
          <w:tcPr>
            <w:tcW w:w="2841" w:type="dxa"/>
            <w:vAlign w:val="center"/>
          </w:tcPr>
          <w:p>
            <w:pPr>
              <w:pStyle w:val="246"/>
              <w:rPr>
                <w:rFonts w:eastAsiaTheme="minorEastAsia"/>
                <w:color w:val="auto"/>
              </w:rPr>
            </w:pPr>
            <w:r>
              <w:rPr>
                <w:rFonts w:eastAsiaTheme="minorEastAsia"/>
                <w:color w:val="auto"/>
              </w:rPr>
              <w:t>250-350</w:t>
            </w:r>
          </w:p>
        </w:tc>
        <w:tc>
          <w:tcPr>
            <w:tcW w:w="2841" w:type="dxa"/>
            <w:vAlign w:val="center"/>
          </w:tcPr>
          <w:p>
            <w:pPr>
              <w:pStyle w:val="246"/>
              <w:rPr>
                <w:rFonts w:eastAsiaTheme="minorEastAsia"/>
                <w:color w:val="auto"/>
              </w:rPr>
            </w:pPr>
            <w:r>
              <w:rPr>
                <w:rFonts w:eastAsiaTheme="minorEastAsia"/>
                <w:color w:val="auto"/>
              </w:rPr>
              <w:t>1.8-2.0</w:t>
            </w:r>
          </w:p>
        </w:tc>
      </w:tr>
    </w:tbl>
    <w:p>
      <w:pPr>
        <w:pStyle w:val="276"/>
        <w:rPr>
          <w:rFonts w:eastAsiaTheme="minorEastAsia"/>
          <w:color w:val="auto"/>
        </w:rPr>
      </w:pPr>
      <w:r>
        <w:rPr>
          <w:rFonts w:eastAsiaTheme="minorEastAsia"/>
          <w:color w:val="auto"/>
        </w:rPr>
        <w:t>（3）评价标准</w:t>
      </w:r>
    </w:p>
    <w:p>
      <w:pPr>
        <w:pStyle w:val="276"/>
        <w:rPr>
          <w:rFonts w:eastAsiaTheme="minorEastAsia"/>
          <w:color w:val="auto"/>
        </w:rPr>
      </w:pPr>
      <w:r>
        <w:rPr>
          <w:rFonts w:eastAsiaTheme="minorEastAsia"/>
          <w:color w:val="auto"/>
        </w:rPr>
        <w:t>我国现行的《爆破安全规程》（GB6722-2014）中，对主要类型建（构）筑物安全振动标准做出规定。有关部分见表5-2-13。</w:t>
      </w:r>
    </w:p>
    <w:p>
      <w:pPr>
        <w:pStyle w:val="244"/>
        <w:rPr>
          <w:rFonts w:eastAsiaTheme="minorEastAsia"/>
          <w:color w:val="auto"/>
        </w:rPr>
      </w:pPr>
      <w:r>
        <w:rPr>
          <w:rFonts w:eastAsiaTheme="minorEastAsia"/>
          <w:color w:val="auto"/>
        </w:rPr>
        <w:t>表5-2-13地面质点振动速度安全值表</w:t>
      </w:r>
    </w:p>
    <w:tbl>
      <w:tblPr>
        <w:tblStyle w:val="53"/>
        <w:tblW w:w="8522"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17"/>
        <w:gridCol w:w="3260"/>
        <w:gridCol w:w="1701"/>
        <w:gridCol w:w="1701"/>
        <w:gridCol w:w="104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blHeader/>
        </w:trPr>
        <w:tc>
          <w:tcPr>
            <w:tcW w:w="817" w:type="dxa"/>
            <w:vMerge w:val="restart"/>
            <w:vAlign w:val="center"/>
          </w:tcPr>
          <w:p>
            <w:pPr>
              <w:pStyle w:val="246"/>
              <w:rPr>
                <w:rFonts w:eastAsiaTheme="minorEastAsia"/>
                <w:color w:val="auto"/>
              </w:rPr>
            </w:pPr>
            <w:r>
              <w:rPr>
                <w:rFonts w:eastAsiaTheme="minorEastAsia"/>
                <w:color w:val="auto"/>
              </w:rPr>
              <w:t>序号</w:t>
            </w:r>
          </w:p>
        </w:tc>
        <w:tc>
          <w:tcPr>
            <w:tcW w:w="3260" w:type="dxa"/>
            <w:vMerge w:val="restart"/>
            <w:vAlign w:val="center"/>
          </w:tcPr>
          <w:p>
            <w:pPr>
              <w:pStyle w:val="246"/>
              <w:rPr>
                <w:rFonts w:eastAsiaTheme="minorEastAsia"/>
                <w:color w:val="auto"/>
              </w:rPr>
            </w:pPr>
            <w:r>
              <w:rPr>
                <w:rFonts w:eastAsiaTheme="minorEastAsia"/>
                <w:color w:val="auto"/>
              </w:rPr>
              <w:t>保护对象类别</w:t>
            </w:r>
          </w:p>
        </w:tc>
        <w:tc>
          <w:tcPr>
            <w:tcW w:w="4445" w:type="dxa"/>
            <w:gridSpan w:val="3"/>
            <w:vAlign w:val="center"/>
          </w:tcPr>
          <w:p>
            <w:pPr>
              <w:pStyle w:val="246"/>
              <w:rPr>
                <w:rFonts w:eastAsiaTheme="minorEastAsia"/>
                <w:color w:val="auto"/>
              </w:rPr>
            </w:pPr>
            <w:r>
              <w:rPr>
                <w:rFonts w:eastAsiaTheme="minorEastAsia"/>
                <w:color w:val="auto"/>
              </w:rPr>
              <w:t>安全允许质点振动速度V/（cm·s</w:t>
            </w:r>
            <w:r>
              <w:rPr>
                <w:rFonts w:eastAsiaTheme="minorEastAsia"/>
                <w:color w:val="auto"/>
                <w:vertAlign w:val="superscript"/>
              </w:rPr>
              <w:t>-1</w:t>
            </w:r>
            <w:r>
              <w:rPr>
                <w:rFonts w:eastAsiaTheme="minorEastAsia"/>
                <w:color w:val="auto"/>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blHeader/>
        </w:trPr>
        <w:tc>
          <w:tcPr>
            <w:tcW w:w="817" w:type="dxa"/>
            <w:vMerge w:val="continue"/>
            <w:vAlign w:val="center"/>
          </w:tcPr>
          <w:p>
            <w:pPr>
              <w:pStyle w:val="246"/>
              <w:rPr>
                <w:rFonts w:eastAsiaTheme="minorEastAsia"/>
                <w:color w:val="auto"/>
              </w:rPr>
            </w:pPr>
          </w:p>
        </w:tc>
        <w:tc>
          <w:tcPr>
            <w:tcW w:w="3260" w:type="dxa"/>
            <w:vMerge w:val="continue"/>
            <w:vAlign w:val="center"/>
          </w:tcPr>
          <w:p>
            <w:pPr>
              <w:pStyle w:val="246"/>
              <w:rPr>
                <w:rFonts w:eastAsiaTheme="minorEastAsia"/>
                <w:color w:val="auto"/>
              </w:rPr>
            </w:pPr>
          </w:p>
        </w:tc>
        <w:tc>
          <w:tcPr>
            <w:tcW w:w="1701" w:type="dxa"/>
            <w:vAlign w:val="center"/>
          </w:tcPr>
          <w:p>
            <w:pPr>
              <w:pStyle w:val="246"/>
              <w:rPr>
                <w:rFonts w:eastAsiaTheme="minorEastAsia"/>
                <w:color w:val="auto"/>
              </w:rPr>
            </w:pPr>
            <w:r>
              <w:rPr>
                <w:rFonts w:eastAsiaTheme="minorEastAsia"/>
                <w:color w:val="auto"/>
              </w:rPr>
              <w:t>f≤10Hz</w:t>
            </w:r>
          </w:p>
        </w:tc>
        <w:tc>
          <w:tcPr>
            <w:tcW w:w="1701" w:type="dxa"/>
            <w:vAlign w:val="center"/>
          </w:tcPr>
          <w:p>
            <w:pPr>
              <w:pStyle w:val="246"/>
              <w:rPr>
                <w:rFonts w:eastAsiaTheme="minorEastAsia"/>
                <w:color w:val="auto"/>
              </w:rPr>
            </w:pPr>
            <w:r>
              <w:rPr>
                <w:rFonts w:eastAsiaTheme="minorEastAsia"/>
                <w:color w:val="auto"/>
              </w:rPr>
              <w:t>10Hz＜f≤50Hz</w:t>
            </w:r>
          </w:p>
        </w:tc>
        <w:tc>
          <w:tcPr>
            <w:tcW w:w="1043" w:type="dxa"/>
            <w:vAlign w:val="center"/>
          </w:tcPr>
          <w:p>
            <w:pPr>
              <w:pStyle w:val="246"/>
              <w:rPr>
                <w:rFonts w:eastAsiaTheme="minorEastAsia"/>
                <w:color w:val="auto"/>
              </w:rPr>
            </w:pPr>
            <w:r>
              <w:rPr>
                <w:rFonts w:eastAsiaTheme="minorEastAsia"/>
                <w:color w:val="auto"/>
              </w:rPr>
              <w:t>f＞50Hz</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pStyle w:val="246"/>
              <w:rPr>
                <w:rFonts w:eastAsiaTheme="minorEastAsia"/>
                <w:color w:val="auto"/>
              </w:rPr>
            </w:pPr>
            <w:r>
              <w:rPr>
                <w:rFonts w:eastAsiaTheme="minorEastAsia"/>
                <w:color w:val="auto"/>
              </w:rPr>
              <w:t>1</w:t>
            </w:r>
          </w:p>
        </w:tc>
        <w:tc>
          <w:tcPr>
            <w:tcW w:w="3260" w:type="dxa"/>
            <w:vAlign w:val="center"/>
          </w:tcPr>
          <w:p>
            <w:pPr>
              <w:pStyle w:val="246"/>
              <w:rPr>
                <w:rFonts w:eastAsiaTheme="minorEastAsia"/>
                <w:color w:val="auto"/>
              </w:rPr>
            </w:pPr>
            <w:r>
              <w:rPr>
                <w:rFonts w:eastAsiaTheme="minorEastAsia"/>
                <w:color w:val="auto"/>
              </w:rPr>
              <w:t>土窑洞、土坯房、毛石房屋</w:t>
            </w:r>
          </w:p>
        </w:tc>
        <w:tc>
          <w:tcPr>
            <w:tcW w:w="1701" w:type="dxa"/>
            <w:vAlign w:val="center"/>
          </w:tcPr>
          <w:p>
            <w:pPr>
              <w:pStyle w:val="246"/>
              <w:rPr>
                <w:rFonts w:eastAsiaTheme="minorEastAsia"/>
                <w:color w:val="auto"/>
              </w:rPr>
            </w:pPr>
            <w:r>
              <w:rPr>
                <w:rFonts w:eastAsiaTheme="minorEastAsia"/>
                <w:color w:val="auto"/>
              </w:rPr>
              <w:t>0.15~0.45</w:t>
            </w:r>
          </w:p>
        </w:tc>
        <w:tc>
          <w:tcPr>
            <w:tcW w:w="1701" w:type="dxa"/>
            <w:vAlign w:val="center"/>
          </w:tcPr>
          <w:p>
            <w:pPr>
              <w:pStyle w:val="246"/>
              <w:rPr>
                <w:rFonts w:eastAsiaTheme="minorEastAsia"/>
                <w:color w:val="auto"/>
              </w:rPr>
            </w:pPr>
            <w:r>
              <w:rPr>
                <w:rFonts w:eastAsiaTheme="minorEastAsia"/>
                <w:color w:val="auto"/>
              </w:rPr>
              <w:t>0.45~0.9</w:t>
            </w:r>
          </w:p>
        </w:tc>
        <w:tc>
          <w:tcPr>
            <w:tcW w:w="1043" w:type="dxa"/>
            <w:vAlign w:val="center"/>
          </w:tcPr>
          <w:p>
            <w:pPr>
              <w:pStyle w:val="246"/>
              <w:rPr>
                <w:rFonts w:eastAsiaTheme="minorEastAsia"/>
                <w:color w:val="auto"/>
              </w:rPr>
            </w:pPr>
            <w:r>
              <w:rPr>
                <w:rFonts w:eastAsiaTheme="minorEastAsia"/>
                <w:color w:val="auto"/>
              </w:rPr>
              <w:t>0.9~1.5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pStyle w:val="246"/>
              <w:rPr>
                <w:rFonts w:eastAsiaTheme="minorEastAsia"/>
                <w:color w:val="auto"/>
              </w:rPr>
            </w:pPr>
            <w:r>
              <w:rPr>
                <w:rFonts w:eastAsiaTheme="minorEastAsia"/>
                <w:color w:val="auto"/>
              </w:rPr>
              <w:t>2</w:t>
            </w:r>
          </w:p>
        </w:tc>
        <w:tc>
          <w:tcPr>
            <w:tcW w:w="3260" w:type="dxa"/>
            <w:vAlign w:val="center"/>
          </w:tcPr>
          <w:p>
            <w:pPr>
              <w:pStyle w:val="246"/>
              <w:rPr>
                <w:rFonts w:eastAsiaTheme="minorEastAsia"/>
                <w:color w:val="auto"/>
              </w:rPr>
            </w:pPr>
            <w:r>
              <w:rPr>
                <w:rFonts w:eastAsiaTheme="minorEastAsia"/>
                <w:color w:val="auto"/>
              </w:rPr>
              <w:t>一般民用建筑</w:t>
            </w:r>
          </w:p>
        </w:tc>
        <w:tc>
          <w:tcPr>
            <w:tcW w:w="1701" w:type="dxa"/>
            <w:vAlign w:val="center"/>
          </w:tcPr>
          <w:p>
            <w:pPr>
              <w:pStyle w:val="246"/>
              <w:rPr>
                <w:rFonts w:eastAsiaTheme="minorEastAsia"/>
                <w:color w:val="auto"/>
              </w:rPr>
            </w:pPr>
            <w:r>
              <w:rPr>
                <w:rFonts w:eastAsiaTheme="minorEastAsia"/>
                <w:color w:val="auto"/>
              </w:rPr>
              <w:t>1.5~2.0</w:t>
            </w:r>
          </w:p>
        </w:tc>
        <w:tc>
          <w:tcPr>
            <w:tcW w:w="1701" w:type="dxa"/>
            <w:vAlign w:val="center"/>
          </w:tcPr>
          <w:p>
            <w:pPr>
              <w:pStyle w:val="246"/>
              <w:rPr>
                <w:rFonts w:eastAsiaTheme="minorEastAsia"/>
                <w:color w:val="auto"/>
              </w:rPr>
            </w:pPr>
            <w:r>
              <w:rPr>
                <w:rFonts w:eastAsiaTheme="minorEastAsia"/>
                <w:color w:val="auto"/>
              </w:rPr>
              <w:t>2.0~2.5</w:t>
            </w:r>
          </w:p>
        </w:tc>
        <w:tc>
          <w:tcPr>
            <w:tcW w:w="1043" w:type="dxa"/>
            <w:vAlign w:val="center"/>
          </w:tcPr>
          <w:p>
            <w:pPr>
              <w:pStyle w:val="246"/>
              <w:rPr>
                <w:rFonts w:eastAsiaTheme="minorEastAsia"/>
                <w:color w:val="auto"/>
              </w:rPr>
            </w:pPr>
            <w:r>
              <w:rPr>
                <w:rFonts w:eastAsiaTheme="minorEastAsia"/>
                <w:color w:val="auto"/>
              </w:rPr>
              <w:t>2.5~3.0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pStyle w:val="246"/>
              <w:rPr>
                <w:rFonts w:eastAsiaTheme="minorEastAsia"/>
                <w:color w:val="auto"/>
              </w:rPr>
            </w:pPr>
            <w:r>
              <w:rPr>
                <w:rFonts w:eastAsiaTheme="minorEastAsia"/>
                <w:color w:val="auto"/>
              </w:rPr>
              <w:t>3</w:t>
            </w:r>
          </w:p>
        </w:tc>
        <w:tc>
          <w:tcPr>
            <w:tcW w:w="3260" w:type="dxa"/>
            <w:vAlign w:val="center"/>
          </w:tcPr>
          <w:p>
            <w:pPr>
              <w:pStyle w:val="246"/>
              <w:rPr>
                <w:rFonts w:eastAsiaTheme="minorEastAsia"/>
                <w:color w:val="auto"/>
              </w:rPr>
            </w:pPr>
            <w:r>
              <w:rPr>
                <w:rFonts w:eastAsiaTheme="minorEastAsia"/>
                <w:color w:val="auto"/>
              </w:rPr>
              <w:t>工业和商业建筑物</w:t>
            </w:r>
          </w:p>
        </w:tc>
        <w:tc>
          <w:tcPr>
            <w:tcW w:w="1701" w:type="dxa"/>
            <w:vAlign w:val="center"/>
          </w:tcPr>
          <w:p>
            <w:pPr>
              <w:pStyle w:val="246"/>
              <w:rPr>
                <w:rFonts w:eastAsiaTheme="minorEastAsia"/>
                <w:color w:val="auto"/>
              </w:rPr>
            </w:pPr>
            <w:r>
              <w:rPr>
                <w:rFonts w:eastAsiaTheme="minorEastAsia"/>
                <w:color w:val="auto"/>
              </w:rPr>
              <w:t>2.5~3.5</w:t>
            </w:r>
          </w:p>
        </w:tc>
        <w:tc>
          <w:tcPr>
            <w:tcW w:w="1701" w:type="dxa"/>
            <w:vAlign w:val="center"/>
          </w:tcPr>
          <w:p>
            <w:pPr>
              <w:pStyle w:val="246"/>
              <w:rPr>
                <w:rFonts w:eastAsiaTheme="minorEastAsia"/>
                <w:color w:val="auto"/>
              </w:rPr>
            </w:pPr>
            <w:r>
              <w:rPr>
                <w:rFonts w:eastAsiaTheme="minorEastAsia"/>
                <w:color w:val="auto"/>
              </w:rPr>
              <w:t>3.5~4.5</w:t>
            </w:r>
          </w:p>
        </w:tc>
        <w:tc>
          <w:tcPr>
            <w:tcW w:w="1043" w:type="dxa"/>
            <w:vAlign w:val="center"/>
          </w:tcPr>
          <w:p>
            <w:pPr>
              <w:pStyle w:val="246"/>
              <w:rPr>
                <w:rFonts w:eastAsiaTheme="minorEastAsia"/>
                <w:color w:val="auto"/>
              </w:rPr>
            </w:pPr>
            <w:r>
              <w:rPr>
                <w:rFonts w:eastAsiaTheme="minorEastAsia"/>
                <w:color w:val="auto"/>
              </w:rPr>
              <w:t>4.2~5.0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pStyle w:val="246"/>
              <w:rPr>
                <w:rFonts w:eastAsiaTheme="minorEastAsia"/>
                <w:color w:val="auto"/>
              </w:rPr>
            </w:pPr>
            <w:r>
              <w:rPr>
                <w:rFonts w:eastAsiaTheme="minorEastAsia"/>
                <w:color w:val="auto"/>
              </w:rPr>
              <w:t>4</w:t>
            </w:r>
          </w:p>
        </w:tc>
        <w:tc>
          <w:tcPr>
            <w:tcW w:w="3260" w:type="dxa"/>
            <w:vAlign w:val="center"/>
          </w:tcPr>
          <w:p>
            <w:pPr>
              <w:pStyle w:val="246"/>
              <w:rPr>
                <w:rFonts w:eastAsiaTheme="minorEastAsia"/>
                <w:color w:val="auto"/>
              </w:rPr>
            </w:pPr>
            <w:r>
              <w:rPr>
                <w:rFonts w:eastAsiaTheme="minorEastAsia"/>
                <w:color w:val="auto"/>
              </w:rPr>
              <w:t>一般古建筑和古迹</w:t>
            </w:r>
          </w:p>
        </w:tc>
        <w:tc>
          <w:tcPr>
            <w:tcW w:w="1701" w:type="dxa"/>
            <w:vAlign w:val="center"/>
          </w:tcPr>
          <w:p>
            <w:pPr>
              <w:pStyle w:val="246"/>
              <w:rPr>
                <w:rFonts w:eastAsiaTheme="minorEastAsia"/>
                <w:color w:val="auto"/>
              </w:rPr>
            </w:pPr>
            <w:r>
              <w:rPr>
                <w:rFonts w:eastAsiaTheme="minorEastAsia"/>
                <w:color w:val="auto"/>
              </w:rPr>
              <w:t>0.1~0.2</w:t>
            </w:r>
          </w:p>
        </w:tc>
        <w:tc>
          <w:tcPr>
            <w:tcW w:w="1701" w:type="dxa"/>
            <w:vAlign w:val="center"/>
          </w:tcPr>
          <w:p>
            <w:pPr>
              <w:pStyle w:val="246"/>
              <w:rPr>
                <w:rFonts w:eastAsiaTheme="minorEastAsia"/>
                <w:color w:val="auto"/>
              </w:rPr>
            </w:pPr>
            <w:r>
              <w:rPr>
                <w:rFonts w:eastAsiaTheme="minorEastAsia"/>
                <w:color w:val="auto"/>
              </w:rPr>
              <w:t>0.2~0.3</w:t>
            </w:r>
          </w:p>
        </w:tc>
        <w:tc>
          <w:tcPr>
            <w:tcW w:w="1043" w:type="dxa"/>
            <w:vAlign w:val="center"/>
          </w:tcPr>
          <w:p>
            <w:pPr>
              <w:pStyle w:val="246"/>
              <w:rPr>
                <w:rFonts w:eastAsiaTheme="minorEastAsia"/>
                <w:color w:val="auto"/>
              </w:rPr>
            </w:pPr>
            <w:r>
              <w:rPr>
                <w:rFonts w:eastAsiaTheme="minorEastAsia"/>
                <w:color w:val="auto"/>
              </w:rPr>
              <w:t>0.3~0.5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pStyle w:val="246"/>
              <w:rPr>
                <w:rFonts w:eastAsiaTheme="minorEastAsia"/>
                <w:color w:val="auto"/>
              </w:rPr>
            </w:pPr>
            <w:r>
              <w:rPr>
                <w:rFonts w:eastAsiaTheme="minorEastAsia"/>
                <w:color w:val="auto"/>
              </w:rPr>
              <w:t>5</w:t>
            </w:r>
          </w:p>
        </w:tc>
        <w:tc>
          <w:tcPr>
            <w:tcW w:w="3260" w:type="dxa"/>
            <w:vAlign w:val="center"/>
          </w:tcPr>
          <w:p>
            <w:pPr>
              <w:pStyle w:val="246"/>
              <w:rPr>
                <w:rFonts w:eastAsiaTheme="minorEastAsia"/>
                <w:color w:val="auto"/>
              </w:rPr>
            </w:pPr>
            <w:r>
              <w:rPr>
                <w:rFonts w:eastAsiaTheme="minorEastAsia"/>
                <w:color w:val="auto"/>
              </w:rPr>
              <w:t>运行中的水电站及发电厂中心控制室设备</w:t>
            </w:r>
          </w:p>
        </w:tc>
        <w:tc>
          <w:tcPr>
            <w:tcW w:w="1701" w:type="dxa"/>
            <w:vAlign w:val="center"/>
          </w:tcPr>
          <w:p>
            <w:pPr>
              <w:pStyle w:val="246"/>
              <w:rPr>
                <w:rFonts w:eastAsiaTheme="minorEastAsia"/>
                <w:color w:val="auto"/>
              </w:rPr>
            </w:pPr>
            <w:r>
              <w:rPr>
                <w:rFonts w:eastAsiaTheme="minorEastAsia"/>
                <w:color w:val="auto"/>
              </w:rPr>
              <w:t>0.5~0.6</w:t>
            </w:r>
          </w:p>
        </w:tc>
        <w:tc>
          <w:tcPr>
            <w:tcW w:w="1701" w:type="dxa"/>
            <w:vAlign w:val="center"/>
          </w:tcPr>
          <w:p>
            <w:pPr>
              <w:pStyle w:val="246"/>
              <w:rPr>
                <w:rFonts w:eastAsiaTheme="minorEastAsia"/>
                <w:color w:val="auto"/>
              </w:rPr>
            </w:pPr>
            <w:r>
              <w:rPr>
                <w:rFonts w:eastAsiaTheme="minorEastAsia"/>
                <w:color w:val="auto"/>
              </w:rPr>
              <w:t>0.6~0.7</w:t>
            </w:r>
          </w:p>
        </w:tc>
        <w:tc>
          <w:tcPr>
            <w:tcW w:w="1043" w:type="dxa"/>
            <w:vAlign w:val="center"/>
          </w:tcPr>
          <w:p>
            <w:pPr>
              <w:pStyle w:val="246"/>
              <w:rPr>
                <w:rFonts w:eastAsiaTheme="minorEastAsia"/>
                <w:color w:val="auto"/>
              </w:rPr>
            </w:pPr>
            <w:r>
              <w:rPr>
                <w:rFonts w:eastAsiaTheme="minorEastAsia"/>
                <w:color w:val="auto"/>
              </w:rPr>
              <w:t>0.7~0.9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pStyle w:val="246"/>
              <w:rPr>
                <w:rFonts w:eastAsiaTheme="minorEastAsia"/>
                <w:color w:val="auto"/>
              </w:rPr>
            </w:pPr>
            <w:r>
              <w:rPr>
                <w:rFonts w:eastAsiaTheme="minorEastAsia"/>
                <w:color w:val="auto"/>
              </w:rPr>
              <w:t>6</w:t>
            </w:r>
          </w:p>
        </w:tc>
        <w:tc>
          <w:tcPr>
            <w:tcW w:w="3260" w:type="dxa"/>
            <w:vAlign w:val="center"/>
          </w:tcPr>
          <w:p>
            <w:pPr>
              <w:pStyle w:val="246"/>
              <w:rPr>
                <w:rFonts w:eastAsiaTheme="minorEastAsia"/>
                <w:color w:val="auto"/>
              </w:rPr>
            </w:pPr>
            <w:r>
              <w:rPr>
                <w:rFonts w:eastAsiaTheme="minorEastAsia"/>
                <w:color w:val="auto"/>
              </w:rPr>
              <w:t>水工隧道</w:t>
            </w:r>
          </w:p>
        </w:tc>
        <w:tc>
          <w:tcPr>
            <w:tcW w:w="1701" w:type="dxa"/>
            <w:vAlign w:val="center"/>
          </w:tcPr>
          <w:p>
            <w:pPr>
              <w:pStyle w:val="246"/>
              <w:rPr>
                <w:rFonts w:eastAsiaTheme="minorEastAsia"/>
                <w:color w:val="auto"/>
              </w:rPr>
            </w:pPr>
            <w:r>
              <w:rPr>
                <w:rFonts w:eastAsiaTheme="minorEastAsia"/>
                <w:color w:val="auto"/>
              </w:rPr>
              <w:t>7~8</w:t>
            </w:r>
          </w:p>
        </w:tc>
        <w:tc>
          <w:tcPr>
            <w:tcW w:w="1701" w:type="dxa"/>
            <w:vAlign w:val="center"/>
          </w:tcPr>
          <w:p>
            <w:pPr>
              <w:pStyle w:val="246"/>
              <w:rPr>
                <w:rFonts w:eastAsiaTheme="minorEastAsia"/>
                <w:color w:val="auto"/>
              </w:rPr>
            </w:pPr>
            <w:r>
              <w:rPr>
                <w:rFonts w:eastAsiaTheme="minorEastAsia"/>
                <w:color w:val="auto"/>
              </w:rPr>
              <w:t>8~10</w:t>
            </w:r>
          </w:p>
        </w:tc>
        <w:tc>
          <w:tcPr>
            <w:tcW w:w="1043" w:type="dxa"/>
            <w:vAlign w:val="center"/>
          </w:tcPr>
          <w:p>
            <w:pPr>
              <w:pStyle w:val="246"/>
              <w:rPr>
                <w:rFonts w:eastAsiaTheme="minorEastAsia"/>
                <w:color w:val="auto"/>
              </w:rPr>
            </w:pPr>
            <w:r>
              <w:rPr>
                <w:rFonts w:eastAsiaTheme="minorEastAsia"/>
                <w:color w:val="auto"/>
              </w:rPr>
              <w:t>10~15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pStyle w:val="246"/>
              <w:rPr>
                <w:rFonts w:eastAsiaTheme="minorEastAsia"/>
                <w:color w:val="auto"/>
              </w:rPr>
            </w:pPr>
            <w:r>
              <w:rPr>
                <w:rFonts w:eastAsiaTheme="minorEastAsia"/>
                <w:color w:val="auto"/>
              </w:rPr>
              <w:t>7</w:t>
            </w:r>
          </w:p>
        </w:tc>
        <w:tc>
          <w:tcPr>
            <w:tcW w:w="3260" w:type="dxa"/>
            <w:vAlign w:val="center"/>
          </w:tcPr>
          <w:p>
            <w:pPr>
              <w:pStyle w:val="246"/>
              <w:rPr>
                <w:rFonts w:eastAsiaTheme="minorEastAsia"/>
                <w:color w:val="auto"/>
              </w:rPr>
            </w:pPr>
            <w:r>
              <w:rPr>
                <w:rFonts w:eastAsiaTheme="minorEastAsia"/>
                <w:color w:val="auto"/>
              </w:rPr>
              <w:t>交通隧道</w:t>
            </w:r>
          </w:p>
        </w:tc>
        <w:tc>
          <w:tcPr>
            <w:tcW w:w="1701" w:type="dxa"/>
            <w:vAlign w:val="center"/>
          </w:tcPr>
          <w:p>
            <w:pPr>
              <w:pStyle w:val="246"/>
              <w:rPr>
                <w:rFonts w:eastAsiaTheme="minorEastAsia"/>
                <w:color w:val="auto"/>
              </w:rPr>
            </w:pPr>
            <w:r>
              <w:rPr>
                <w:rFonts w:eastAsiaTheme="minorEastAsia"/>
                <w:color w:val="auto"/>
              </w:rPr>
              <w:t>10~12</w:t>
            </w:r>
          </w:p>
        </w:tc>
        <w:tc>
          <w:tcPr>
            <w:tcW w:w="1701" w:type="dxa"/>
            <w:vAlign w:val="center"/>
          </w:tcPr>
          <w:p>
            <w:pPr>
              <w:pStyle w:val="246"/>
              <w:rPr>
                <w:rFonts w:eastAsiaTheme="minorEastAsia"/>
                <w:color w:val="auto"/>
              </w:rPr>
            </w:pPr>
            <w:r>
              <w:rPr>
                <w:rFonts w:eastAsiaTheme="minorEastAsia"/>
                <w:color w:val="auto"/>
              </w:rPr>
              <w:t>12~15</w:t>
            </w:r>
          </w:p>
        </w:tc>
        <w:tc>
          <w:tcPr>
            <w:tcW w:w="1043" w:type="dxa"/>
            <w:vAlign w:val="center"/>
          </w:tcPr>
          <w:p>
            <w:pPr>
              <w:pStyle w:val="246"/>
              <w:rPr>
                <w:rFonts w:eastAsiaTheme="minorEastAsia"/>
                <w:color w:val="auto"/>
              </w:rPr>
            </w:pPr>
            <w:r>
              <w:rPr>
                <w:rFonts w:eastAsiaTheme="minorEastAsia"/>
                <w:color w:val="auto"/>
              </w:rPr>
              <w:t>15~20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pStyle w:val="246"/>
              <w:rPr>
                <w:rFonts w:eastAsiaTheme="minorEastAsia"/>
                <w:color w:val="auto"/>
              </w:rPr>
            </w:pPr>
            <w:r>
              <w:rPr>
                <w:rFonts w:eastAsiaTheme="minorEastAsia"/>
                <w:color w:val="auto"/>
              </w:rPr>
              <w:t>8</w:t>
            </w:r>
          </w:p>
        </w:tc>
        <w:tc>
          <w:tcPr>
            <w:tcW w:w="3260" w:type="dxa"/>
            <w:vAlign w:val="center"/>
          </w:tcPr>
          <w:p>
            <w:pPr>
              <w:pStyle w:val="246"/>
              <w:rPr>
                <w:rFonts w:eastAsiaTheme="minorEastAsia"/>
                <w:color w:val="auto"/>
              </w:rPr>
            </w:pPr>
            <w:r>
              <w:rPr>
                <w:rFonts w:eastAsiaTheme="minorEastAsia"/>
                <w:color w:val="auto"/>
              </w:rPr>
              <w:t>矿山巷道</w:t>
            </w:r>
          </w:p>
        </w:tc>
        <w:tc>
          <w:tcPr>
            <w:tcW w:w="1701" w:type="dxa"/>
            <w:vAlign w:val="center"/>
          </w:tcPr>
          <w:p>
            <w:pPr>
              <w:pStyle w:val="246"/>
              <w:rPr>
                <w:rFonts w:eastAsiaTheme="minorEastAsia"/>
                <w:color w:val="auto"/>
              </w:rPr>
            </w:pPr>
            <w:r>
              <w:rPr>
                <w:rFonts w:eastAsiaTheme="minorEastAsia"/>
                <w:color w:val="auto"/>
              </w:rPr>
              <w:t>15~18</w:t>
            </w:r>
          </w:p>
        </w:tc>
        <w:tc>
          <w:tcPr>
            <w:tcW w:w="1701" w:type="dxa"/>
            <w:vAlign w:val="center"/>
          </w:tcPr>
          <w:p>
            <w:pPr>
              <w:pStyle w:val="246"/>
              <w:rPr>
                <w:rFonts w:eastAsiaTheme="minorEastAsia"/>
                <w:color w:val="auto"/>
              </w:rPr>
            </w:pPr>
            <w:r>
              <w:rPr>
                <w:rFonts w:eastAsiaTheme="minorEastAsia"/>
                <w:color w:val="auto"/>
              </w:rPr>
              <w:t>18~25</w:t>
            </w:r>
          </w:p>
        </w:tc>
        <w:tc>
          <w:tcPr>
            <w:tcW w:w="1043" w:type="dxa"/>
            <w:vAlign w:val="center"/>
          </w:tcPr>
          <w:p>
            <w:pPr>
              <w:pStyle w:val="246"/>
              <w:rPr>
                <w:rFonts w:eastAsiaTheme="minorEastAsia"/>
                <w:color w:val="auto"/>
              </w:rPr>
            </w:pPr>
            <w:r>
              <w:rPr>
                <w:rFonts w:eastAsiaTheme="minorEastAsia"/>
                <w:color w:val="auto"/>
              </w:rPr>
              <w:t>20~30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pStyle w:val="246"/>
              <w:rPr>
                <w:rFonts w:eastAsiaTheme="minorEastAsia"/>
                <w:color w:val="auto"/>
              </w:rPr>
            </w:pPr>
            <w:r>
              <w:rPr>
                <w:rFonts w:eastAsiaTheme="minorEastAsia"/>
                <w:color w:val="auto"/>
              </w:rPr>
              <w:t>9</w:t>
            </w:r>
          </w:p>
        </w:tc>
        <w:tc>
          <w:tcPr>
            <w:tcW w:w="3260" w:type="dxa"/>
            <w:vAlign w:val="center"/>
          </w:tcPr>
          <w:p>
            <w:pPr>
              <w:pStyle w:val="246"/>
              <w:rPr>
                <w:rFonts w:eastAsiaTheme="minorEastAsia"/>
                <w:color w:val="auto"/>
              </w:rPr>
            </w:pPr>
            <w:r>
              <w:rPr>
                <w:rFonts w:eastAsiaTheme="minorEastAsia"/>
                <w:color w:val="auto"/>
              </w:rPr>
              <w:t>永久性岩石高边坡</w:t>
            </w:r>
          </w:p>
        </w:tc>
        <w:tc>
          <w:tcPr>
            <w:tcW w:w="1701" w:type="dxa"/>
            <w:vAlign w:val="center"/>
          </w:tcPr>
          <w:p>
            <w:pPr>
              <w:pStyle w:val="246"/>
              <w:rPr>
                <w:rFonts w:eastAsiaTheme="minorEastAsia"/>
                <w:color w:val="auto"/>
              </w:rPr>
            </w:pPr>
            <w:r>
              <w:rPr>
                <w:rFonts w:eastAsiaTheme="minorEastAsia"/>
                <w:color w:val="auto"/>
              </w:rPr>
              <w:t>5~9</w:t>
            </w:r>
          </w:p>
        </w:tc>
        <w:tc>
          <w:tcPr>
            <w:tcW w:w="1701" w:type="dxa"/>
            <w:vAlign w:val="center"/>
          </w:tcPr>
          <w:p>
            <w:pPr>
              <w:pStyle w:val="246"/>
              <w:rPr>
                <w:rFonts w:eastAsiaTheme="minorEastAsia"/>
                <w:color w:val="auto"/>
              </w:rPr>
            </w:pPr>
            <w:r>
              <w:rPr>
                <w:rFonts w:eastAsiaTheme="minorEastAsia"/>
                <w:color w:val="auto"/>
              </w:rPr>
              <w:t>8~12</w:t>
            </w:r>
          </w:p>
        </w:tc>
        <w:tc>
          <w:tcPr>
            <w:tcW w:w="1043" w:type="dxa"/>
            <w:vAlign w:val="center"/>
          </w:tcPr>
          <w:p>
            <w:pPr>
              <w:pStyle w:val="246"/>
              <w:rPr>
                <w:rFonts w:eastAsiaTheme="minorEastAsia"/>
                <w:color w:val="auto"/>
              </w:rPr>
            </w:pPr>
            <w:r>
              <w:rPr>
                <w:rFonts w:eastAsiaTheme="minorEastAsia"/>
                <w:color w:val="auto"/>
              </w:rPr>
              <w:t>10~15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490" w:hRule="atLeast"/>
        </w:trPr>
        <w:tc>
          <w:tcPr>
            <w:tcW w:w="817" w:type="dxa"/>
            <w:vAlign w:val="center"/>
          </w:tcPr>
          <w:p>
            <w:pPr>
              <w:pStyle w:val="246"/>
              <w:rPr>
                <w:rFonts w:eastAsiaTheme="minorEastAsia"/>
                <w:color w:val="auto"/>
              </w:rPr>
            </w:pPr>
            <w:r>
              <w:rPr>
                <w:rFonts w:eastAsiaTheme="minorEastAsia"/>
                <w:color w:val="auto"/>
              </w:rPr>
              <w:t>10</w:t>
            </w:r>
          </w:p>
        </w:tc>
        <w:tc>
          <w:tcPr>
            <w:tcW w:w="3260" w:type="dxa"/>
            <w:vAlign w:val="center"/>
          </w:tcPr>
          <w:p>
            <w:pPr>
              <w:pStyle w:val="246"/>
              <w:rPr>
                <w:rFonts w:eastAsiaTheme="minorEastAsia"/>
                <w:color w:val="auto"/>
              </w:rPr>
            </w:pPr>
            <w:r>
              <w:rPr>
                <w:rFonts w:eastAsiaTheme="minorEastAsia"/>
                <w:color w:val="auto"/>
              </w:rPr>
              <w:t>新浇大体积混凝土（C20）：</w:t>
            </w:r>
          </w:p>
          <w:p>
            <w:pPr>
              <w:pStyle w:val="246"/>
              <w:rPr>
                <w:rFonts w:eastAsiaTheme="minorEastAsia"/>
                <w:color w:val="auto"/>
              </w:rPr>
            </w:pPr>
            <w:r>
              <w:rPr>
                <w:rFonts w:eastAsiaTheme="minorEastAsia"/>
                <w:color w:val="auto"/>
              </w:rPr>
              <w:t>龄期：初凝~3d</w:t>
            </w:r>
          </w:p>
          <w:p>
            <w:pPr>
              <w:pStyle w:val="246"/>
              <w:rPr>
                <w:rFonts w:eastAsiaTheme="minorEastAsia"/>
                <w:color w:val="auto"/>
              </w:rPr>
            </w:pPr>
            <w:r>
              <w:rPr>
                <w:rFonts w:eastAsiaTheme="minorEastAsia"/>
                <w:color w:val="auto"/>
              </w:rPr>
              <w:t>龄期：3d~7d</w:t>
            </w:r>
          </w:p>
          <w:p>
            <w:pPr>
              <w:pStyle w:val="246"/>
              <w:rPr>
                <w:rFonts w:eastAsiaTheme="minorEastAsia"/>
                <w:color w:val="auto"/>
              </w:rPr>
            </w:pPr>
            <w:r>
              <w:rPr>
                <w:rFonts w:eastAsiaTheme="minorEastAsia"/>
                <w:color w:val="auto"/>
              </w:rPr>
              <w:t>龄期：7d~28d</w:t>
            </w:r>
          </w:p>
        </w:tc>
        <w:tc>
          <w:tcPr>
            <w:tcW w:w="1701" w:type="dxa"/>
            <w:vAlign w:val="center"/>
          </w:tcPr>
          <w:p>
            <w:pPr>
              <w:pStyle w:val="246"/>
              <w:rPr>
                <w:rFonts w:eastAsiaTheme="minorEastAsia"/>
                <w:color w:val="auto"/>
              </w:rPr>
            </w:pPr>
          </w:p>
          <w:p>
            <w:pPr>
              <w:pStyle w:val="246"/>
              <w:rPr>
                <w:rFonts w:eastAsiaTheme="minorEastAsia"/>
                <w:color w:val="auto"/>
              </w:rPr>
            </w:pPr>
            <w:r>
              <w:rPr>
                <w:rFonts w:eastAsiaTheme="minorEastAsia"/>
                <w:color w:val="auto"/>
              </w:rPr>
              <w:t>1.5~2.0</w:t>
            </w:r>
          </w:p>
          <w:p>
            <w:pPr>
              <w:pStyle w:val="246"/>
              <w:rPr>
                <w:rFonts w:eastAsiaTheme="minorEastAsia"/>
                <w:color w:val="auto"/>
              </w:rPr>
            </w:pPr>
            <w:r>
              <w:rPr>
                <w:rFonts w:eastAsiaTheme="minorEastAsia"/>
                <w:color w:val="auto"/>
              </w:rPr>
              <w:t>3.0~4.0</w:t>
            </w:r>
          </w:p>
          <w:p>
            <w:pPr>
              <w:pStyle w:val="246"/>
              <w:rPr>
                <w:rFonts w:eastAsiaTheme="minorEastAsia"/>
                <w:color w:val="auto"/>
              </w:rPr>
            </w:pPr>
            <w:r>
              <w:rPr>
                <w:rFonts w:eastAsiaTheme="minorEastAsia"/>
                <w:color w:val="auto"/>
              </w:rPr>
              <w:t>7.0~8.0</w:t>
            </w:r>
          </w:p>
        </w:tc>
        <w:tc>
          <w:tcPr>
            <w:tcW w:w="1701" w:type="dxa"/>
            <w:vAlign w:val="center"/>
          </w:tcPr>
          <w:p>
            <w:pPr>
              <w:pStyle w:val="246"/>
              <w:rPr>
                <w:rFonts w:eastAsiaTheme="minorEastAsia"/>
                <w:color w:val="auto"/>
              </w:rPr>
            </w:pPr>
          </w:p>
          <w:p>
            <w:pPr>
              <w:pStyle w:val="246"/>
              <w:rPr>
                <w:rFonts w:eastAsiaTheme="minorEastAsia"/>
                <w:color w:val="auto"/>
              </w:rPr>
            </w:pPr>
            <w:r>
              <w:rPr>
                <w:rFonts w:eastAsiaTheme="minorEastAsia"/>
                <w:color w:val="auto"/>
              </w:rPr>
              <w:t>2.0~2.5</w:t>
            </w:r>
          </w:p>
          <w:p>
            <w:pPr>
              <w:pStyle w:val="246"/>
              <w:rPr>
                <w:rFonts w:eastAsiaTheme="minorEastAsia"/>
                <w:color w:val="auto"/>
              </w:rPr>
            </w:pPr>
            <w:r>
              <w:rPr>
                <w:rFonts w:eastAsiaTheme="minorEastAsia"/>
                <w:color w:val="auto"/>
              </w:rPr>
              <w:t>4.0~5.0</w:t>
            </w:r>
          </w:p>
          <w:p>
            <w:pPr>
              <w:pStyle w:val="246"/>
              <w:rPr>
                <w:rFonts w:eastAsiaTheme="minorEastAsia"/>
                <w:color w:val="auto"/>
              </w:rPr>
            </w:pPr>
            <w:r>
              <w:rPr>
                <w:rFonts w:eastAsiaTheme="minorEastAsia"/>
                <w:color w:val="auto"/>
              </w:rPr>
              <w:t>8.0~10.0</w:t>
            </w:r>
          </w:p>
        </w:tc>
        <w:tc>
          <w:tcPr>
            <w:tcW w:w="1043" w:type="dxa"/>
            <w:vAlign w:val="center"/>
          </w:tcPr>
          <w:p>
            <w:pPr>
              <w:pStyle w:val="246"/>
              <w:rPr>
                <w:rFonts w:eastAsiaTheme="minorEastAsia"/>
                <w:color w:val="auto"/>
              </w:rPr>
            </w:pPr>
          </w:p>
          <w:p>
            <w:pPr>
              <w:pStyle w:val="246"/>
              <w:rPr>
                <w:rFonts w:eastAsiaTheme="minorEastAsia"/>
                <w:color w:val="auto"/>
              </w:rPr>
            </w:pPr>
            <w:r>
              <w:rPr>
                <w:rFonts w:eastAsiaTheme="minorEastAsia"/>
                <w:color w:val="auto"/>
              </w:rPr>
              <w:t>2.5~3.0</w:t>
            </w:r>
          </w:p>
          <w:p>
            <w:pPr>
              <w:pStyle w:val="246"/>
              <w:rPr>
                <w:rFonts w:eastAsiaTheme="minorEastAsia"/>
                <w:color w:val="auto"/>
              </w:rPr>
            </w:pPr>
            <w:r>
              <w:rPr>
                <w:rFonts w:eastAsiaTheme="minorEastAsia"/>
                <w:color w:val="auto"/>
              </w:rPr>
              <w:t>5.0~7.0</w:t>
            </w:r>
          </w:p>
          <w:p>
            <w:pPr>
              <w:pStyle w:val="246"/>
              <w:rPr>
                <w:rFonts w:eastAsiaTheme="minorEastAsia"/>
                <w:color w:val="auto"/>
              </w:rPr>
            </w:pPr>
            <w:r>
              <w:rPr>
                <w:rFonts w:eastAsiaTheme="minorEastAsia"/>
                <w:color w:val="auto"/>
              </w:rPr>
              <w:t>10.0~12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490" w:hRule="atLeast"/>
        </w:trPr>
        <w:tc>
          <w:tcPr>
            <w:tcW w:w="8522" w:type="dxa"/>
            <w:gridSpan w:val="5"/>
            <w:vAlign w:val="center"/>
          </w:tcPr>
          <w:p>
            <w:pPr>
              <w:pStyle w:val="246"/>
              <w:rPr>
                <w:rFonts w:eastAsiaTheme="minorEastAsia"/>
                <w:color w:val="auto"/>
              </w:rPr>
            </w:pPr>
            <w:r>
              <w:rPr>
                <w:rFonts w:eastAsiaTheme="minorEastAsia"/>
                <w:color w:val="auto"/>
              </w:rPr>
              <w:t>爆破振动监测应同事测定质点振动相互垂直的三个分量。</w:t>
            </w:r>
          </w:p>
          <w:p>
            <w:pPr>
              <w:pStyle w:val="246"/>
              <w:rPr>
                <w:rFonts w:eastAsiaTheme="minorEastAsia"/>
                <w:color w:val="auto"/>
              </w:rPr>
            </w:pPr>
            <w:r>
              <w:rPr>
                <w:rFonts w:eastAsiaTheme="minorEastAsia"/>
                <w:color w:val="auto"/>
              </w:rPr>
              <w:t>注1：表中质点振动速度为三个分量中的最大值，振动频率为主振频率；</w:t>
            </w:r>
          </w:p>
          <w:p>
            <w:pPr>
              <w:pStyle w:val="246"/>
              <w:rPr>
                <w:rFonts w:eastAsiaTheme="minorEastAsia"/>
                <w:color w:val="auto"/>
              </w:rPr>
            </w:pPr>
            <w:r>
              <w:rPr>
                <w:rFonts w:eastAsiaTheme="minorEastAsia"/>
                <w:color w:val="auto"/>
              </w:rPr>
              <w:t>注2：频率范围根据现场实测波形确定或按如下数据选取：硐室爆破f＜20Hz，露天深孔爆破f在10Hz~60Hz之间，露天浅孔爆破f在40Hz~100Hz之间；地下深孔爆破f在30Hz~100Hz之间，地下浅孔爆破f在60Hz~300Hz之间。</w:t>
            </w:r>
          </w:p>
        </w:tc>
      </w:tr>
    </w:tbl>
    <w:p>
      <w:pPr>
        <w:pStyle w:val="276"/>
        <w:rPr>
          <w:rFonts w:eastAsiaTheme="minorEastAsia"/>
          <w:color w:val="auto"/>
        </w:rPr>
      </w:pPr>
      <w:r>
        <w:rPr>
          <w:rFonts w:eastAsiaTheme="minorEastAsia"/>
          <w:color w:val="auto"/>
        </w:rPr>
        <w:t>（4）安全性评价</w:t>
      </w:r>
    </w:p>
    <w:p>
      <w:pPr>
        <w:pStyle w:val="276"/>
        <w:rPr>
          <w:rFonts w:eastAsiaTheme="minorEastAsia"/>
          <w:color w:val="auto"/>
        </w:rPr>
      </w:pPr>
      <w:r>
        <w:rPr>
          <w:rFonts w:eastAsiaTheme="minorEastAsia"/>
          <w:color w:val="auto"/>
        </w:rPr>
        <w:t>安全振动标准确定以后，利用选定的爆破振动强度测算公式，即可进行已有建筑的影响评价和确定拟建建筑的安全距离。</w:t>
      </w:r>
    </w:p>
    <w:p>
      <w:pPr>
        <w:pStyle w:val="276"/>
        <w:rPr>
          <w:rFonts w:eastAsiaTheme="minorEastAsia"/>
          <w:color w:val="auto"/>
        </w:rPr>
      </w:pPr>
      <w:r>
        <w:rPr>
          <w:rFonts w:eastAsiaTheme="minorEastAsia"/>
          <w:color w:val="auto"/>
        </w:rPr>
        <w:t>已有建筑满足下式可谓安全：</w:t>
      </w:r>
    </w:p>
    <w:p>
      <w:pPr>
        <w:pStyle w:val="276"/>
        <w:rPr>
          <w:rFonts w:eastAsiaTheme="minorEastAsia"/>
          <w:color w:val="auto"/>
        </w:rPr>
      </w:pPr>
      <w:r>
        <w:rPr>
          <w:rFonts w:eastAsiaTheme="minorEastAsia"/>
          <w:color w:val="auto"/>
        </w:rPr>
        <w:t xml:space="preserve">    [V]&gt;V</w:t>
      </w:r>
    </w:p>
    <w:p>
      <w:pPr>
        <w:pStyle w:val="276"/>
        <w:rPr>
          <w:rFonts w:eastAsiaTheme="minorEastAsia"/>
          <w:color w:val="auto"/>
        </w:rPr>
      </w:pPr>
      <w:r>
        <w:rPr>
          <w:rFonts w:eastAsiaTheme="minorEastAsia"/>
          <w:color w:val="auto"/>
        </w:rPr>
        <w:t xml:space="preserve">  式中[V]——安全振动标准</w:t>
      </w:r>
    </w:p>
    <w:p>
      <w:pPr>
        <w:pStyle w:val="276"/>
        <w:rPr>
          <w:rFonts w:eastAsiaTheme="minorEastAsia"/>
          <w:color w:val="auto"/>
        </w:rPr>
      </w:pPr>
      <w:r>
        <w:rPr>
          <w:rFonts w:eastAsiaTheme="minorEastAsia"/>
          <w:color w:val="auto"/>
        </w:rPr>
        <w:t xml:space="preserve">  拟建建筑的安全距离应满足：</w:t>
      </w:r>
    </w:p>
    <w:p>
      <w:pPr>
        <w:pStyle w:val="276"/>
        <w:spacing w:line="360" w:lineRule="auto"/>
        <w:rPr>
          <w:rFonts w:eastAsiaTheme="minorEastAsia"/>
          <w:color w:val="auto"/>
        </w:rPr>
      </w:pPr>
      <w:r>
        <w:rPr>
          <w:rFonts w:eastAsiaTheme="minorEastAsia"/>
          <w:color w:val="auto"/>
          <w:position w:val="-28"/>
        </w:rPr>
        <w:object>
          <v:shape id="_x0000_i1037" o:spt="75" type="#_x0000_t75" style="height:36pt;width:136.5pt;" o:ole="t" filled="f" o:preferrelative="t" stroked="f" coordsize="21600,21600">
            <v:path/>
            <v:fill on="f" focussize="0,0"/>
            <v:stroke on="f" joinstyle="miter"/>
            <v:imagedata r:id="rId46" o:title=""/>
            <o:lock v:ext="edit" aspectratio="t"/>
            <w10:wrap type="none"/>
            <w10:anchorlock/>
          </v:shape>
          <o:OLEObject Type="Embed" ProgID="Equation.DSMT4" ShapeID="_x0000_i1037" DrawAspect="Content" ObjectID="_1468075737" r:id="rId45">
            <o:LockedField>false</o:LockedField>
          </o:OLEObject>
        </w:object>
      </w:r>
    </w:p>
    <w:p>
      <w:pPr>
        <w:pStyle w:val="242"/>
        <w:rPr>
          <w:rFonts w:ascii="Times New Roman" w:hAnsi="Times New Roman" w:cs="Times New Roman" w:eastAsiaTheme="minorEastAsia"/>
          <w:color w:val="auto"/>
        </w:rPr>
      </w:pPr>
      <w:bookmarkStart w:id="218" w:name="_Toc440973774"/>
      <w:bookmarkStart w:id="219" w:name="_Toc440973508"/>
      <w:bookmarkStart w:id="220" w:name="_Toc440973138"/>
      <w:r>
        <w:rPr>
          <w:rFonts w:ascii="Times New Roman" w:hAnsi="Times New Roman" w:cs="Times New Roman" w:eastAsiaTheme="minorEastAsia"/>
          <w:color w:val="auto"/>
        </w:rPr>
        <w:t>5.2.5.2保护目标</w:t>
      </w:r>
    </w:p>
    <w:bookmarkEnd w:id="218"/>
    <w:bookmarkEnd w:id="219"/>
    <w:bookmarkEnd w:id="220"/>
    <w:p>
      <w:pPr>
        <w:pStyle w:val="276"/>
        <w:rPr>
          <w:rFonts w:eastAsiaTheme="minorEastAsia"/>
          <w:color w:val="auto"/>
        </w:rPr>
      </w:pPr>
      <w:r>
        <w:rPr>
          <w:rFonts w:eastAsiaTheme="minorEastAsia"/>
          <w:color w:val="auto"/>
        </w:rPr>
        <w:t>采矿区周围村庄。</w:t>
      </w:r>
    </w:p>
    <w:p>
      <w:pPr>
        <w:pStyle w:val="242"/>
        <w:rPr>
          <w:rFonts w:ascii="Times New Roman" w:hAnsi="Times New Roman" w:cs="Times New Roman" w:eastAsiaTheme="minorEastAsia"/>
          <w:color w:val="auto"/>
        </w:rPr>
      </w:pPr>
      <w:r>
        <w:rPr>
          <w:rFonts w:ascii="Times New Roman" w:hAnsi="Times New Roman" w:cs="Times New Roman" w:eastAsiaTheme="minorEastAsia"/>
          <w:color w:val="auto"/>
        </w:rPr>
        <w:t>5.2.5.3爆破振动影响分析预测</w:t>
      </w:r>
    </w:p>
    <w:p>
      <w:pPr>
        <w:pStyle w:val="276"/>
        <w:rPr>
          <w:rFonts w:eastAsiaTheme="minorEastAsia"/>
          <w:color w:val="auto"/>
        </w:rPr>
      </w:pPr>
      <w:r>
        <w:rPr>
          <w:rFonts w:eastAsiaTheme="minorEastAsia"/>
          <w:color w:val="auto"/>
        </w:rPr>
        <w:t>（1）爆破振动的影响距离</w:t>
      </w:r>
    </w:p>
    <w:p>
      <w:pPr>
        <w:pStyle w:val="276"/>
        <w:rPr>
          <w:rFonts w:eastAsiaTheme="minorEastAsia"/>
          <w:color w:val="auto"/>
        </w:rPr>
      </w:pPr>
      <w:r>
        <w:rPr>
          <w:rFonts w:eastAsiaTheme="minorEastAsia"/>
          <w:color w:val="auto"/>
        </w:rPr>
        <w:t>评价按照经常性爆破地面质点安全振动速度安全值，最大一段起爆炸药量按 474kg考虑，计算不同建筑物的爆破安全防护距离，计算结果见表5-2-14。</w:t>
      </w:r>
    </w:p>
    <w:p>
      <w:pPr>
        <w:pStyle w:val="244"/>
        <w:rPr>
          <w:rFonts w:eastAsiaTheme="minorEastAsia"/>
          <w:color w:val="auto"/>
        </w:rPr>
      </w:pPr>
      <w:r>
        <w:rPr>
          <w:rFonts w:eastAsiaTheme="minorEastAsia"/>
          <w:color w:val="auto"/>
        </w:rPr>
        <w:t>表5-2-14  不同建筑物爆破安全防护距离</w:t>
      </w:r>
    </w:p>
    <w:tbl>
      <w:tblPr>
        <w:tblStyle w:val="53"/>
        <w:tblW w:w="8522"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166"/>
        <w:gridCol w:w="535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trPr>
        <w:tc>
          <w:tcPr>
            <w:tcW w:w="3166" w:type="dxa"/>
            <w:vAlign w:val="center"/>
          </w:tcPr>
          <w:p>
            <w:pPr>
              <w:pStyle w:val="246"/>
              <w:rPr>
                <w:rFonts w:eastAsiaTheme="minorEastAsia"/>
                <w:color w:val="auto"/>
              </w:rPr>
            </w:pPr>
            <w:r>
              <w:rPr>
                <w:rFonts w:eastAsiaTheme="minorEastAsia"/>
                <w:color w:val="auto"/>
              </w:rPr>
              <w:t>建（构）筑物类别</w:t>
            </w:r>
          </w:p>
        </w:tc>
        <w:tc>
          <w:tcPr>
            <w:tcW w:w="5356" w:type="dxa"/>
            <w:vAlign w:val="center"/>
          </w:tcPr>
          <w:p>
            <w:pPr>
              <w:pStyle w:val="246"/>
              <w:rPr>
                <w:rFonts w:eastAsiaTheme="minorEastAsia"/>
                <w:color w:val="auto"/>
              </w:rPr>
            </w:pPr>
            <w:r>
              <w:rPr>
                <w:rFonts w:eastAsiaTheme="minorEastAsia"/>
                <w:color w:val="auto"/>
              </w:rPr>
              <w:t>安全防护距离（m）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trPr>
        <w:tc>
          <w:tcPr>
            <w:tcW w:w="3166" w:type="dxa"/>
            <w:vAlign w:val="center"/>
          </w:tcPr>
          <w:p>
            <w:pPr>
              <w:pStyle w:val="246"/>
              <w:rPr>
                <w:rFonts w:eastAsiaTheme="minorEastAsia"/>
                <w:color w:val="auto"/>
              </w:rPr>
            </w:pPr>
            <w:r>
              <w:rPr>
                <w:rFonts w:eastAsiaTheme="minorEastAsia"/>
                <w:color w:val="auto"/>
              </w:rPr>
              <w:t>土窑洞、土坯房屋、毛石房屋</w:t>
            </w:r>
          </w:p>
        </w:tc>
        <w:tc>
          <w:tcPr>
            <w:tcW w:w="5356" w:type="dxa"/>
            <w:vAlign w:val="center"/>
          </w:tcPr>
          <w:p>
            <w:pPr>
              <w:pStyle w:val="246"/>
              <w:rPr>
                <w:rFonts w:eastAsiaTheme="minorEastAsia"/>
                <w:color w:val="auto"/>
              </w:rPr>
            </w:pPr>
            <w:r>
              <w:rPr>
                <w:rFonts w:eastAsiaTheme="minorEastAsia"/>
                <w:color w:val="auto"/>
              </w:rPr>
              <w:t>220.1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trPr>
        <w:tc>
          <w:tcPr>
            <w:tcW w:w="3166" w:type="dxa"/>
            <w:vAlign w:val="center"/>
          </w:tcPr>
          <w:p>
            <w:pPr>
              <w:pStyle w:val="246"/>
              <w:rPr>
                <w:rFonts w:eastAsiaTheme="minorEastAsia"/>
                <w:color w:val="auto"/>
              </w:rPr>
            </w:pPr>
            <w:r>
              <w:rPr>
                <w:rFonts w:eastAsiaTheme="minorEastAsia"/>
                <w:color w:val="auto"/>
              </w:rPr>
              <w:t>一般砖房、非抗震大型砌块建筑</w:t>
            </w:r>
          </w:p>
        </w:tc>
        <w:tc>
          <w:tcPr>
            <w:tcW w:w="5356" w:type="dxa"/>
            <w:vAlign w:val="center"/>
          </w:tcPr>
          <w:p>
            <w:pPr>
              <w:pStyle w:val="246"/>
              <w:rPr>
                <w:rFonts w:eastAsiaTheme="minorEastAsia"/>
                <w:color w:val="auto"/>
              </w:rPr>
            </w:pPr>
            <w:r>
              <w:rPr>
                <w:rFonts w:eastAsiaTheme="minorEastAsia"/>
                <w:color w:val="auto"/>
              </w:rPr>
              <w:t>105.8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trPr>
        <w:tc>
          <w:tcPr>
            <w:tcW w:w="3166" w:type="dxa"/>
            <w:vAlign w:val="center"/>
          </w:tcPr>
          <w:p>
            <w:pPr>
              <w:pStyle w:val="246"/>
              <w:rPr>
                <w:rFonts w:eastAsiaTheme="minorEastAsia"/>
                <w:color w:val="auto"/>
              </w:rPr>
            </w:pPr>
            <w:r>
              <w:rPr>
                <w:rFonts w:eastAsiaTheme="minorEastAsia"/>
                <w:color w:val="auto"/>
              </w:rPr>
              <w:t>钢筋混凝土框架房屋</w:t>
            </w:r>
          </w:p>
        </w:tc>
        <w:tc>
          <w:tcPr>
            <w:tcW w:w="5356" w:type="dxa"/>
            <w:vAlign w:val="center"/>
          </w:tcPr>
          <w:p>
            <w:pPr>
              <w:pStyle w:val="246"/>
              <w:rPr>
                <w:rFonts w:eastAsiaTheme="minorEastAsia"/>
                <w:color w:val="auto"/>
              </w:rPr>
            </w:pPr>
            <w:r>
              <w:rPr>
                <w:rFonts w:eastAsiaTheme="minorEastAsia"/>
                <w:color w:val="auto"/>
              </w:rPr>
              <w:t>75.3</w:t>
            </w:r>
          </w:p>
        </w:tc>
      </w:tr>
    </w:tbl>
    <w:p>
      <w:pPr>
        <w:pStyle w:val="192"/>
        <w:adjustRightInd/>
        <w:spacing w:line="240" w:lineRule="auto"/>
        <w:rPr>
          <w:rFonts w:hint="default" w:ascii="Times New Roman" w:hAnsi="Times New Roman" w:eastAsiaTheme="minorEastAsia"/>
          <w:b/>
          <w:color w:val="auto"/>
          <w:sz w:val="21"/>
          <w:szCs w:val="21"/>
        </w:rPr>
      </w:pPr>
      <w:r>
        <w:rPr>
          <w:rFonts w:hint="default" w:ascii="Times New Roman" w:hAnsi="Times New Roman" w:eastAsiaTheme="minorEastAsia"/>
          <w:b/>
          <w:color w:val="auto"/>
          <w:sz w:val="21"/>
          <w:szCs w:val="21"/>
        </w:rPr>
        <w:t>注：表中安全防护距离自矿坑内的最近爆源算起。</w:t>
      </w:r>
    </w:p>
    <w:p>
      <w:pPr>
        <w:pStyle w:val="276"/>
        <w:rPr>
          <w:rFonts w:eastAsiaTheme="minorEastAsia"/>
          <w:color w:val="auto"/>
        </w:rPr>
      </w:pPr>
      <w:r>
        <w:rPr>
          <w:rFonts w:eastAsiaTheme="minorEastAsia"/>
          <w:color w:val="auto"/>
        </w:rPr>
        <w:t>（2）爆破对周围村庄建筑物及环境的影响分析</w:t>
      </w:r>
    </w:p>
    <w:p>
      <w:pPr>
        <w:pStyle w:val="276"/>
        <w:rPr>
          <w:rFonts w:eastAsiaTheme="minorEastAsia"/>
          <w:color w:val="auto"/>
        </w:rPr>
      </w:pPr>
      <w:r>
        <w:rPr>
          <w:rFonts w:eastAsiaTheme="minorEastAsia"/>
          <w:color w:val="auto"/>
        </w:rPr>
        <w:t>本项目属于间歇式爆破振动，最大爆破采取多段微差起爆，且装药量较小。经预测评价，本项目最大安全距离为220.1m，按《爆破安全规程》计算的安全距离小于深孔爆破个别飞散物对人员的安全允许距离时，不应小于300m，爆破区安全警戒范围界选取为300m。由于本项目采矿区中爆破区域距最近村屯</w:t>
      </w:r>
      <w:r>
        <w:rPr>
          <w:rFonts w:hint="eastAsia" w:eastAsiaTheme="minorEastAsia"/>
          <w:color w:val="auto"/>
          <w:lang w:eastAsia="zh-CN"/>
        </w:rPr>
        <w:t>新华村</w:t>
      </w:r>
      <w:r>
        <w:rPr>
          <w:rFonts w:hint="eastAsia" w:eastAsiaTheme="minorEastAsia"/>
          <w:color w:val="auto"/>
          <w:lang w:val="en-US" w:eastAsia="zh-CN"/>
        </w:rPr>
        <w:t>450</w:t>
      </w:r>
      <w:r>
        <w:rPr>
          <w:rFonts w:eastAsiaTheme="minorEastAsia"/>
          <w:color w:val="auto"/>
        </w:rPr>
        <w:t>m，其距离大于最大安全距离，因此爆破对周围村庄建筑物及居民的影响较小。</w:t>
      </w:r>
    </w:p>
    <w:p>
      <w:pPr>
        <w:pStyle w:val="240"/>
        <w:rPr>
          <w:rFonts w:ascii="Times New Roman" w:hAnsi="Times New Roman" w:cs="Times New Roman" w:eastAsiaTheme="minorEastAsia"/>
          <w:color w:val="auto"/>
        </w:rPr>
      </w:pPr>
      <w:bookmarkStart w:id="221" w:name="_Toc440973776"/>
      <w:bookmarkStart w:id="222" w:name="_Toc438124544"/>
      <w:bookmarkStart w:id="223" w:name="_Toc440973510"/>
      <w:r>
        <w:rPr>
          <w:rFonts w:ascii="Times New Roman" w:hAnsi="Times New Roman" w:cs="Times New Roman" w:eastAsiaTheme="minorEastAsia"/>
          <w:color w:val="auto"/>
        </w:rPr>
        <w:t>5.2.6固体废物环境影响分析</w:t>
      </w:r>
    </w:p>
    <w:bookmarkEnd w:id="221"/>
    <w:bookmarkEnd w:id="222"/>
    <w:bookmarkEnd w:id="223"/>
    <w:p>
      <w:pPr>
        <w:autoSpaceDE w:val="0"/>
        <w:autoSpaceDN w:val="0"/>
        <w:adjustRightInd w:val="0"/>
        <w:spacing w:line="500" w:lineRule="exact"/>
        <w:ind w:firstLine="480" w:firstLineChars="200"/>
        <w:jc w:val="left"/>
        <w:rPr>
          <w:rFonts w:eastAsiaTheme="minorEastAsia"/>
          <w:color w:val="auto"/>
          <w:kern w:val="0"/>
          <w:szCs w:val="24"/>
        </w:rPr>
      </w:pPr>
      <w:r>
        <w:rPr>
          <w:rFonts w:eastAsiaTheme="minorEastAsia"/>
          <w:color w:val="auto"/>
          <w:kern w:val="0"/>
          <w:szCs w:val="24"/>
        </w:rPr>
        <w:t xml:space="preserve">本项目固体废物主要产生在剥离时的土岩、炸药包装物、职工生活垃圾、除尘器收集到的粉尘、筛分下来的石粉及设备废机油。 </w:t>
      </w:r>
    </w:p>
    <w:p>
      <w:pPr>
        <w:pStyle w:val="276"/>
        <w:jc w:val="both"/>
        <w:rPr>
          <w:rFonts w:hint="eastAsia" w:eastAsiaTheme="minorEastAsia"/>
          <w:color w:val="auto"/>
          <w:lang w:eastAsia="zh-CN"/>
        </w:rPr>
      </w:pPr>
      <w:r>
        <w:rPr>
          <w:rFonts w:eastAsiaTheme="minorEastAsia"/>
          <w:color w:val="auto"/>
        </w:rPr>
        <w:t>本项目职工产生的生活垃圾量很少，生活垃圾产生量为1.2t/a，经集中收集后由当地环卫部门统</w:t>
      </w:r>
      <w:r>
        <w:rPr>
          <w:rFonts w:eastAsiaTheme="minorEastAsia"/>
          <w:color w:val="auto"/>
          <w:sz w:val="24"/>
          <w:szCs w:val="24"/>
        </w:rPr>
        <w:t>一处理。不会对环境产生不利的影响</w:t>
      </w:r>
      <w:r>
        <w:rPr>
          <w:rFonts w:hint="eastAsia" w:eastAsiaTheme="minorEastAsia"/>
          <w:color w:val="auto"/>
          <w:sz w:val="24"/>
          <w:szCs w:val="24"/>
          <w:lang w:eastAsia="zh-CN"/>
        </w:rPr>
        <w:t>。</w:t>
      </w:r>
    </w:p>
    <w:p>
      <w:pPr>
        <w:pStyle w:val="276"/>
        <w:jc w:val="both"/>
        <w:rPr>
          <w:rFonts w:eastAsiaTheme="minorEastAsia"/>
          <w:color w:val="auto"/>
        </w:rPr>
      </w:pPr>
      <w:r>
        <w:rPr>
          <w:rFonts w:eastAsiaTheme="minorEastAsia"/>
          <w:color w:val="auto"/>
        </w:rPr>
        <w:t>本项目剥离的土岩暂存于临时堆土场，定期外售。土岩产生</w:t>
      </w:r>
      <w:r>
        <w:rPr>
          <w:rFonts w:hint="eastAsia" w:eastAsiaTheme="minorEastAsia"/>
          <w:color w:val="auto"/>
          <w:lang w:eastAsia="zh-CN"/>
        </w:rPr>
        <w:t>3.87</w:t>
      </w:r>
      <w:r>
        <w:rPr>
          <w:rFonts w:eastAsiaTheme="minorEastAsia"/>
          <w:color w:val="auto"/>
        </w:rPr>
        <w:t>m</w:t>
      </w:r>
      <w:r>
        <w:rPr>
          <w:rFonts w:eastAsiaTheme="minorEastAsia"/>
          <w:color w:val="auto"/>
          <w:vertAlign w:val="superscript"/>
        </w:rPr>
        <w:t>3</w:t>
      </w:r>
      <w:r>
        <w:rPr>
          <w:rFonts w:eastAsiaTheme="minorEastAsia"/>
          <w:color w:val="auto"/>
        </w:rPr>
        <w:t>/d，</w:t>
      </w:r>
      <w:r>
        <w:rPr>
          <w:rFonts w:hint="eastAsia" w:eastAsiaTheme="minorEastAsia"/>
          <w:color w:val="auto"/>
          <w:lang w:eastAsia="zh-CN"/>
        </w:rPr>
        <w:t>9</w:t>
      </w:r>
      <w:r>
        <w:rPr>
          <w:rFonts w:hint="eastAsia" w:eastAsiaTheme="minorEastAsia"/>
          <w:color w:val="auto"/>
          <w:lang w:val="en-US" w:eastAsia="zh-CN"/>
        </w:rPr>
        <w:t>29</w:t>
      </w:r>
      <w:r>
        <w:rPr>
          <w:rFonts w:eastAsiaTheme="minorEastAsia"/>
          <w:color w:val="auto"/>
        </w:rPr>
        <w:t>m</w:t>
      </w:r>
      <w:r>
        <w:rPr>
          <w:rFonts w:eastAsiaTheme="minorEastAsia"/>
          <w:color w:val="auto"/>
          <w:vertAlign w:val="superscript"/>
        </w:rPr>
        <w:t>3</w:t>
      </w:r>
      <w:r>
        <w:rPr>
          <w:rFonts w:eastAsiaTheme="minorEastAsia"/>
          <w:color w:val="auto"/>
        </w:rPr>
        <w:t>/a，</w:t>
      </w:r>
      <w:r>
        <w:rPr>
          <w:rFonts w:hint="eastAsia" w:eastAsiaTheme="minorEastAsia"/>
          <w:color w:val="auto"/>
          <w:lang w:eastAsia="zh-CN"/>
        </w:rPr>
        <w:t>每</w:t>
      </w:r>
      <w:r>
        <w:rPr>
          <w:rFonts w:hint="eastAsia" w:eastAsiaTheme="minorEastAsia"/>
          <w:color w:val="auto"/>
          <w:lang w:val="en-US" w:eastAsia="zh-CN"/>
        </w:rPr>
        <w:t>10天运输1次，因此，</w:t>
      </w:r>
      <w:r>
        <w:rPr>
          <w:rFonts w:eastAsiaTheme="minorEastAsia"/>
          <w:color w:val="auto"/>
        </w:rPr>
        <w:t>临时堆土场</w:t>
      </w:r>
      <w:r>
        <w:rPr>
          <w:rFonts w:hint="eastAsia" w:eastAsiaTheme="minorEastAsia"/>
          <w:color w:val="auto"/>
          <w:lang w:eastAsia="zh-CN"/>
        </w:rPr>
        <w:t>设计</w:t>
      </w:r>
      <w:r>
        <w:rPr>
          <w:rFonts w:eastAsiaTheme="minorEastAsia"/>
          <w:color w:val="auto"/>
        </w:rPr>
        <w:t>容积</w:t>
      </w:r>
      <w:r>
        <w:rPr>
          <w:rFonts w:hint="eastAsia" w:eastAsiaTheme="minorEastAsia"/>
          <w:color w:val="auto"/>
          <w:lang w:val="en-US" w:eastAsia="zh-CN"/>
        </w:rPr>
        <w:t>38.7</w:t>
      </w:r>
      <w:r>
        <w:rPr>
          <w:rFonts w:eastAsiaTheme="minorEastAsia"/>
          <w:color w:val="auto"/>
        </w:rPr>
        <w:t>m</w:t>
      </w:r>
      <w:r>
        <w:rPr>
          <w:rFonts w:eastAsiaTheme="minorEastAsia"/>
          <w:color w:val="auto"/>
          <w:vertAlign w:val="superscript"/>
        </w:rPr>
        <w:t>3</w:t>
      </w:r>
      <w:r>
        <w:rPr>
          <w:rFonts w:eastAsiaTheme="minorEastAsia"/>
          <w:color w:val="auto"/>
        </w:rPr>
        <w:t>，堆高3m，占地面积</w:t>
      </w:r>
      <w:r>
        <w:rPr>
          <w:rFonts w:hint="eastAsia" w:eastAsiaTheme="minorEastAsia"/>
          <w:color w:val="auto"/>
          <w:lang w:val="en-US" w:eastAsia="zh-CN"/>
        </w:rPr>
        <w:t>40</w:t>
      </w:r>
      <w:r>
        <w:rPr>
          <w:rFonts w:eastAsiaTheme="minorEastAsia"/>
          <w:color w:val="auto"/>
        </w:rPr>
        <w:t>m</w:t>
      </w:r>
      <w:r>
        <w:rPr>
          <w:rFonts w:eastAsiaTheme="minorEastAsia"/>
          <w:color w:val="auto"/>
          <w:vertAlign w:val="superscript"/>
        </w:rPr>
        <w:t>2</w:t>
      </w:r>
      <w:r>
        <w:rPr>
          <w:rFonts w:eastAsiaTheme="minorEastAsia"/>
          <w:color w:val="auto"/>
        </w:rPr>
        <w:t>，</w:t>
      </w:r>
      <w:r>
        <w:rPr>
          <w:rFonts w:hint="eastAsia" w:eastAsiaTheme="minorEastAsia"/>
          <w:color w:val="auto"/>
          <w:lang w:eastAsia="zh-CN"/>
        </w:rPr>
        <w:t>能够</w:t>
      </w:r>
      <w:r>
        <w:rPr>
          <w:rFonts w:eastAsiaTheme="minorEastAsia"/>
          <w:color w:val="auto"/>
        </w:rPr>
        <w:t>满足项目需求。临时堆土场土堆坡度为1：1.5，底部采用砌石挡土墙，并在挡土墙边设排水沟。</w:t>
      </w:r>
    </w:p>
    <w:p>
      <w:pPr>
        <w:pStyle w:val="276"/>
        <w:rPr>
          <w:rFonts w:eastAsiaTheme="minorEastAsia"/>
          <w:color w:val="auto"/>
        </w:rPr>
      </w:pPr>
      <w:r>
        <w:rPr>
          <w:rFonts w:eastAsiaTheme="minorEastAsia"/>
          <w:color w:val="auto"/>
        </w:rPr>
        <w:t>炸药包装物主要是板纸和塑料袋，产生量0.4t/a（1kg/箱炸药×20箱/次×20次），包装物统一收集，由爆破部门统一回收利用。</w:t>
      </w:r>
    </w:p>
    <w:p>
      <w:pPr>
        <w:pStyle w:val="276"/>
        <w:jc w:val="both"/>
        <w:rPr>
          <w:rFonts w:eastAsiaTheme="minorEastAsia"/>
          <w:color w:val="auto"/>
        </w:rPr>
      </w:pPr>
      <w:r>
        <w:rPr>
          <w:rFonts w:eastAsiaTheme="minorEastAsia"/>
          <w:color w:val="auto"/>
        </w:rPr>
        <w:t>布袋除尘器收集的粉尘量约为</w:t>
      </w:r>
      <w:r>
        <w:rPr>
          <w:rFonts w:hint="eastAsia" w:eastAsiaTheme="minorEastAsia"/>
          <w:color w:val="auto"/>
          <w:lang w:eastAsia="zh-CN"/>
        </w:rPr>
        <w:t>7.4t/a</w:t>
      </w:r>
      <w:r>
        <w:rPr>
          <w:rFonts w:eastAsiaTheme="minorEastAsia"/>
          <w:color w:val="auto"/>
        </w:rPr>
        <w:t>，</w:t>
      </w:r>
      <w:r>
        <w:rPr>
          <w:rFonts w:hint="eastAsia" w:eastAsiaTheme="minorEastAsia"/>
          <w:color w:val="auto"/>
          <w:lang w:eastAsia="zh-CN"/>
        </w:rPr>
        <w:t>0.031t/d</w:t>
      </w:r>
      <w:r>
        <w:rPr>
          <w:rFonts w:eastAsiaTheme="minorEastAsia"/>
          <w:color w:val="auto"/>
        </w:rPr>
        <w:t>，筛分下来石粉约</w:t>
      </w:r>
      <w:r>
        <w:rPr>
          <w:rFonts w:hint="eastAsia" w:eastAsiaTheme="minorEastAsia"/>
          <w:color w:val="auto"/>
          <w:lang w:eastAsia="zh-CN"/>
        </w:rPr>
        <w:t>101</w:t>
      </w:r>
      <w:r>
        <w:rPr>
          <w:rFonts w:eastAsiaTheme="minorEastAsia"/>
          <w:color w:val="auto"/>
        </w:rPr>
        <w:t>t/a，集中收集至新建的</w:t>
      </w:r>
      <w:r>
        <w:rPr>
          <w:rFonts w:hint="eastAsia" w:eastAsiaTheme="minorEastAsia"/>
          <w:color w:val="auto"/>
          <w:lang w:val="en-US" w:eastAsia="zh-CN"/>
        </w:rPr>
        <w:t>3</w:t>
      </w:r>
      <w:r>
        <w:rPr>
          <w:rFonts w:eastAsiaTheme="minorEastAsia"/>
          <w:color w:val="auto"/>
        </w:rPr>
        <w:t>0t全封闭石粉仓中储存，可满足</w:t>
      </w:r>
      <w:r>
        <w:rPr>
          <w:rFonts w:hint="eastAsia" w:eastAsiaTheme="minorEastAsia"/>
          <w:color w:val="auto"/>
          <w:lang w:val="en-US" w:eastAsia="zh-CN"/>
        </w:rPr>
        <w:t>60天</w:t>
      </w:r>
      <w:r>
        <w:rPr>
          <w:rFonts w:eastAsiaTheme="minorEastAsia"/>
          <w:color w:val="auto"/>
        </w:rPr>
        <w:t>的石粉储量，每</w:t>
      </w:r>
      <w:r>
        <w:rPr>
          <w:rFonts w:hint="eastAsia" w:eastAsiaTheme="minorEastAsia"/>
          <w:color w:val="auto"/>
          <w:lang w:val="en-US" w:eastAsia="zh-CN"/>
        </w:rPr>
        <w:t>60天</w:t>
      </w:r>
      <w:r>
        <w:rPr>
          <w:rFonts w:eastAsiaTheme="minorEastAsia"/>
          <w:color w:val="auto"/>
        </w:rPr>
        <w:t>周转外卖一次。</w:t>
      </w:r>
    </w:p>
    <w:p>
      <w:pPr>
        <w:pStyle w:val="276"/>
        <w:jc w:val="both"/>
        <w:rPr>
          <w:rFonts w:eastAsiaTheme="minorEastAsia"/>
          <w:color w:val="auto"/>
        </w:rPr>
      </w:pPr>
      <w:r>
        <w:rPr>
          <w:rFonts w:eastAsiaTheme="minorEastAsia"/>
          <w:color w:val="auto"/>
        </w:rPr>
        <w:t>机械设备定期更换废机油0.5t/a，废机油属于危险废物（HW08），应单独收集，用设明显标识的密闭桶盛装，暂存于危废暂存间，其地面采用高密度聚乙烯土工膜（HDPE）进行防渗，其渗透系数不大于1.0×10</w:t>
      </w:r>
      <w:r>
        <w:rPr>
          <w:rFonts w:eastAsiaTheme="minorEastAsia"/>
          <w:color w:val="auto"/>
          <w:vertAlign w:val="superscript"/>
        </w:rPr>
        <w:t>-10</w:t>
      </w:r>
      <w:r>
        <w:rPr>
          <w:rFonts w:eastAsiaTheme="minorEastAsia"/>
          <w:color w:val="auto"/>
        </w:rPr>
        <w:t>cm/s，厚度不小于1.5mm。HDPE材料必须是优质品，禁止使用再生产品。交由有资质单位处置。</w:t>
      </w:r>
    </w:p>
    <w:p>
      <w:pPr>
        <w:pStyle w:val="276"/>
        <w:jc w:val="both"/>
        <w:rPr>
          <w:rFonts w:eastAsiaTheme="minorEastAsia"/>
          <w:color w:val="auto"/>
        </w:rPr>
      </w:pPr>
      <w:r>
        <w:rPr>
          <w:rFonts w:eastAsiaTheme="minorEastAsia"/>
          <w:color w:val="auto"/>
        </w:rPr>
        <w:t>本项目将设备维修保养产生的废机油进行回收，废机油应采用容器贮存，并</w:t>
      </w:r>
    </w:p>
    <w:p>
      <w:pPr>
        <w:pStyle w:val="276"/>
        <w:ind w:firstLine="0" w:firstLineChars="0"/>
        <w:jc w:val="both"/>
        <w:rPr>
          <w:rFonts w:eastAsiaTheme="minorEastAsia"/>
          <w:color w:val="auto"/>
        </w:rPr>
      </w:pPr>
      <w:r>
        <w:rPr>
          <w:rFonts w:eastAsiaTheme="minorEastAsia"/>
          <w:color w:val="auto"/>
        </w:rPr>
        <w:t>配置消防设施；产生的危险废物暂存于危险废物暂存间内，定期由具有相应资质单位进行处理处置，并严格执行危险废物转移联单制度，在危险废物转移前三日内报告移出地环境保护行政主管部门，并同时将预期到达时间报告接受地环境保护行政主管部门；废机油采用容器贮存，每存满一桶就委托有资质的危废处置单位清运处理，杜绝长时间存放现象。危险废物必须装入合适的危废储存容器内并分区放置。应由专人负责危险废物贮存设施的运行和管理，做好危废产生及贮存记录，并正确粘贴标签，定期对危废贮存设施进行检查。设立警示标志，只允许专门人员进入危废贮存区；各种危险废物在厂区内的贮存时间不得超过一年。</w:t>
      </w:r>
    </w:p>
    <w:p>
      <w:pPr>
        <w:pStyle w:val="276"/>
        <w:jc w:val="both"/>
        <w:rPr>
          <w:rFonts w:eastAsiaTheme="minorEastAsia"/>
          <w:color w:val="auto"/>
        </w:rPr>
      </w:pPr>
      <w:r>
        <w:rPr>
          <w:rFonts w:eastAsiaTheme="minorEastAsia"/>
          <w:color w:val="auto"/>
        </w:rPr>
        <w:t>危废暂存库房严格按照《危险废物贮存污染控制标准》(GB18597-2001）及2013修改单中相关规定进行设置。具体见表5-2-15。</w:t>
      </w:r>
    </w:p>
    <w:p>
      <w:pPr>
        <w:pStyle w:val="276"/>
        <w:jc w:val="center"/>
        <w:rPr>
          <w:rFonts w:eastAsiaTheme="minorEastAsia"/>
          <w:color w:val="auto"/>
        </w:rPr>
      </w:pPr>
      <w:r>
        <w:rPr>
          <w:rFonts w:eastAsiaTheme="minorEastAsia"/>
          <w:color w:val="auto"/>
        </w:rPr>
        <w:t>5-2-15危险储存容积、储存间设计要求一览表</w:t>
      </w:r>
    </w:p>
    <w:tbl>
      <w:tblPr>
        <w:tblStyle w:val="54"/>
        <w:tblW w:w="8302" w:type="dxa"/>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2122"/>
        <w:gridCol w:w="6180"/>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c>
          <w:tcPr>
            <w:tcW w:w="2122" w:type="dxa"/>
            <w:vAlign w:val="center"/>
          </w:tcPr>
          <w:p>
            <w:pPr>
              <w:pStyle w:val="276"/>
              <w:adjustRightInd w:val="0"/>
              <w:snapToGrid w:val="0"/>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储存容积、储存间</w:t>
            </w:r>
          </w:p>
        </w:tc>
        <w:tc>
          <w:tcPr>
            <w:tcW w:w="6180" w:type="dxa"/>
            <w:vAlign w:val="center"/>
          </w:tcPr>
          <w:p>
            <w:pPr>
              <w:pStyle w:val="276"/>
              <w:adjustRightInd w:val="0"/>
              <w:snapToGrid w:val="0"/>
              <w:spacing w:line="240" w:lineRule="auto"/>
              <w:ind w:firstLine="0" w:firstLineChars="0"/>
              <w:jc w:val="center"/>
              <w:rPr>
                <w:rFonts w:ascii="Times New Roman" w:hAnsi="Times New Roman" w:eastAsiaTheme="minorEastAsia"/>
                <w:color w:val="auto"/>
                <w:sz w:val="21"/>
                <w:szCs w:val="21"/>
              </w:rPr>
            </w:pPr>
            <w:r>
              <w:rPr>
                <w:rFonts w:ascii="Times New Roman" w:hAnsi="Times New Roman" w:eastAsiaTheme="minorEastAsia"/>
                <w:color w:val="auto"/>
                <w:sz w:val="21"/>
                <w:szCs w:val="21"/>
              </w:rPr>
              <w:t>设计要求</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c>
          <w:tcPr>
            <w:tcW w:w="2122" w:type="dxa"/>
            <w:vAlign w:val="center"/>
          </w:tcPr>
          <w:p>
            <w:pPr>
              <w:pStyle w:val="55"/>
              <w:snapToGrid w:val="0"/>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废机油集桶要求</w:t>
            </w:r>
          </w:p>
          <w:p>
            <w:pPr>
              <w:pStyle w:val="276"/>
              <w:adjustRightInd w:val="0"/>
              <w:snapToGrid w:val="0"/>
              <w:spacing w:line="240" w:lineRule="auto"/>
              <w:ind w:firstLine="0" w:firstLineChars="0"/>
              <w:jc w:val="center"/>
              <w:rPr>
                <w:rFonts w:ascii="Times New Roman" w:hAnsi="Times New Roman" w:eastAsiaTheme="minorEastAsia"/>
                <w:color w:val="auto"/>
              </w:rPr>
            </w:pPr>
          </w:p>
        </w:tc>
        <w:tc>
          <w:tcPr>
            <w:tcW w:w="6180" w:type="dxa"/>
            <w:vAlign w:val="center"/>
          </w:tcPr>
          <w:p>
            <w:pPr>
              <w:pStyle w:val="55"/>
              <w:snapToGrid w:val="0"/>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·项目废机油收集桶需采用符合标准(密封性等)的专用收集桶。</w:t>
            </w:r>
          </w:p>
          <w:p>
            <w:pPr>
              <w:pStyle w:val="55"/>
              <w:snapToGrid w:val="0"/>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·收集桶及材质要满足相应(抗震、抗压等)强度需求。</w:t>
            </w:r>
          </w:p>
          <w:p>
            <w:pPr>
              <w:pStyle w:val="55"/>
              <w:snapToGrid w:val="0"/>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·收集桶必须完好无损桶内容器材质与要与废机油相容(相容指不相互反应，下同)。</w:t>
            </w:r>
          </w:p>
          <w:p>
            <w:pPr>
              <w:pStyle w:val="55"/>
              <w:snapToGrid w:val="0"/>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·各收集桶均为封闭收集。</w:t>
            </w:r>
          </w:p>
          <w:p>
            <w:pPr>
              <w:pStyle w:val="55"/>
              <w:snapToGrid w:val="0"/>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·收集桶内顶部与废机油表面之间保留 100mm 以上空间。</w:t>
            </w:r>
          </w:p>
          <w:p>
            <w:pPr>
              <w:pStyle w:val="55"/>
              <w:snapToGrid w:val="0"/>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收集桶外必须贴上危险废物标签。</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c>
          <w:tcPr>
            <w:tcW w:w="2122" w:type="dxa"/>
            <w:vAlign w:val="center"/>
          </w:tcPr>
          <w:p>
            <w:pPr>
              <w:pStyle w:val="55"/>
              <w:snapToGrid w:val="0"/>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危险废物暂存间要求</w:t>
            </w:r>
          </w:p>
          <w:p>
            <w:pPr>
              <w:pStyle w:val="276"/>
              <w:adjustRightInd w:val="0"/>
              <w:snapToGrid w:val="0"/>
              <w:spacing w:line="240" w:lineRule="auto"/>
              <w:ind w:firstLine="0" w:firstLineChars="0"/>
              <w:jc w:val="center"/>
              <w:rPr>
                <w:rFonts w:ascii="Times New Roman" w:hAnsi="Times New Roman" w:eastAsiaTheme="minorEastAsia"/>
                <w:color w:val="auto"/>
              </w:rPr>
            </w:pPr>
          </w:p>
        </w:tc>
        <w:tc>
          <w:tcPr>
            <w:tcW w:w="6180" w:type="dxa"/>
            <w:vAlign w:val="center"/>
          </w:tcPr>
          <w:p>
            <w:pPr>
              <w:pStyle w:val="55"/>
              <w:snapToGrid w:val="0"/>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·危险废物暂存间必须设置避雷设备。</w:t>
            </w:r>
          </w:p>
          <w:p>
            <w:pPr>
              <w:pStyle w:val="55"/>
              <w:snapToGrid w:val="0"/>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·废机油收集桶储存室应设置在阴凉通风处，避免日光直接 照射，库温控制在 30</w:t>
            </w:r>
            <w:r>
              <w:rPr>
                <w:rFonts w:hint="eastAsia" w:hAnsi="宋体"/>
                <w:color w:val="auto"/>
                <w:sz w:val="21"/>
                <w:szCs w:val="21"/>
              </w:rPr>
              <w:t>℃</w:t>
            </w:r>
            <w:r>
              <w:rPr>
                <w:rFonts w:ascii="Times New Roman" w:hAnsi="Times New Roman" w:cs="Times New Roman" w:eastAsiaTheme="minorEastAsia"/>
                <w:color w:val="auto"/>
                <w:sz w:val="21"/>
                <w:szCs w:val="21"/>
              </w:rPr>
              <w:t>以下为宜。</w:t>
            </w:r>
          </w:p>
          <w:p>
            <w:pPr>
              <w:pStyle w:val="55"/>
              <w:snapToGrid w:val="0"/>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·危险废物暂存间地面与裙脚要用坚固、防渗材料制造，建筑材料必须与机油、汽油、柴油相容。</w:t>
            </w:r>
          </w:p>
          <w:p>
            <w:pPr>
              <w:pStyle w:val="55"/>
              <w:snapToGrid w:val="0"/>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·危险废物暂存间需要设置照明措施和观察口。</w:t>
            </w:r>
          </w:p>
          <w:p>
            <w:pPr>
              <w:pStyle w:val="276"/>
              <w:adjustRightInd w:val="0"/>
              <w:snapToGrid w:val="0"/>
              <w:spacing w:line="240" w:lineRule="auto"/>
              <w:ind w:firstLine="0" w:firstLineChars="0"/>
              <w:jc w:val="center"/>
              <w:rPr>
                <w:rFonts w:ascii="Times New Roman" w:hAnsi="Times New Roman" w:eastAsiaTheme="minorEastAsia"/>
                <w:color w:val="auto"/>
              </w:rPr>
            </w:pPr>
            <w:r>
              <w:rPr>
                <w:rFonts w:ascii="Times New Roman" w:hAnsi="Times New Roman" w:eastAsiaTheme="minorEastAsia"/>
                <w:color w:val="auto"/>
                <w:sz w:val="21"/>
                <w:szCs w:val="21"/>
              </w:rPr>
              <w:t>·危险废物暂存间地面必须为耐腐蚀的硬化地面，且表面无裂痕。</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c>
          <w:tcPr>
            <w:tcW w:w="2122" w:type="dxa"/>
            <w:vAlign w:val="center"/>
          </w:tcPr>
          <w:p>
            <w:pPr>
              <w:pStyle w:val="55"/>
              <w:snapToGrid w:val="0"/>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危险废物储存措施</w:t>
            </w:r>
          </w:p>
          <w:p>
            <w:pPr>
              <w:pStyle w:val="276"/>
              <w:adjustRightInd w:val="0"/>
              <w:snapToGrid w:val="0"/>
              <w:spacing w:line="240" w:lineRule="auto"/>
              <w:ind w:firstLine="0" w:firstLineChars="0"/>
              <w:jc w:val="center"/>
              <w:rPr>
                <w:rFonts w:ascii="Times New Roman" w:hAnsi="Times New Roman" w:eastAsiaTheme="minorEastAsia"/>
                <w:color w:val="auto"/>
              </w:rPr>
            </w:pPr>
          </w:p>
        </w:tc>
        <w:tc>
          <w:tcPr>
            <w:tcW w:w="6180" w:type="dxa"/>
            <w:vAlign w:val="center"/>
          </w:tcPr>
          <w:p>
            <w:pPr>
              <w:pStyle w:val="55"/>
              <w:snapToGrid w:val="0"/>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厂方应每一次都对回收的废机油进行记录，记录内容包括：名称、来源、数量、特性和收集容器的类别、入室日期、存放地点、废机油出室时</w:t>
            </w:r>
          </w:p>
          <w:p>
            <w:pPr>
              <w:pStyle w:val="55"/>
              <w:snapToGrid w:val="0"/>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间以及回收单位名称。</w:t>
            </w:r>
          </w:p>
          <w:p>
            <w:pPr>
              <w:pStyle w:val="55"/>
              <w:snapToGrid w:val="0"/>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·定期检查各收集桶有无破漏、渗漏和污染，发现破损，应及时采取措施清理更换。</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c>
          <w:tcPr>
            <w:tcW w:w="2122" w:type="dxa"/>
            <w:vAlign w:val="center"/>
          </w:tcPr>
          <w:p>
            <w:pPr>
              <w:pStyle w:val="276"/>
              <w:adjustRightInd w:val="0"/>
              <w:snapToGrid w:val="0"/>
              <w:spacing w:line="240" w:lineRule="auto"/>
              <w:ind w:firstLine="0" w:firstLineChars="0"/>
              <w:jc w:val="center"/>
              <w:rPr>
                <w:rFonts w:ascii="Times New Roman" w:hAnsi="Times New Roman" w:eastAsiaTheme="minorEastAsia"/>
                <w:color w:val="auto"/>
              </w:rPr>
            </w:pPr>
            <w:r>
              <w:rPr>
                <w:rFonts w:ascii="Times New Roman" w:hAnsi="Times New Roman" w:eastAsiaTheme="minorEastAsia"/>
                <w:color w:val="auto"/>
              </w:rPr>
              <w:t>危险废物运行管理措施</w:t>
            </w:r>
          </w:p>
        </w:tc>
        <w:tc>
          <w:tcPr>
            <w:tcW w:w="6180" w:type="dxa"/>
            <w:vAlign w:val="center"/>
          </w:tcPr>
          <w:p>
            <w:pPr>
              <w:pStyle w:val="55"/>
              <w:snapToGrid w:val="0"/>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·废机油收集桶之间必须留有搬运通道。</w:t>
            </w:r>
          </w:p>
          <w:p>
            <w:pPr>
              <w:pStyle w:val="55"/>
              <w:snapToGrid w:val="0"/>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·不同种类废机油不能混合装在同一个收集桶内。</w:t>
            </w:r>
          </w:p>
          <w:p>
            <w:pPr>
              <w:pStyle w:val="55"/>
              <w:snapToGrid w:val="0"/>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·废机油桶必须检验，确保收集桶外标签与储存危废一致。</w:t>
            </w:r>
          </w:p>
          <w:p>
            <w:pPr>
              <w:pStyle w:val="276"/>
              <w:adjustRightInd w:val="0"/>
              <w:snapToGrid w:val="0"/>
              <w:spacing w:line="240" w:lineRule="auto"/>
              <w:ind w:firstLine="0" w:firstLineChars="0"/>
              <w:jc w:val="center"/>
              <w:rPr>
                <w:rFonts w:ascii="Times New Roman" w:hAnsi="Times New Roman" w:eastAsiaTheme="minorEastAsia"/>
                <w:color w:val="auto"/>
              </w:rPr>
            </w:pPr>
            <w:r>
              <w:rPr>
                <w:rFonts w:ascii="Times New Roman" w:hAnsi="Times New Roman" w:eastAsiaTheme="minorEastAsia"/>
                <w:color w:val="auto"/>
                <w:sz w:val="21"/>
                <w:szCs w:val="21"/>
              </w:rPr>
              <w:t>·进入废机油储存间的人员、机动车辆和作业车辆，必须采取防火措施</w:t>
            </w:r>
          </w:p>
        </w:tc>
      </w:tr>
    </w:tbl>
    <w:p>
      <w:pPr>
        <w:pStyle w:val="276"/>
        <w:rPr>
          <w:rFonts w:eastAsiaTheme="minorEastAsia"/>
          <w:color w:val="auto"/>
        </w:rPr>
      </w:pPr>
      <w:r>
        <w:rPr>
          <w:rFonts w:eastAsiaTheme="minorEastAsia"/>
          <w:color w:val="auto"/>
        </w:rPr>
        <w:t>本项目处于平原地区，地质结构稳定，地震烈度划分为</w:t>
      </w:r>
      <w:r>
        <w:rPr>
          <w:rFonts w:hint="eastAsia" w:ascii="宋体" w:hAnsi="宋体" w:cs="宋体"/>
          <w:color w:val="auto"/>
        </w:rPr>
        <w:t>Ⅵ</w:t>
      </w:r>
      <w:r>
        <w:rPr>
          <w:rFonts w:eastAsiaTheme="minorEastAsia"/>
          <w:color w:val="auto"/>
        </w:rPr>
        <w:t xml:space="preserve">度区；危险废物暂存间底部高于地下水最高水位至少3m；不处于溶洞区或易遭受严重自然灾害如洪水、滑坡、泥石流等影响的区域；危险废物暂存间周围无易燃、易爆等危险品仓库，无高压输电线。本项目危险废物暂存间选址满足《危险废物贮存污染控制标准》(GB18597-2001）及2013修改单要求。 </w:t>
      </w:r>
    </w:p>
    <w:p>
      <w:pPr>
        <w:pStyle w:val="276"/>
        <w:rPr>
          <w:rFonts w:eastAsiaTheme="minorEastAsia"/>
          <w:color w:val="auto"/>
        </w:rPr>
      </w:pPr>
      <w:r>
        <w:rPr>
          <w:rFonts w:eastAsiaTheme="minorEastAsia"/>
          <w:color w:val="auto"/>
        </w:rPr>
        <w:t xml:space="preserve">本项目共产生危险废物0.5t/a，存储时间不超过1年，危险废物暂存间可存储危险废物1t，可满足存储要求。 </w:t>
      </w:r>
    </w:p>
    <w:p>
      <w:pPr>
        <w:pStyle w:val="276"/>
        <w:rPr>
          <w:rFonts w:eastAsiaTheme="minorEastAsia"/>
          <w:color w:val="auto"/>
        </w:rPr>
      </w:pPr>
      <w:r>
        <w:rPr>
          <w:rFonts w:eastAsiaTheme="minorEastAsia"/>
          <w:color w:val="auto"/>
        </w:rPr>
        <w:t>综上所述，本项目产生的固体废物在落实报告书提出的治理措施的前提下，均得到了妥善的处理，对外环境的影响较小，可被外环境接受</w:t>
      </w:r>
      <w:r>
        <w:rPr>
          <w:rFonts w:eastAsiaTheme="minorEastAsia"/>
          <w:color w:val="auto"/>
          <w:sz w:val="23"/>
          <w:szCs w:val="23"/>
        </w:rPr>
        <w:t>。</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5.2.7环境风险分析</w:t>
      </w:r>
    </w:p>
    <w:p>
      <w:pPr>
        <w:pStyle w:val="276"/>
        <w:rPr>
          <w:rFonts w:eastAsiaTheme="minorEastAsia"/>
          <w:color w:val="auto"/>
        </w:rPr>
      </w:pPr>
      <w:bookmarkStart w:id="224" w:name="_Toc415397540"/>
      <w:r>
        <w:rPr>
          <w:rFonts w:eastAsiaTheme="minorEastAsia"/>
          <w:color w:val="auto"/>
        </w:rPr>
        <w:t>根据项目的实际情况，通过对项目的危险因素进行识别和分析，可以确定本项目的风险源为岩体坍塌风险、炸药爆炸风险、临时堆土场产生崩塌、滑坡、泥石流等地质灾害风险，废机油泄漏产生的风险等。</w:t>
      </w:r>
    </w:p>
    <w:p>
      <w:pPr>
        <w:pStyle w:val="276"/>
        <w:rPr>
          <w:rFonts w:eastAsiaTheme="minorEastAsia"/>
          <w:color w:val="auto"/>
        </w:rPr>
      </w:pPr>
      <w:r>
        <w:rPr>
          <w:rFonts w:eastAsiaTheme="minorEastAsia"/>
          <w:color w:val="auto"/>
        </w:rPr>
        <w:t>（1）岩体坍塌风险</w:t>
      </w:r>
    </w:p>
    <w:p>
      <w:pPr>
        <w:pStyle w:val="276"/>
        <w:rPr>
          <w:rFonts w:eastAsiaTheme="minorEastAsia"/>
          <w:color w:val="auto"/>
        </w:rPr>
      </w:pPr>
      <w:r>
        <w:rPr>
          <w:rFonts w:eastAsiaTheme="minorEastAsia"/>
          <w:color w:val="auto"/>
        </w:rPr>
        <w:t>矿区露天开采体积达到一定的数量时，又没有及时处理时，可能发生开采区的垮塌、片帮落石坍塌、边坡不稳等事故。</w:t>
      </w:r>
    </w:p>
    <w:p>
      <w:pPr>
        <w:pStyle w:val="276"/>
        <w:rPr>
          <w:rFonts w:eastAsiaTheme="minorEastAsia"/>
          <w:color w:val="auto"/>
        </w:rPr>
      </w:pPr>
      <w:r>
        <w:rPr>
          <w:rFonts w:eastAsiaTheme="minorEastAsia"/>
          <w:color w:val="auto"/>
        </w:rPr>
        <w:t>（2）临时堆土场产生崩塌、滑坡、泥石流等地质灾害</w:t>
      </w:r>
    </w:p>
    <w:p>
      <w:pPr>
        <w:pStyle w:val="276"/>
        <w:rPr>
          <w:rFonts w:eastAsiaTheme="minorEastAsia"/>
          <w:color w:val="auto"/>
        </w:rPr>
      </w:pPr>
      <w:r>
        <w:rPr>
          <w:rFonts w:eastAsiaTheme="minorEastAsia"/>
          <w:color w:val="auto"/>
        </w:rPr>
        <w:t>在土岩堆积过程中，在雨水特别是强降水的冲刷作用下，就会发生水土侵蚀现象，若边坡不稳，有可能发生局部滑坡危险。</w:t>
      </w:r>
    </w:p>
    <w:p>
      <w:pPr>
        <w:pStyle w:val="276"/>
        <w:rPr>
          <w:rFonts w:eastAsiaTheme="minorEastAsia"/>
          <w:color w:val="auto"/>
        </w:rPr>
      </w:pPr>
      <w:r>
        <w:rPr>
          <w:rFonts w:eastAsiaTheme="minorEastAsia"/>
          <w:color w:val="auto"/>
        </w:rPr>
        <w:t>（3）炸药爆炸风险</w:t>
      </w:r>
    </w:p>
    <w:p>
      <w:pPr>
        <w:pStyle w:val="276"/>
        <w:rPr>
          <w:rFonts w:eastAsiaTheme="minorEastAsia"/>
          <w:color w:val="auto"/>
        </w:rPr>
      </w:pPr>
      <w:r>
        <w:rPr>
          <w:rFonts w:eastAsiaTheme="minorEastAsia"/>
          <w:color w:val="auto"/>
        </w:rPr>
        <w:t>矿区生产过程中，所使用的雷管、炸药均为高风险物料，所进行的爆破工作为高风险作业。炸药和雷管在运输、储存、加工和使用过程中，都有可能因遇非正常起爆能（如各种热能、机械能等）而引起爆炸或正常爆破方法不当或爆破器材质量差造成爆破事故，伤及生命和造成财产损失。</w:t>
      </w:r>
    </w:p>
    <w:p>
      <w:pPr>
        <w:pStyle w:val="276"/>
        <w:rPr>
          <w:rFonts w:eastAsiaTheme="minorEastAsia"/>
          <w:color w:val="auto"/>
        </w:rPr>
      </w:pPr>
      <w:r>
        <w:rPr>
          <w:rFonts w:eastAsiaTheme="minorEastAsia"/>
          <w:color w:val="auto"/>
        </w:rPr>
        <w:t>（4）废机油泄漏</w:t>
      </w:r>
    </w:p>
    <w:p>
      <w:pPr>
        <w:pStyle w:val="276"/>
        <w:rPr>
          <w:rFonts w:eastAsiaTheme="minorEastAsia"/>
          <w:color w:val="auto"/>
        </w:rPr>
      </w:pPr>
      <w:r>
        <w:rPr>
          <w:rFonts w:eastAsiaTheme="minorEastAsia"/>
          <w:color w:val="auto"/>
        </w:rPr>
        <w:t>本项目若废机油存储设施老化破损，发生废机油泄漏，会对污染土壤及地下水产生污染，进而危害人体健康。</w:t>
      </w:r>
    </w:p>
    <w:p>
      <w:pPr>
        <w:pStyle w:val="238"/>
        <w:spacing w:before="120" w:after="120"/>
        <w:rPr>
          <w:rFonts w:hAnsi="Times New Roman" w:eastAsiaTheme="minorEastAsia"/>
          <w:color w:val="auto"/>
        </w:rPr>
      </w:pPr>
      <w:bookmarkStart w:id="225" w:name="_Toc519693581"/>
      <w:r>
        <w:rPr>
          <w:rFonts w:hAnsi="Times New Roman" w:eastAsiaTheme="minorEastAsia"/>
          <w:color w:val="auto"/>
        </w:rPr>
        <w:t>5.3服务期满后环境影响分析</w:t>
      </w:r>
      <w:bookmarkEnd w:id="225"/>
    </w:p>
    <w:bookmarkEnd w:id="224"/>
    <w:p>
      <w:pPr>
        <w:pStyle w:val="276"/>
        <w:rPr>
          <w:rFonts w:eastAsiaTheme="minorEastAsia"/>
          <w:color w:val="auto"/>
        </w:rPr>
      </w:pPr>
      <w:r>
        <w:rPr>
          <w:rFonts w:eastAsiaTheme="minorEastAsia"/>
          <w:color w:val="auto"/>
        </w:rPr>
        <w:t>根据《中华人民共和国矿产资源法》，目前正在开采或即将开采的矿山，在矿山开采过程中和开采活动结束后，应该有完善的废弃物处置与土地生态恢复方案。根据谁造成破坏，谁负责治理的原则，建设单位对闭坑后的矿山必须进行生态恢复工作。</w:t>
      </w:r>
    </w:p>
    <w:p>
      <w:pPr>
        <w:pStyle w:val="276"/>
        <w:rPr>
          <w:rFonts w:eastAsiaTheme="minorEastAsia"/>
          <w:color w:val="auto"/>
        </w:rPr>
      </w:pPr>
      <w:r>
        <w:rPr>
          <w:rFonts w:eastAsiaTheme="minorEastAsia"/>
          <w:color w:val="auto"/>
        </w:rPr>
        <w:t>本项目服务年限</w:t>
      </w:r>
      <w:r>
        <w:rPr>
          <w:rFonts w:hint="eastAsia" w:eastAsiaTheme="minorEastAsia"/>
          <w:color w:val="auto"/>
          <w:lang w:eastAsia="zh-CN"/>
        </w:rPr>
        <w:t>3年</w:t>
      </w:r>
      <w:r>
        <w:rPr>
          <w:rFonts w:eastAsiaTheme="minorEastAsia"/>
          <w:color w:val="auto"/>
        </w:rPr>
        <w:t>，矿山服务期满后，对环境造成污染影响已明显减少，随着生产设备和人员的撤离，最终消除对环境的影响。废弃的露天采坑和工业用地、临时堆土场及运输道路等若未及时进行植被恢复，对生态环境及当地景观将造成明显的影响，如不采取有效恢复措施，对生态环境的影响将是长期的。</w:t>
      </w:r>
    </w:p>
    <w:p>
      <w:pPr>
        <w:pStyle w:val="276"/>
        <w:rPr>
          <w:rFonts w:eastAsiaTheme="minorEastAsia"/>
          <w:color w:val="auto"/>
        </w:rPr>
      </w:pPr>
      <w:r>
        <w:rPr>
          <w:rFonts w:eastAsiaTheme="minorEastAsia"/>
          <w:color w:val="auto"/>
        </w:rPr>
        <w:t>矿山服务期满后，对工业厂区、生活区的设备、建筑物拆除，进行场地平整后覆土，将整个矿区用地进行土地恢复和植被恢复等措施，矿山复垦责任范围复垦为林地。本项目用地现状</w:t>
      </w:r>
      <w:r>
        <w:rPr>
          <w:rFonts w:hint="eastAsia" w:eastAsiaTheme="minorEastAsia"/>
          <w:color w:val="auto"/>
          <w:lang w:eastAsia="zh-CN"/>
        </w:rPr>
        <w:t>为采矿用地，</w:t>
      </w:r>
      <w:r>
        <w:rPr>
          <w:rFonts w:eastAsiaTheme="minorEastAsia"/>
          <w:color w:val="auto"/>
        </w:rPr>
        <w:t>项目闭矿后进行土地复垦，恢复林地面积</w:t>
      </w:r>
      <w:r>
        <w:rPr>
          <w:rFonts w:hint="eastAsia" w:eastAsiaTheme="minorEastAsia"/>
          <w:color w:val="auto"/>
          <w:lang w:eastAsia="zh-CN"/>
        </w:rPr>
        <w:t>0.014185</w:t>
      </w:r>
      <w:r>
        <w:rPr>
          <w:rFonts w:eastAsiaTheme="minorEastAsia"/>
          <w:color w:val="auto"/>
        </w:rPr>
        <w:t>km</w:t>
      </w:r>
      <w:r>
        <w:rPr>
          <w:rFonts w:eastAsiaTheme="minorEastAsia"/>
          <w:color w:val="auto"/>
          <w:vertAlign w:val="superscript"/>
        </w:rPr>
        <w:t>2</w:t>
      </w:r>
      <w:r>
        <w:rPr>
          <w:rFonts w:eastAsiaTheme="minorEastAsia"/>
          <w:color w:val="auto"/>
        </w:rPr>
        <w:t>，</w:t>
      </w:r>
      <w:r>
        <w:rPr>
          <w:rFonts w:hint="eastAsia" w:eastAsiaTheme="minorEastAsia"/>
          <w:color w:val="auto"/>
          <w:lang w:eastAsia="zh-CN"/>
        </w:rPr>
        <w:t>按</w:t>
      </w:r>
      <w:r>
        <w:rPr>
          <w:rFonts w:eastAsiaTheme="minorEastAsia"/>
          <w:color w:val="auto"/>
        </w:rPr>
        <w:t>生物量为7.30kg/m</w:t>
      </w:r>
      <w:r>
        <w:rPr>
          <w:rFonts w:eastAsiaTheme="minorEastAsia"/>
          <w:color w:val="auto"/>
          <w:vertAlign w:val="superscript"/>
        </w:rPr>
        <w:t>2</w:t>
      </w:r>
      <w:r>
        <w:rPr>
          <w:rFonts w:eastAsiaTheme="minorEastAsia"/>
          <w:color w:val="auto"/>
        </w:rPr>
        <w:t>，</w:t>
      </w:r>
      <w:r>
        <w:rPr>
          <w:rFonts w:hint="eastAsia" w:eastAsiaTheme="minorEastAsia"/>
          <w:color w:val="auto"/>
          <w:lang w:eastAsia="zh-CN"/>
        </w:rPr>
        <w:t>则恢复</w:t>
      </w:r>
      <w:r>
        <w:rPr>
          <w:rFonts w:eastAsiaTheme="minorEastAsia"/>
          <w:color w:val="auto"/>
        </w:rPr>
        <w:t>生物量为</w:t>
      </w:r>
      <w:r>
        <w:rPr>
          <w:rFonts w:hint="eastAsia" w:eastAsiaTheme="minorEastAsia"/>
          <w:color w:val="auto"/>
          <w:lang w:val="en-US" w:eastAsia="zh-CN"/>
        </w:rPr>
        <w:t>103.55</w:t>
      </w:r>
      <w:r>
        <w:rPr>
          <w:rFonts w:eastAsiaTheme="minorEastAsia"/>
          <w:color w:val="auto"/>
        </w:rPr>
        <w:t>t</w:t>
      </w:r>
      <w:r>
        <w:rPr>
          <w:rFonts w:hint="eastAsia" w:eastAsiaTheme="minorEastAsia"/>
          <w:color w:val="auto"/>
          <w:lang w:eastAsia="zh-CN"/>
        </w:rPr>
        <w:t>，主要种植杨树。</w:t>
      </w:r>
      <w:r>
        <w:rPr>
          <w:rFonts w:eastAsiaTheme="minorEastAsia"/>
          <w:color w:val="auto"/>
        </w:rPr>
        <w:t>因此，服务期满后通过土地复垦，可以改善项目区生态环境。</w:t>
      </w:r>
      <w:r>
        <w:rPr>
          <w:rFonts w:eastAsiaTheme="minorEastAsia"/>
          <w:color w:val="auto"/>
          <w:sz w:val="23"/>
        </w:rPr>
        <w:t xml:space="preserve"> </w:t>
      </w:r>
    </w:p>
    <w:p>
      <w:pPr>
        <w:pStyle w:val="3"/>
        <w:rPr>
          <w:rFonts w:eastAsiaTheme="minorEastAsia"/>
          <w:color w:val="auto"/>
        </w:rPr>
        <w:sectPr>
          <w:pgSz w:w="11906" w:h="16838"/>
          <w:pgMar w:top="1440" w:right="1797" w:bottom="1440" w:left="1797" w:header="851" w:footer="992" w:gutter="0"/>
          <w:pgBorders>
            <w:top w:val="none" w:sz="0" w:space="0"/>
            <w:left w:val="none" w:sz="0" w:space="0"/>
            <w:bottom w:val="none" w:sz="0" w:space="0"/>
            <w:right w:val="none" w:sz="0" w:space="0"/>
          </w:pgBorders>
          <w:cols w:space="720" w:num="1"/>
          <w:docGrid w:linePitch="326" w:charSpace="0"/>
        </w:sectPr>
      </w:pPr>
    </w:p>
    <w:p>
      <w:pPr>
        <w:pStyle w:val="3"/>
        <w:spacing w:before="0" w:after="0" w:line="700" w:lineRule="exact"/>
        <w:rPr>
          <w:rFonts w:eastAsiaTheme="minorEastAsia"/>
          <w:b w:val="0"/>
          <w:color w:val="auto"/>
          <w:sz w:val="32"/>
          <w:szCs w:val="32"/>
        </w:rPr>
      </w:pPr>
      <w:bookmarkStart w:id="226" w:name="_Toc440973830"/>
      <w:bookmarkStart w:id="227" w:name="_Toc440973564"/>
      <w:bookmarkStart w:id="228" w:name="_Toc437783985"/>
      <w:bookmarkStart w:id="229" w:name="_Toc519693582"/>
      <w:r>
        <w:rPr>
          <w:rFonts w:eastAsiaTheme="minorEastAsia"/>
          <w:b w:val="0"/>
          <w:color w:val="auto"/>
          <w:sz w:val="32"/>
          <w:szCs w:val="32"/>
        </w:rPr>
        <w:t>6环境保护措施及其可行性</w:t>
      </w:r>
      <w:bookmarkEnd w:id="226"/>
      <w:bookmarkEnd w:id="227"/>
      <w:bookmarkEnd w:id="228"/>
      <w:r>
        <w:rPr>
          <w:rFonts w:eastAsiaTheme="minorEastAsia"/>
          <w:b w:val="0"/>
          <w:color w:val="auto"/>
          <w:sz w:val="32"/>
          <w:szCs w:val="32"/>
        </w:rPr>
        <w:t>分析</w:t>
      </w:r>
      <w:bookmarkEnd w:id="229"/>
    </w:p>
    <w:p>
      <w:pPr>
        <w:pStyle w:val="238"/>
        <w:rPr>
          <w:rFonts w:hAnsi="Times New Roman" w:eastAsiaTheme="minorEastAsia"/>
          <w:color w:val="auto"/>
        </w:rPr>
      </w:pPr>
      <w:bookmarkStart w:id="230" w:name="_Toc519693583"/>
      <w:r>
        <w:rPr>
          <w:rFonts w:hAnsi="Times New Roman" w:eastAsiaTheme="minorEastAsia"/>
          <w:color w:val="auto"/>
        </w:rPr>
        <w:t>6.1施工期环境保护措施</w:t>
      </w:r>
      <w:bookmarkEnd w:id="230"/>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6.1.1施工期生态环境保护措施及其可行性分析</w:t>
      </w:r>
    </w:p>
    <w:p>
      <w:pPr>
        <w:spacing w:line="500" w:lineRule="exact"/>
        <w:ind w:firstLine="480"/>
        <w:rPr>
          <w:rFonts w:eastAsiaTheme="minorEastAsia"/>
          <w:color w:val="auto"/>
          <w:kern w:val="1"/>
          <w:szCs w:val="24"/>
        </w:rPr>
      </w:pPr>
      <w:r>
        <w:rPr>
          <w:rFonts w:eastAsiaTheme="minorEastAsia"/>
          <w:color w:val="auto"/>
          <w:kern w:val="1"/>
          <w:szCs w:val="24"/>
        </w:rPr>
        <w:t xml:space="preserve">为防止矿山在建设过程中造成水土流失和保护当地生态环境，要求建设单位采取以下措施： </w:t>
      </w:r>
    </w:p>
    <w:p>
      <w:pPr>
        <w:spacing w:line="500" w:lineRule="exact"/>
        <w:ind w:firstLine="480"/>
        <w:rPr>
          <w:rFonts w:eastAsiaTheme="minorEastAsia"/>
          <w:color w:val="auto"/>
          <w:kern w:val="1"/>
          <w:szCs w:val="24"/>
        </w:rPr>
      </w:pPr>
      <w:r>
        <w:rPr>
          <w:rFonts w:eastAsiaTheme="minorEastAsia"/>
          <w:color w:val="auto"/>
          <w:kern w:val="1"/>
          <w:szCs w:val="24"/>
        </w:rPr>
        <w:t xml:space="preserve">（1）严格控制施工范围，按照划定的施工区域进行；工程实施建设中做到绿化工程与主体工程同步实施，同步完成。 </w:t>
      </w:r>
    </w:p>
    <w:p>
      <w:pPr>
        <w:spacing w:line="500" w:lineRule="exact"/>
        <w:ind w:firstLine="480"/>
        <w:rPr>
          <w:rFonts w:eastAsiaTheme="minorEastAsia"/>
          <w:color w:val="auto"/>
          <w:kern w:val="1"/>
          <w:szCs w:val="24"/>
        </w:rPr>
      </w:pPr>
      <w:r>
        <w:rPr>
          <w:rFonts w:eastAsiaTheme="minorEastAsia"/>
          <w:color w:val="auto"/>
          <w:kern w:val="1"/>
          <w:szCs w:val="24"/>
        </w:rPr>
        <w:t xml:space="preserve">（2）土岩堆存于临时堆土场，定期外售，临时堆存场设置浆砌石挡墙和截流沟。 </w:t>
      </w:r>
    </w:p>
    <w:p>
      <w:pPr>
        <w:spacing w:line="500" w:lineRule="exact"/>
        <w:ind w:firstLine="480"/>
        <w:rPr>
          <w:rFonts w:eastAsiaTheme="minorEastAsia"/>
          <w:color w:val="auto"/>
          <w:kern w:val="1"/>
          <w:szCs w:val="24"/>
        </w:rPr>
      </w:pPr>
      <w:r>
        <w:rPr>
          <w:rFonts w:eastAsiaTheme="minorEastAsia"/>
          <w:color w:val="auto"/>
          <w:kern w:val="1"/>
          <w:szCs w:val="24"/>
        </w:rPr>
        <w:t xml:space="preserve">（3）项目采矿和工业场地范围内进行绿化，采取点、线、面相结合的布置方式，矿区道路两侧种植常绿乔木，配植花灌木，建筑物周围空地播撒草籽。 </w:t>
      </w:r>
    </w:p>
    <w:p>
      <w:pPr>
        <w:spacing w:line="500" w:lineRule="exact"/>
        <w:ind w:firstLine="480"/>
        <w:rPr>
          <w:rFonts w:eastAsiaTheme="minorEastAsia"/>
          <w:color w:val="auto"/>
          <w:kern w:val="1"/>
          <w:szCs w:val="24"/>
        </w:rPr>
      </w:pPr>
      <w:r>
        <w:rPr>
          <w:rFonts w:eastAsiaTheme="minorEastAsia"/>
          <w:color w:val="auto"/>
          <w:kern w:val="1"/>
          <w:szCs w:val="24"/>
        </w:rPr>
        <w:t xml:space="preserve">（4）加强对施工人员的生态保护教育，树立野生动物保护意识，禁止现场狩猎；尽量不扰动施工区域外的动物栖息环境。 </w:t>
      </w:r>
    </w:p>
    <w:p>
      <w:pPr>
        <w:spacing w:line="500" w:lineRule="exact"/>
        <w:ind w:firstLine="480"/>
        <w:rPr>
          <w:rFonts w:eastAsiaTheme="minorEastAsia"/>
          <w:color w:val="auto"/>
          <w:kern w:val="1"/>
          <w:szCs w:val="24"/>
        </w:rPr>
      </w:pPr>
      <w:r>
        <w:rPr>
          <w:rFonts w:eastAsiaTheme="minorEastAsia"/>
          <w:color w:val="auto"/>
          <w:kern w:val="1"/>
          <w:szCs w:val="24"/>
        </w:rPr>
        <w:t xml:space="preserve">（5）合理选择施工时间和方式，避免雨天施工，减少水土流失。 </w:t>
      </w:r>
    </w:p>
    <w:p>
      <w:pPr>
        <w:spacing w:line="500" w:lineRule="exact"/>
        <w:ind w:firstLine="480"/>
        <w:rPr>
          <w:rFonts w:eastAsiaTheme="minorEastAsia"/>
          <w:color w:val="auto"/>
          <w:kern w:val="1"/>
          <w:szCs w:val="24"/>
        </w:rPr>
      </w:pPr>
      <w:r>
        <w:rPr>
          <w:rFonts w:eastAsiaTheme="minorEastAsia"/>
          <w:color w:val="auto"/>
          <w:kern w:val="1"/>
          <w:szCs w:val="24"/>
        </w:rPr>
        <w:t xml:space="preserve">采取以上措施，可有效控制施工期对周围生态环境的扰动，减少水土流失，措施可行。 </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6.1.2施工期大气空气保护措施及其可行性分析</w:t>
      </w:r>
    </w:p>
    <w:p>
      <w:pPr>
        <w:spacing w:line="500" w:lineRule="exact"/>
        <w:ind w:firstLine="480"/>
        <w:rPr>
          <w:rFonts w:eastAsiaTheme="minorEastAsia"/>
          <w:color w:val="auto"/>
          <w:kern w:val="1"/>
          <w:szCs w:val="24"/>
        </w:rPr>
      </w:pPr>
      <w:r>
        <w:rPr>
          <w:rFonts w:eastAsiaTheme="minorEastAsia"/>
          <w:color w:val="auto"/>
          <w:kern w:val="1"/>
          <w:szCs w:val="24"/>
        </w:rPr>
        <w:t xml:space="preserve">为尽量减轻施工粉尘及扬尘等对周围环境的污染，缩小其影响范围，本评价要求在施工期间应采取如下措施： </w:t>
      </w:r>
    </w:p>
    <w:p>
      <w:pPr>
        <w:spacing w:line="500" w:lineRule="exact"/>
        <w:ind w:firstLine="480"/>
        <w:rPr>
          <w:rFonts w:eastAsiaTheme="minorEastAsia"/>
          <w:color w:val="auto"/>
          <w:kern w:val="1"/>
          <w:szCs w:val="24"/>
        </w:rPr>
      </w:pPr>
      <w:r>
        <w:rPr>
          <w:rFonts w:eastAsiaTheme="minorEastAsia"/>
          <w:color w:val="auto"/>
          <w:kern w:val="1"/>
          <w:szCs w:val="24"/>
        </w:rPr>
        <w:t xml:space="preserve">（1）施工期间，建设单位应严格制定洒水降尘制度，配套洒水车，专人负责，定期洒水，在大风日要加大洒水量和洒水次数；临时堆土场设置喷淋设备，定期洒水降尘； </w:t>
      </w:r>
    </w:p>
    <w:p>
      <w:pPr>
        <w:spacing w:line="500" w:lineRule="exact"/>
        <w:ind w:firstLine="480"/>
        <w:rPr>
          <w:rFonts w:eastAsiaTheme="minorEastAsia"/>
          <w:color w:val="auto"/>
          <w:kern w:val="1"/>
          <w:szCs w:val="24"/>
        </w:rPr>
      </w:pPr>
      <w:r>
        <w:rPr>
          <w:rFonts w:eastAsiaTheme="minorEastAsia"/>
          <w:color w:val="auto"/>
          <w:kern w:val="1"/>
          <w:szCs w:val="24"/>
        </w:rPr>
        <w:t xml:space="preserve">（2）临时堆土场的周围布设浆砌石挡墙，土堆表面采用洒水抑尘； </w:t>
      </w:r>
    </w:p>
    <w:p>
      <w:pPr>
        <w:spacing w:line="500" w:lineRule="exact"/>
        <w:ind w:firstLine="480"/>
        <w:rPr>
          <w:rFonts w:eastAsiaTheme="minorEastAsia"/>
          <w:color w:val="auto"/>
          <w:kern w:val="1"/>
          <w:szCs w:val="24"/>
        </w:rPr>
      </w:pPr>
      <w:r>
        <w:rPr>
          <w:rFonts w:eastAsiaTheme="minorEastAsia"/>
          <w:color w:val="auto"/>
          <w:kern w:val="1"/>
          <w:szCs w:val="24"/>
        </w:rPr>
        <w:t xml:space="preserve">（3）风速四级以上（＞5m/s）时，施工单位应暂时停止土方开挖； </w:t>
      </w:r>
    </w:p>
    <w:p>
      <w:pPr>
        <w:spacing w:line="500" w:lineRule="exact"/>
        <w:ind w:firstLine="480"/>
        <w:rPr>
          <w:rFonts w:eastAsiaTheme="minorEastAsia"/>
          <w:color w:val="auto"/>
          <w:kern w:val="1"/>
          <w:szCs w:val="24"/>
        </w:rPr>
      </w:pPr>
      <w:r>
        <w:rPr>
          <w:rFonts w:eastAsiaTheme="minorEastAsia"/>
          <w:color w:val="auto"/>
          <w:kern w:val="1"/>
          <w:szCs w:val="24"/>
        </w:rPr>
        <w:t xml:space="preserve">（4）建筑材料应在指定区域堆放，不得随处临时堆放，在大风天气应采用篷布遮盖建筑材料； </w:t>
      </w:r>
    </w:p>
    <w:p>
      <w:pPr>
        <w:spacing w:line="500" w:lineRule="exact"/>
        <w:ind w:firstLine="480"/>
        <w:rPr>
          <w:rFonts w:eastAsiaTheme="minorEastAsia"/>
          <w:color w:val="auto"/>
          <w:kern w:val="1"/>
          <w:szCs w:val="24"/>
        </w:rPr>
      </w:pPr>
      <w:r>
        <w:rPr>
          <w:rFonts w:eastAsiaTheme="minorEastAsia"/>
          <w:color w:val="auto"/>
          <w:kern w:val="1"/>
          <w:szCs w:val="24"/>
        </w:rPr>
        <w:t xml:space="preserve">（5）运输车辆装载高度应低于车箱上沿，不得超高超载，必须实施严密封盖运输，减少车辆颠簸洒漏。运输车辆装卸完成后应清洗车厢，施工车辆及运输车辆驶离施工区前采用人工清泥除尘，不得将泥土带出施工工地。 </w:t>
      </w:r>
    </w:p>
    <w:p>
      <w:pPr>
        <w:spacing w:line="500" w:lineRule="exact"/>
        <w:ind w:firstLine="480"/>
        <w:rPr>
          <w:rFonts w:eastAsiaTheme="minorEastAsia"/>
          <w:color w:val="auto"/>
          <w:kern w:val="1"/>
          <w:szCs w:val="24"/>
        </w:rPr>
      </w:pPr>
      <w:r>
        <w:rPr>
          <w:rFonts w:eastAsiaTheme="minorEastAsia"/>
          <w:color w:val="auto"/>
          <w:kern w:val="1"/>
          <w:szCs w:val="24"/>
        </w:rPr>
        <w:t xml:space="preserve">（6）施工运输车辆矿区内限速15km/h以下，既可减少扬尘量，又可降低车辆噪声，同时有利于施工现场安全。卸料时，应尽量降低高度，对散状物如沙子、石子堆场也可采取洒水抑尘措施。 </w:t>
      </w:r>
    </w:p>
    <w:p>
      <w:pPr>
        <w:spacing w:line="500" w:lineRule="exact"/>
        <w:ind w:firstLine="480"/>
        <w:rPr>
          <w:rFonts w:eastAsiaTheme="minorEastAsia"/>
          <w:color w:val="auto"/>
          <w:kern w:val="1"/>
          <w:szCs w:val="24"/>
        </w:rPr>
      </w:pPr>
      <w:r>
        <w:rPr>
          <w:rFonts w:eastAsiaTheme="minorEastAsia"/>
          <w:color w:val="auto"/>
          <w:kern w:val="1"/>
          <w:szCs w:val="24"/>
        </w:rPr>
        <w:t xml:space="preserve">（7）加强施工人员环保教育，在施工场地张贴文明施工标语，坚持文明施工科学施工。 </w:t>
      </w:r>
    </w:p>
    <w:p>
      <w:pPr>
        <w:spacing w:line="500" w:lineRule="exact"/>
        <w:ind w:firstLine="480"/>
        <w:rPr>
          <w:rFonts w:eastAsiaTheme="minorEastAsia"/>
          <w:color w:val="auto"/>
          <w:kern w:val="1"/>
          <w:szCs w:val="24"/>
        </w:rPr>
      </w:pPr>
      <w:r>
        <w:rPr>
          <w:rFonts w:eastAsiaTheme="minorEastAsia"/>
          <w:color w:val="auto"/>
          <w:kern w:val="1"/>
          <w:szCs w:val="24"/>
        </w:rPr>
        <w:t xml:space="preserve">通过采取上述措施后本项目施工期扬尘对周围环境的影响会大大降低，施工期对大气环境的影响暂时的，随着施工活动结束，影响消除，不会遗留环境问题，本项目采取的环保措施可行。 </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6.1.3地表水环境保护措施及其可行性分析</w:t>
      </w:r>
    </w:p>
    <w:p>
      <w:pPr>
        <w:spacing w:line="500" w:lineRule="exact"/>
        <w:ind w:firstLine="480"/>
        <w:rPr>
          <w:rFonts w:eastAsiaTheme="minorEastAsia"/>
          <w:iCs/>
          <w:color w:val="auto"/>
          <w:kern w:val="1"/>
          <w:szCs w:val="24"/>
        </w:rPr>
      </w:pPr>
      <w:r>
        <w:rPr>
          <w:rFonts w:eastAsiaTheme="minorEastAsia"/>
          <w:iCs/>
          <w:color w:val="auto"/>
          <w:kern w:val="1"/>
          <w:szCs w:val="24"/>
        </w:rPr>
        <w:t>施工期生产废水和生活污水须做好以下防治措施：</w:t>
      </w:r>
    </w:p>
    <w:p>
      <w:pPr>
        <w:spacing w:line="500" w:lineRule="exact"/>
        <w:ind w:firstLine="480"/>
        <w:rPr>
          <w:rFonts w:eastAsiaTheme="minorEastAsia"/>
          <w:iCs/>
          <w:color w:val="auto"/>
          <w:kern w:val="1"/>
          <w:szCs w:val="24"/>
        </w:rPr>
      </w:pPr>
      <w:r>
        <w:rPr>
          <w:rFonts w:eastAsiaTheme="minorEastAsia"/>
          <w:iCs/>
          <w:color w:val="auto"/>
          <w:kern w:val="1"/>
          <w:szCs w:val="24"/>
        </w:rPr>
        <w:t>（1）施工生产废水包括场地冲洗水等，设置临时沉沙池处理后回用于场地降尘，不会对周围环境产生影响。</w:t>
      </w:r>
    </w:p>
    <w:p>
      <w:pPr>
        <w:spacing w:line="500" w:lineRule="exact"/>
        <w:ind w:firstLine="480"/>
        <w:rPr>
          <w:rFonts w:eastAsiaTheme="minorEastAsia"/>
          <w:iCs/>
          <w:color w:val="auto"/>
          <w:kern w:val="1"/>
          <w:szCs w:val="24"/>
        </w:rPr>
      </w:pPr>
      <w:r>
        <w:rPr>
          <w:rFonts w:eastAsiaTheme="minorEastAsia"/>
          <w:iCs/>
          <w:color w:val="auto"/>
          <w:kern w:val="1"/>
          <w:szCs w:val="24"/>
        </w:rPr>
        <w:t>（2）施工人员生活污水主要污染物为SS、COD及BOD</w:t>
      </w:r>
      <w:r>
        <w:rPr>
          <w:rFonts w:eastAsiaTheme="minorEastAsia"/>
          <w:iCs/>
          <w:color w:val="auto"/>
          <w:kern w:val="1"/>
          <w:szCs w:val="24"/>
          <w:vertAlign w:val="subscript"/>
        </w:rPr>
        <w:t>5</w:t>
      </w:r>
      <w:r>
        <w:rPr>
          <w:rFonts w:eastAsiaTheme="minorEastAsia"/>
          <w:iCs/>
          <w:color w:val="auto"/>
          <w:kern w:val="1"/>
          <w:szCs w:val="24"/>
        </w:rPr>
        <w:t>，生活污水排入防渗旱厕，定期清掏，外运堆肥。</w:t>
      </w:r>
    </w:p>
    <w:p>
      <w:pPr>
        <w:spacing w:line="500" w:lineRule="exact"/>
        <w:ind w:firstLine="480"/>
        <w:rPr>
          <w:rFonts w:eastAsiaTheme="minorEastAsia"/>
          <w:iCs/>
          <w:color w:val="auto"/>
          <w:kern w:val="1"/>
          <w:szCs w:val="24"/>
        </w:rPr>
      </w:pPr>
      <w:r>
        <w:rPr>
          <w:rFonts w:eastAsiaTheme="minorEastAsia"/>
          <w:iCs/>
          <w:color w:val="auto"/>
          <w:kern w:val="1"/>
          <w:szCs w:val="24"/>
        </w:rPr>
        <w:t>（3）加强施工人员环保意识，加强施工期环保监理和环境管理，发现问题及时采取补救措施，确保工程施工期对地下水环境影响最小化。</w:t>
      </w:r>
    </w:p>
    <w:p>
      <w:pPr>
        <w:spacing w:line="500" w:lineRule="exact"/>
        <w:ind w:firstLine="480"/>
        <w:rPr>
          <w:rFonts w:eastAsiaTheme="minorEastAsia"/>
          <w:iCs/>
          <w:color w:val="auto"/>
          <w:kern w:val="1"/>
          <w:szCs w:val="24"/>
        </w:rPr>
      </w:pPr>
      <w:r>
        <w:rPr>
          <w:rFonts w:eastAsiaTheme="minorEastAsia"/>
          <w:iCs/>
          <w:color w:val="auto"/>
          <w:kern w:val="1"/>
          <w:szCs w:val="24"/>
        </w:rPr>
        <w:t>采取上述措施，可保证本项目施工期污水不外排，对环境影响很小，本项目采取的环保措施可行。</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6.1.4声环境保护措施及其可行性分析</w:t>
      </w:r>
    </w:p>
    <w:p>
      <w:pPr>
        <w:spacing w:line="500" w:lineRule="exact"/>
        <w:ind w:firstLine="480" w:firstLineChars="200"/>
        <w:rPr>
          <w:rFonts w:eastAsiaTheme="minorEastAsia"/>
          <w:color w:val="auto"/>
        </w:rPr>
      </w:pPr>
      <w:r>
        <w:rPr>
          <w:rFonts w:eastAsiaTheme="minorEastAsia"/>
          <w:color w:val="auto"/>
        </w:rPr>
        <w:t>（1）施工现场合理布置</w:t>
      </w:r>
    </w:p>
    <w:p>
      <w:pPr>
        <w:spacing w:line="500" w:lineRule="exact"/>
        <w:ind w:firstLine="480" w:firstLineChars="200"/>
        <w:rPr>
          <w:rFonts w:eastAsiaTheme="minorEastAsia"/>
          <w:color w:val="auto"/>
        </w:rPr>
      </w:pPr>
      <w:r>
        <w:rPr>
          <w:rFonts w:eastAsiaTheme="minorEastAsia"/>
          <w:color w:val="auto"/>
        </w:rPr>
        <w:t>合理科学的布局施工现场是减少施工噪声的主要途径，施工过程中，施工机械及施工区的布置应远离居民区，减少噪声对环境敏感点的影响。</w:t>
      </w:r>
    </w:p>
    <w:p>
      <w:pPr>
        <w:spacing w:line="500" w:lineRule="exact"/>
        <w:ind w:firstLine="480" w:firstLineChars="200"/>
        <w:rPr>
          <w:rFonts w:eastAsiaTheme="minorEastAsia"/>
          <w:color w:val="auto"/>
        </w:rPr>
      </w:pPr>
      <w:r>
        <w:rPr>
          <w:rFonts w:eastAsiaTheme="minorEastAsia"/>
          <w:color w:val="auto"/>
        </w:rPr>
        <w:t>（2）合理安排施工作业时间</w:t>
      </w:r>
    </w:p>
    <w:p>
      <w:pPr>
        <w:spacing w:line="500" w:lineRule="exact"/>
        <w:ind w:firstLine="480" w:firstLineChars="200"/>
        <w:rPr>
          <w:rFonts w:eastAsiaTheme="minorEastAsia"/>
          <w:color w:val="auto"/>
        </w:rPr>
      </w:pPr>
      <w:r>
        <w:rPr>
          <w:rFonts w:eastAsiaTheme="minorEastAsia"/>
          <w:color w:val="auto"/>
        </w:rPr>
        <w:t>在保证施工进度的前提下，合理安排作业时间，在晚22：00点～早6：00点时间段内禁止施工。</w:t>
      </w:r>
    </w:p>
    <w:p>
      <w:pPr>
        <w:spacing w:line="500" w:lineRule="exact"/>
        <w:ind w:firstLine="480" w:firstLineChars="200"/>
        <w:rPr>
          <w:rFonts w:eastAsiaTheme="minorEastAsia"/>
          <w:color w:val="auto"/>
        </w:rPr>
      </w:pPr>
      <w:r>
        <w:rPr>
          <w:rFonts w:eastAsiaTheme="minorEastAsia"/>
          <w:color w:val="auto"/>
        </w:rPr>
        <w:t>（3）合理选择施工机械设备</w:t>
      </w:r>
    </w:p>
    <w:p>
      <w:pPr>
        <w:spacing w:line="500" w:lineRule="exact"/>
        <w:ind w:firstLine="480" w:firstLineChars="200"/>
        <w:rPr>
          <w:rFonts w:eastAsiaTheme="minorEastAsia"/>
          <w:color w:val="auto"/>
        </w:rPr>
      </w:pPr>
      <w:r>
        <w:rPr>
          <w:rFonts w:eastAsiaTheme="minorEastAsia"/>
          <w:color w:val="auto"/>
        </w:rPr>
        <w:t>施工过程中，施工单位必须选择符合国家有关标准的施工机械及运输车辆，尽量选用低噪音、低振动的各类施工机械设备，注意维修养护及正确使用，使之保持较好工作状态和低声级水平；对排放高强度噪音的施工机械设备应设置消音装置，减少对环境的影响。</w:t>
      </w:r>
    </w:p>
    <w:p>
      <w:pPr>
        <w:spacing w:line="500" w:lineRule="exact"/>
        <w:ind w:firstLine="480" w:firstLineChars="200"/>
        <w:rPr>
          <w:rFonts w:eastAsiaTheme="minorEastAsia"/>
          <w:color w:val="auto"/>
        </w:rPr>
      </w:pPr>
      <w:r>
        <w:rPr>
          <w:rFonts w:eastAsiaTheme="minorEastAsia"/>
          <w:color w:val="auto"/>
        </w:rPr>
        <w:t>（4）加强施工管理</w:t>
      </w:r>
    </w:p>
    <w:p>
      <w:pPr>
        <w:spacing w:line="500" w:lineRule="exact"/>
        <w:ind w:firstLine="480" w:firstLineChars="200"/>
        <w:rPr>
          <w:rFonts w:eastAsiaTheme="minorEastAsia"/>
          <w:color w:val="auto"/>
        </w:rPr>
      </w:pPr>
      <w:r>
        <w:rPr>
          <w:rFonts w:eastAsiaTheme="minorEastAsia"/>
          <w:color w:val="auto"/>
        </w:rPr>
        <w:t>给高噪声设备的操作人员配戴耳塞等防护用品，并实行轮换作业，以减少噪声对其健康的危害。</w:t>
      </w:r>
    </w:p>
    <w:p>
      <w:pPr>
        <w:spacing w:line="500" w:lineRule="exact"/>
        <w:ind w:firstLine="480" w:firstLineChars="200"/>
        <w:rPr>
          <w:rFonts w:eastAsiaTheme="minorEastAsia"/>
          <w:color w:val="auto"/>
        </w:rPr>
      </w:pPr>
      <w:r>
        <w:rPr>
          <w:rFonts w:eastAsiaTheme="minorEastAsia"/>
          <w:color w:val="auto"/>
        </w:rPr>
        <w:t>采取上述措施，加上距离的衰减，可保证施工厂界噪声排放满足《建筑施工场界环境噪声排放标准》（GB12523-2011），项目采取的声环境保护措施可行。</w:t>
      </w:r>
      <w:bookmarkStart w:id="231" w:name="_Toc440973831"/>
      <w:bookmarkStart w:id="232" w:name="_Toc392154077"/>
      <w:bookmarkStart w:id="233" w:name="_Toc440973565"/>
      <w:bookmarkStart w:id="234" w:name="_Toc437783986"/>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6.1.5固体废物处置措施及其可行性分析</w:t>
      </w:r>
    </w:p>
    <w:p>
      <w:pPr>
        <w:pStyle w:val="276"/>
        <w:rPr>
          <w:rFonts w:eastAsiaTheme="minorEastAsia"/>
          <w:color w:val="auto"/>
          <w:highlight w:val="yellow"/>
        </w:rPr>
      </w:pPr>
      <w:r>
        <w:rPr>
          <w:rFonts w:eastAsiaTheme="minorEastAsia"/>
          <w:color w:val="auto"/>
        </w:rPr>
        <w:t>施工期固体废物主要为</w:t>
      </w:r>
      <w:r>
        <w:rPr>
          <w:rFonts w:hint="eastAsia" w:eastAsiaTheme="minorEastAsia"/>
          <w:color w:val="auto"/>
          <w:lang w:eastAsia="zh-CN"/>
        </w:rPr>
        <w:t>采矿过程</w:t>
      </w:r>
      <w:r>
        <w:rPr>
          <w:rFonts w:eastAsiaTheme="minorEastAsia"/>
          <w:color w:val="auto"/>
        </w:rPr>
        <w:t>剥离的</w:t>
      </w:r>
      <w:r>
        <w:rPr>
          <w:rFonts w:hint="eastAsia" w:eastAsiaTheme="minorEastAsia"/>
          <w:color w:val="auto"/>
          <w:lang w:eastAsia="zh-CN"/>
        </w:rPr>
        <w:t>土岩</w:t>
      </w:r>
      <w:r>
        <w:rPr>
          <w:rFonts w:eastAsiaTheme="minorEastAsia"/>
          <w:color w:val="auto"/>
        </w:rPr>
        <w:t>和施工人员产生的生活垃圾。</w:t>
      </w:r>
    </w:p>
    <w:p>
      <w:pPr>
        <w:pStyle w:val="276"/>
        <w:rPr>
          <w:rFonts w:eastAsiaTheme="minorEastAsia"/>
          <w:color w:val="auto"/>
        </w:rPr>
      </w:pPr>
      <w:r>
        <w:rPr>
          <w:rFonts w:eastAsiaTheme="minorEastAsia"/>
          <w:color w:val="auto"/>
        </w:rPr>
        <w:t>本项目剥离的土岩暂存于临时堆土场，定期外售。土岩产生</w:t>
      </w:r>
      <w:r>
        <w:rPr>
          <w:rFonts w:hint="eastAsia" w:eastAsiaTheme="minorEastAsia"/>
          <w:color w:val="auto"/>
          <w:lang w:eastAsia="zh-CN"/>
        </w:rPr>
        <w:t>3.87</w:t>
      </w:r>
      <w:r>
        <w:rPr>
          <w:rFonts w:eastAsiaTheme="minorEastAsia"/>
          <w:color w:val="auto"/>
        </w:rPr>
        <w:t>m</w:t>
      </w:r>
      <w:r>
        <w:rPr>
          <w:rFonts w:eastAsiaTheme="minorEastAsia"/>
          <w:color w:val="auto"/>
          <w:vertAlign w:val="superscript"/>
        </w:rPr>
        <w:t>3</w:t>
      </w:r>
      <w:r>
        <w:rPr>
          <w:rFonts w:eastAsiaTheme="minorEastAsia"/>
          <w:color w:val="auto"/>
        </w:rPr>
        <w:t>/d，</w:t>
      </w:r>
      <w:r>
        <w:rPr>
          <w:rFonts w:hint="eastAsia" w:eastAsiaTheme="minorEastAsia"/>
          <w:color w:val="auto"/>
          <w:lang w:eastAsia="zh-CN"/>
        </w:rPr>
        <w:t>9</w:t>
      </w:r>
      <w:r>
        <w:rPr>
          <w:rFonts w:hint="eastAsia" w:eastAsiaTheme="minorEastAsia"/>
          <w:color w:val="auto"/>
          <w:lang w:val="en-US" w:eastAsia="zh-CN"/>
        </w:rPr>
        <w:t>29</w:t>
      </w:r>
      <w:r>
        <w:rPr>
          <w:rFonts w:eastAsiaTheme="minorEastAsia"/>
          <w:color w:val="auto"/>
        </w:rPr>
        <w:t>m</w:t>
      </w:r>
      <w:r>
        <w:rPr>
          <w:rFonts w:eastAsiaTheme="minorEastAsia"/>
          <w:color w:val="auto"/>
          <w:vertAlign w:val="superscript"/>
        </w:rPr>
        <w:t>3</w:t>
      </w:r>
      <w:r>
        <w:rPr>
          <w:rFonts w:eastAsiaTheme="minorEastAsia"/>
          <w:color w:val="auto"/>
        </w:rPr>
        <w:t>/a，</w:t>
      </w:r>
      <w:r>
        <w:rPr>
          <w:rFonts w:hint="eastAsia" w:eastAsiaTheme="minorEastAsia"/>
          <w:color w:val="auto"/>
          <w:lang w:eastAsia="zh-CN"/>
        </w:rPr>
        <w:t>每</w:t>
      </w:r>
      <w:r>
        <w:rPr>
          <w:rFonts w:hint="eastAsia" w:eastAsiaTheme="minorEastAsia"/>
          <w:color w:val="auto"/>
          <w:lang w:val="en-US" w:eastAsia="zh-CN"/>
        </w:rPr>
        <w:t>10天运输1次，因此，</w:t>
      </w:r>
      <w:r>
        <w:rPr>
          <w:rFonts w:eastAsiaTheme="minorEastAsia"/>
          <w:color w:val="auto"/>
        </w:rPr>
        <w:t>临时堆土场</w:t>
      </w:r>
      <w:r>
        <w:rPr>
          <w:rFonts w:hint="eastAsia" w:eastAsiaTheme="minorEastAsia"/>
          <w:color w:val="auto"/>
          <w:lang w:eastAsia="zh-CN"/>
        </w:rPr>
        <w:t>设计</w:t>
      </w:r>
      <w:r>
        <w:rPr>
          <w:rFonts w:eastAsiaTheme="minorEastAsia"/>
          <w:color w:val="auto"/>
        </w:rPr>
        <w:t>容积</w:t>
      </w:r>
      <w:r>
        <w:rPr>
          <w:rFonts w:hint="eastAsia" w:eastAsiaTheme="minorEastAsia"/>
          <w:color w:val="auto"/>
          <w:lang w:val="en-US" w:eastAsia="zh-CN"/>
        </w:rPr>
        <w:t>38.7</w:t>
      </w:r>
      <w:r>
        <w:rPr>
          <w:rFonts w:eastAsiaTheme="minorEastAsia"/>
          <w:color w:val="auto"/>
        </w:rPr>
        <w:t>m</w:t>
      </w:r>
      <w:r>
        <w:rPr>
          <w:rFonts w:eastAsiaTheme="minorEastAsia"/>
          <w:color w:val="auto"/>
          <w:vertAlign w:val="superscript"/>
        </w:rPr>
        <w:t>3</w:t>
      </w:r>
      <w:r>
        <w:rPr>
          <w:rFonts w:eastAsiaTheme="minorEastAsia"/>
          <w:color w:val="auto"/>
        </w:rPr>
        <w:t>，堆高3m，占地面积</w:t>
      </w:r>
      <w:r>
        <w:rPr>
          <w:rFonts w:hint="eastAsia" w:eastAsiaTheme="minorEastAsia"/>
          <w:color w:val="auto"/>
          <w:lang w:val="en-US" w:eastAsia="zh-CN"/>
        </w:rPr>
        <w:t>40</w:t>
      </w:r>
      <w:r>
        <w:rPr>
          <w:rFonts w:eastAsiaTheme="minorEastAsia"/>
          <w:color w:val="auto"/>
        </w:rPr>
        <w:t>m</w:t>
      </w:r>
      <w:r>
        <w:rPr>
          <w:rFonts w:eastAsiaTheme="minorEastAsia"/>
          <w:color w:val="auto"/>
          <w:vertAlign w:val="superscript"/>
        </w:rPr>
        <w:t>2</w:t>
      </w:r>
      <w:r>
        <w:rPr>
          <w:rFonts w:eastAsiaTheme="minorEastAsia"/>
          <w:color w:val="auto"/>
        </w:rPr>
        <w:t>，</w:t>
      </w:r>
      <w:r>
        <w:rPr>
          <w:rFonts w:hint="eastAsia" w:eastAsiaTheme="minorEastAsia"/>
          <w:color w:val="auto"/>
          <w:lang w:eastAsia="zh-CN"/>
        </w:rPr>
        <w:t>能够</w:t>
      </w:r>
      <w:r>
        <w:rPr>
          <w:rFonts w:eastAsiaTheme="minorEastAsia"/>
          <w:color w:val="auto"/>
        </w:rPr>
        <w:t>满足项目需求。临时堆土场土堆坡度为1：1.5，底部采用砌石挡土墙，并在挡土墙边设排水沟。</w:t>
      </w:r>
    </w:p>
    <w:p>
      <w:pPr>
        <w:pStyle w:val="276"/>
        <w:rPr>
          <w:rFonts w:eastAsiaTheme="minorEastAsia"/>
          <w:color w:val="auto"/>
        </w:rPr>
      </w:pPr>
      <w:r>
        <w:rPr>
          <w:rFonts w:eastAsiaTheme="minorEastAsia"/>
          <w:color w:val="auto"/>
        </w:rPr>
        <w:t>职工生活垃圾产生量为0.005t/d，施工期共产生0.15t，经集中收集后由当地环卫部门统一处理，不会对环境产生不利的影响。</w:t>
      </w:r>
    </w:p>
    <w:p>
      <w:pPr>
        <w:pStyle w:val="276"/>
        <w:rPr>
          <w:rFonts w:eastAsiaTheme="minorEastAsia"/>
          <w:color w:val="auto"/>
        </w:rPr>
      </w:pPr>
      <w:r>
        <w:rPr>
          <w:rFonts w:eastAsiaTheme="minorEastAsia"/>
          <w:color w:val="auto"/>
        </w:rPr>
        <w:t>采取上述措施，可妥善处置施工期固体废物，控制其对环境影响，固体废物处置措施可行。</w:t>
      </w:r>
    </w:p>
    <w:p>
      <w:pPr>
        <w:pStyle w:val="238"/>
        <w:rPr>
          <w:rFonts w:hAnsi="Times New Roman" w:eastAsiaTheme="minorEastAsia"/>
          <w:color w:val="auto"/>
        </w:rPr>
      </w:pPr>
      <w:bookmarkStart w:id="235" w:name="_Toc519693584"/>
      <w:r>
        <w:rPr>
          <w:rFonts w:hAnsi="Times New Roman" w:eastAsiaTheme="minorEastAsia"/>
          <w:color w:val="auto"/>
        </w:rPr>
        <w:t>6.2运行期环境保护措施</w:t>
      </w:r>
      <w:bookmarkEnd w:id="231"/>
      <w:bookmarkEnd w:id="232"/>
      <w:bookmarkEnd w:id="233"/>
      <w:bookmarkEnd w:id="234"/>
      <w:r>
        <w:rPr>
          <w:rFonts w:hAnsi="Times New Roman" w:eastAsiaTheme="minorEastAsia"/>
          <w:color w:val="auto"/>
        </w:rPr>
        <w:t>及可行性分析</w:t>
      </w:r>
      <w:bookmarkEnd w:id="235"/>
    </w:p>
    <w:p>
      <w:pPr>
        <w:pStyle w:val="240"/>
        <w:rPr>
          <w:rFonts w:ascii="Times New Roman" w:hAnsi="Times New Roman" w:cs="Times New Roman" w:eastAsiaTheme="minorEastAsia"/>
          <w:color w:val="auto"/>
        </w:rPr>
      </w:pPr>
      <w:bookmarkStart w:id="236" w:name="_Toc440973196"/>
      <w:bookmarkStart w:id="237" w:name="_Toc440973832"/>
      <w:bookmarkStart w:id="238" w:name="_Toc440973566"/>
      <w:r>
        <w:rPr>
          <w:rFonts w:ascii="Times New Roman" w:hAnsi="Times New Roman" w:cs="Times New Roman" w:eastAsiaTheme="minorEastAsia"/>
          <w:color w:val="auto"/>
        </w:rPr>
        <w:t>6.2.1运行期生态环境保护措施及其可行性分析</w:t>
      </w:r>
      <w:bookmarkEnd w:id="236"/>
      <w:bookmarkEnd w:id="237"/>
      <w:bookmarkEnd w:id="238"/>
    </w:p>
    <w:p>
      <w:pPr>
        <w:spacing w:line="500" w:lineRule="exact"/>
        <w:ind w:firstLine="480" w:firstLineChars="200"/>
        <w:rPr>
          <w:rFonts w:eastAsiaTheme="minorEastAsia"/>
          <w:color w:val="auto"/>
        </w:rPr>
      </w:pPr>
      <w:r>
        <w:rPr>
          <w:rFonts w:eastAsiaTheme="minorEastAsia"/>
          <w:color w:val="auto"/>
        </w:rPr>
        <w:t>（1）本项目露天矿山开采，开采过程严格采取粉尘防治措施，可有效降低粉尘对植物及周边农作物的影响，矿山开采占用</w:t>
      </w:r>
      <w:r>
        <w:rPr>
          <w:rFonts w:hint="eastAsia" w:eastAsiaTheme="minorEastAsia"/>
          <w:color w:val="auto"/>
          <w:lang w:eastAsia="zh-CN"/>
        </w:rPr>
        <w:t>采矿用地</w:t>
      </w:r>
      <w:r>
        <w:rPr>
          <w:rFonts w:eastAsiaTheme="minorEastAsia"/>
          <w:color w:val="auto"/>
        </w:rPr>
        <w:t>，不占用农田，矿区</w:t>
      </w:r>
      <w:r>
        <w:rPr>
          <w:rFonts w:hint="eastAsia" w:eastAsiaTheme="minorEastAsia"/>
          <w:color w:val="auto"/>
          <w:lang w:eastAsia="zh-CN"/>
        </w:rPr>
        <w:t>四周</w:t>
      </w:r>
      <w:r>
        <w:rPr>
          <w:rFonts w:eastAsiaTheme="minorEastAsia"/>
          <w:color w:val="auto"/>
        </w:rPr>
        <w:t>分布少量玉米农作物，企业采取严格粉尘防治措施，对矿区东南侧玉米农作物影响较小。</w:t>
      </w:r>
    </w:p>
    <w:p>
      <w:pPr>
        <w:spacing w:line="500" w:lineRule="exact"/>
        <w:ind w:firstLine="480" w:firstLineChars="200"/>
        <w:rPr>
          <w:rFonts w:eastAsiaTheme="minorEastAsia"/>
          <w:color w:val="auto"/>
        </w:rPr>
      </w:pPr>
      <w:r>
        <w:rPr>
          <w:rFonts w:eastAsiaTheme="minorEastAsia"/>
          <w:color w:val="auto"/>
        </w:rPr>
        <w:t>（2）项目厂区内部进行绿化。</w:t>
      </w:r>
    </w:p>
    <w:p>
      <w:pPr>
        <w:spacing w:line="500" w:lineRule="exact"/>
        <w:ind w:firstLine="480" w:firstLineChars="200"/>
        <w:rPr>
          <w:rFonts w:eastAsiaTheme="minorEastAsia"/>
          <w:color w:val="auto"/>
        </w:rPr>
      </w:pPr>
      <w:r>
        <w:rPr>
          <w:rFonts w:eastAsiaTheme="minorEastAsia"/>
          <w:color w:val="auto"/>
        </w:rPr>
        <w:t>（3）矿区</w:t>
      </w:r>
      <w:r>
        <w:rPr>
          <w:rFonts w:hint="eastAsia" w:eastAsiaTheme="minorEastAsia"/>
          <w:color w:val="auto"/>
          <w:lang w:eastAsia="zh-CN"/>
        </w:rPr>
        <w:t>四周</w:t>
      </w:r>
      <w:r>
        <w:rPr>
          <w:rFonts w:eastAsiaTheme="minorEastAsia"/>
          <w:color w:val="auto"/>
        </w:rPr>
        <w:t>厂界外设置截流沟，防止外部地表径流汇入厂区，导致水土流失和泥石流。</w:t>
      </w:r>
    </w:p>
    <w:p>
      <w:pPr>
        <w:spacing w:line="500" w:lineRule="exact"/>
        <w:ind w:firstLine="480" w:firstLineChars="200"/>
        <w:rPr>
          <w:rFonts w:eastAsiaTheme="minorEastAsia"/>
          <w:color w:val="auto"/>
        </w:rPr>
      </w:pPr>
      <w:r>
        <w:rPr>
          <w:rFonts w:eastAsiaTheme="minorEastAsia"/>
          <w:color w:val="auto"/>
        </w:rPr>
        <w:t>（4）对已开采的采场边坡进行</w:t>
      </w:r>
      <w:r>
        <w:rPr>
          <w:rFonts w:hint="eastAsia" w:eastAsiaTheme="minorEastAsia"/>
          <w:color w:val="auto"/>
          <w:lang w:eastAsia="zh-CN"/>
        </w:rPr>
        <w:t>植树</w:t>
      </w:r>
      <w:r>
        <w:rPr>
          <w:rFonts w:eastAsiaTheme="minorEastAsia"/>
          <w:color w:val="auto"/>
        </w:rPr>
        <w:t>绿化，减少水土流失和防止泥石流灾害发生。</w:t>
      </w:r>
    </w:p>
    <w:p>
      <w:pPr>
        <w:spacing w:line="500" w:lineRule="exact"/>
        <w:ind w:firstLine="480" w:firstLineChars="200"/>
        <w:rPr>
          <w:rFonts w:eastAsiaTheme="minorEastAsia"/>
          <w:color w:val="auto"/>
        </w:rPr>
      </w:pPr>
      <w:r>
        <w:rPr>
          <w:rFonts w:eastAsiaTheme="minorEastAsia"/>
          <w:color w:val="auto"/>
        </w:rPr>
        <w:t>（</w:t>
      </w:r>
      <w:r>
        <w:rPr>
          <w:rFonts w:hint="eastAsia" w:eastAsiaTheme="minorEastAsia"/>
          <w:color w:val="auto"/>
          <w:lang w:val="en-US" w:eastAsia="zh-CN"/>
        </w:rPr>
        <w:t>5</w:t>
      </w:r>
      <w:r>
        <w:rPr>
          <w:rFonts w:eastAsiaTheme="minorEastAsia"/>
          <w:color w:val="auto"/>
        </w:rPr>
        <w:t>）临时堆土场设置浆砌石挡墙</w:t>
      </w:r>
      <w:r>
        <w:rPr>
          <w:rFonts w:hint="eastAsia" w:eastAsiaTheme="minorEastAsia"/>
          <w:color w:val="auto"/>
          <w:lang w:eastAsia="zh-CN"/>
        </w:rPr>
        <w:t>和</w:t>
      </w:r>
      <w:r>
        <w:rPr>
          <w:rFonts w:eastAsiaTheme="minorEastAsia"/>
          <w:color w:val="auto"/>
        </w:rPr>
        <w:t>截流沟，定期洒水降尘，及时外售，场内不进行大量堆存。</w:t>
      </w:r>
    </w:p>
    <w:p>
      <w:pPr>
        <w:spacing w:line="500" w:lineRule="exact"/>
        <w:ind w:firstLine="480" w:firstLineChars="200"/>
        <w:rPr>
          <w:rFonts w:eastAsiaTheme="minorEastAsia"/>
          <w:color w:val="auto"/>
        </w:rPr>
      </w:pPr>
      <w:r>
        <w:rPr>
          <w:rFonts w:eastAsiaTheme="minorEastAsia"/>
          <w:color w:val="auto"/>
        </w:rPr>
        <w:t>（</w:t>
      </w:r>
      <w:r>
        <w:rPr>
          <w:rFonts w:hint="eastAsia" w:eastAsiaTheme="minorEastAsia"/>
          <w:color w:val="auto"/>
          <w:lang w:val="en-US" w:eastAsia="zh-CN"/>
        </w:rPr>
        <w:t>6</w:t>
      </w:r>
      <w:r>
        <w:rPr>
          <w:rFonts w:eastAsiaTheme="minorEastAsia"/>
          <w:color w:val="auto"/>
        </w:rPr>
        <w:t>）建设单位加强对工作人员的生态环境保护教育，减少对野生动物的干扰，严禁捕杀野生动物。</w:t>
      </w:r>
    </w:p>
    <w:p>
      <w:pPr>
        <w:spacing w:line="500" w:lineRule="exact"/>
        <w:ind w:firstLine="480" w:firstLineChars="200"/>
        <w:rPr>
          <w:rFonts w:eastAsiaTheme="minorEastAsia"/>
          <w:color w:val="auto"/>
        </w:rPr>
      </w:pPr>
      <w:r>
        <w:rPr>
          <w:rFonts w:eastAsiaTheme="minorEastAsia"/>
          <w:color w:val="auto"/>
        </w:rPr>
        <w:t>（</w:t>
      </w:r>
      <w:r>
        <w:rPr>
          <w:rFonts w:hint="eastAsia" w:eastAsiaTheme="minorEastAsia"/>
          <w:color w:val="auto"/>
          <w:lang w:val="en-US" w:eastAsia="zh-CN"/>
        </w:rPr>
        <w:t>7</w:t>
      </w:r>
      <w:r>
        <w:rPr>
          <w:rFonts w:eastAsiaTheme="minorEastAsia"/>
          <w:color w:val="auto"/>
        </w:rPr>
        <w:t>）合理安排作业时间，禁止在雨天进行剥离作业，防止水土流失。</w:t>
      </w:r>
    </w:p>
    <w:p>
      <w:pPr>
        <w:ind w:firstLine="480" w:firstLineChars="200"/>
        <w:rPr>
          <w:rFonts w:eastAsiaTheme="minorEastAsia"/>
          <w:color w:val="auto"/>
        </w:rPr>
      </w:pPr>
      <w:r>
        <w:rPr>
          <w:rFonts w:eastAsiaTheme="minorEastAsia"/>
          <w:color w:val="auto"/>
        </w:rPr>
        <w:t>（</w:t>
      </w:r>
      <w:r>
        <w:rPr>
          <w:rFonts w:hint="eastAsia" w:eastAsiaTheme="minorEastAsia"/>
          <w:color w:val="auto"/>
          <w:lang w:val="en-US" w:eastAsia="zh-CN"/>
        </w:rPr>
        <w:t>8</w:t>
      </w:r>
      <w:r>
        <w:rPr>
          <w:rFonts w:eastAsiaTheme="minorEastAsia"/>
          <w:color w:val="auto"/>
        </w:rPr>
        <w:t>）水土流失防治措施</w:t>
      </w:r>
    </w:p>
    <w:p>
      <w:pPr>
        <w:ind w:firstLine="480" w:firstLineChars="200"/>
        <w:rPr>
          <w:rFonts w:eastAsiaTheme="minorEastAsia"/>
          <w:color w:val="auto"/>
        </w:rPr>
      </w:pPr>
      <w:r>
        <w:rPr>
          <w:rFonts w:eastAsiaTheme="minorEastAsia"/>
          <w:color w:val="auto"/>
        </w:rPr>
        <w:t>水土流失防治分区分为采掘区责任防治区、采矿境界内责任防治区、运输道路责任防治区、临时排土场区责任防治区。</w:t>
      </w:r>
    </w:p>
    <w:p>
      <w:pPr>
        <w:ind w:firstLine="480" w:firstLineChars="200"/>
        <w:rPr>
          <w:rFonts w:eastAsiaTheme="minorEastAsia"/>
          <w:color w:val="auto"/>
        </w:rPr>
      </w:pPr>
      <w:r>
        <w:rPr>
          <w:rFonts w:eastAsiaTheme="minorEastAsia"/>
          <w:color w:val="auto"/>
        </w:rPr>
        <w:t>根据工程建设新增水土流失特点、危害程度和防治目标，依据治理与防护相结合、植物措施与工程措施相结合、治理水土流失与重建和提高土地生产力相结合的原则，统筹布局各种水土保持措施，形成完整的水土流失防治体系。</w:t>
      </w:r>
    </w:p>
    <w:p>
      <w:pPr>
        <w:ind w:firstLine="480" w:firstLineChars="200"/>
        <w:rPr>
          <w:rFonts w:eastAsiaTheme="minorEastAsia"/>
          <w:color w:val="auto"/>
        </w:rPr>
      </w:pPr>
      <w:r>
        <w:rPr>
          <w:rFonts w:eastAsiaTheme="minorEastAsia"/>
          <w:color w:val="auto"/>
        </w:rPr>
        <w:t>本工程主要是临时用地区域待施工后，及时进行土地平整，进行植被恢复措施。水土保持措施防治措施体系见图6-2-1。</w:t>
      </w:r>
    </w:p>
    <w:p>
      <w:pPr>
        <w:widowControl/>
        <w:spacing w:line="240" w:lineRule="auto"/>
        <w:jc w:val="left"/>
        <w:rPr>
          <w:rFonts w:eastAsiaTheme="minorEastAsia"/>
          <w:color w:val="auto"/>
          <w:kern w:val="0"/>
          <w:szCs w:val="24"/>
        </w:rPr>
      </w:pPr>
      <w:r>
        <w:rPr>
          <w:color w:val="auto"/>
          <w:sz w:val="24"/>
        </w:rPr>
        <mc:AlternateContent>
          <mc:Choice Requires="wpg">
            <w:drawing>
              <wp:anchor distT="0" distB="0" distL="114300" distR="114300" simplePos="0" relativeHeight="270129152" behindDoc="0" locked="0" layoutInCell="1" allowOverlap="1">
                <wp:simplePos x="0" y="0"/>
                <wp:positionH relativeFrom="column">
                  <wp:posOffset>2743200</wp:posOffset>
                </wp:positionH>
                <wp:positionV relativeFrom="paragraph">
                  <wp:posOffset>36195</wp:posOffset>
                </wp:positionV>
                <wp:extent cx="2066290" cy="361950"/>
                <wp:effectExtent l="0" t="0" r="10160" b="0"/>
                <wp:wrapNone/>
                <wp:docPr id="8" name="组合 8"/>
                <wp:cNvGraphicFramePr/>
                <a:graphic xmlns:a="http://schemas.openxmlformats.org/drawingml/2006/main">
                  <a:graphicData uri="http://schemas.microsoft.com/office/word/2010/wordprocessingGroup">
                    <wpg:wgp>
                      <wpg:cNvGrpSpPr/>
                      <wpg:grpSpPr>
                        <a:xfrm>
                          <a:off x="0" y="0"/>
                          <a:ext cx="2066290" cy="361950"/>
                          <a:chOff x="8124" y="2138594"/>
                          <a:chExt cx="3254" cy="570"/>
                        </a:xfrm>
                      </wpg:grpSpPr>
                      <pic:pic xmlns:pic="http://schemas.openxmlformats.org/drawingml/2006/picture">
                        <pic:nvPicPr>
                          <pic:cNvPr id="4" name="图片 13"/>
                          <pic:cNvPicPr>
                            <a:picLocks noChangeAspect="1"/>
                          </pic:cNvPicPr>
                        </pic:nvPicPr>
                        <pic:blipFill>
                          <a:blip r:embed="rId47"/>
                          <a:stretch>
                            <a:fillRect/>
                          </a:stretch>
                        </pic:blipFill>
                        <pic:spPr>
                          <a:xfrm>
                            <a:off x="8124" y="2138624"/>
                            <a:ext cx="1695" cy="540"/>
                          </a:xfrm>
                          <a:prstGeom prst="rect">
                            <a:avLst/>
                          </a:prstGeom>
                          <a:noFill/>
                          <a:ln w="9525">
                            <a:noFill/>
                          </a:ln>
                        </pic:spPr>
                      </pic:pic>
                      <pic:pic xmlns:pic="http://schemas.openxmlformats.org/drawingml/2006/picture">
                        <pic:nvPicPr>
                          <pic:cNvPr id="7" name="图片 14"/>
                          <pic:cNvPicPr>
                            <a:picLocks noChangeAspect="1"/>
                          </pic:cNvPicPr>
                        </pic:nvPicPr>
                        <pic:blipFill>
                          <a:blip r:embed="rId48"/>
                          <a:stretch>
                            <a:fillRect/>
                          </a:stretch>
                        </pic:blipFill>
                        <pic:spPr>
                          <a:xfrm>
                            <a:off x="9774" y="2138594"/>
                            <a:ext cx="1605" cy="525"/>
                          </a:xfrm>
                          <a:prstGeom prst="rect">
                            <a:avLst/>
                          </a:prstGeom>
                          <a:noFill/>
                          <a:ln w="9525">
                            <a:noFill/>
                          </a:ln>
                        </pic:spPr>
                      </pic:pic>
                    </wpg:wgp>
                  </a:graphicData>
                </a:graphic>
              </wp:anchor>
            </w:drawing>
          </mc:Choice>
          <mc:Fallback>
            <w:pict>
              <v:group id="_x0000_s1026" o:spid="_x0000_s1026" o:spt="203" style="position:absolute;left:0pt;margin-left:216pt;margin-top:2.85pt;height:28.5pt;width:162.7pt;z-index:270129152;mso-width-relative:page;mso-height-relative:page;" coordorigin="8124,2138594" coordsize="3254,570" o:gfxdata="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">
                <o:lock v:ext="edit" aspectratio="f"/>
                <v:shape id="图片 13" o:spid="_x0000_s1026" o:spt="75" type="#_x0000_t75" style="position:absolute;left:8124;top:2138624;height:540;width:1695;" filled="f" o:preferrelative="t" stroked="f" coordsize="21600,21600" o:gfxdata="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jgCvQAA&#10;ANoAAAAPAAAAAAAAAAEAIAAAACIAAABkcnMvZG93bnJldi54bWxQSwECFAAUAAAACACHTuJAMy8F&#10;njsAAAA5AAAAEAAAAAAAAAABACAAAAAMAQAAZHJzL3NoYXBleG1sLnhtbFBLBQYAAAAABgAGAFsB&#10;AAC2AwAAAAA=&#10;">
                  <v:fill on="f" focussize="0,0"/>
                  <v:stroke on="f"/>
                  <v:imagedata r:id="rId47" o:title=""/>
                  <o:lock v:ext="edit" aspectratio="t"/>
                </v:shape>
                <v:shape id="图片 14" o:spid="_x0000_s1026" o:spt="75" type="#_x0000_t75" style="position:absolute;left:9774;top:2138594;height:525;width:1605;" filled="f" o:preferrelative="t" stroked="f" coordsize="21600,21600" o:gfxdata="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rsZWe8AAAA&#10;2gAAAA8AAAAAAAAAAQAgAAAAIgAAAGRycy9kb3ducmV2LnhtbFBLAQIUABQAAAAIAIdO4kAzLwWe&#10;OwAAADkAAAAQAAAAAAAAAAEAIAAAAAsBAABkcnMvc2hhcGV4bWwueG1sUEsFBgAAAAAGAAYAWwEA&#10;ALUDAAAAAA==&#10;">
                  <v:fill on="f" focussize="0,0"/>
                  <v:stroke on="f"/>
                  <v:imagedata r:id="rId48" o:title=""/>
                  <o:lock v:ext="edit" aspectratio="t"/>
                </v:shape>
              </v:group>
            </w:pict>
          </mc:Fallback>
        </mc:AlternateContent>
      </w:r>
      <w:r>
        <w:rPr>
          <w:rFonts w:eastAsiaTheme="minorEastAsia"/>
          <w:color w:val="auto"/>
          <w:kern w:val="0"/>
          <w:szCs w:val="24"/>
        </w:rPr>
        <w:drawing>
          <wp:inline distT="0" distB="0" distL="0" distR="0">
            <wp:extent cx="5240020" cy="1895475"/>
            <wp:effectExtent l="0" t="0" r="0" b="9525"/>
            <wp:docPr id="37" name="图片 2" descr="D:\Downloads\QQ\502780050\Image\C2C\76LP[F_EU%KVKZ1`B}B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 descr="D:\Downloads\QQ\502780050\Image\C2C\76LP[F_EU%KVKZ1`B}B4@~8.pn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a:xfrm>
                      <a:off x="0" y="0"/>
                      <a:ext cx="5240020" cy="1895475"/>
                    </a:xfrm>
                    <a:prstGeom prst="rect">
                      <a:avLst/>
                    </a:prstGeom>
                    <a:noFill/>
                    <a:ln>
                      <a:noFill/>
                    </a:ln>
                  </pic:spPr>
                </pic:pic>
              </a:graphicData>
            </a:graphic>
          </wp:inline>
        </w:drawing>
      </w:r>
    </w:p>
    <w:p>
      <w:pPr>
        <w:ind w:firstLine="480" w:firstLineChars="200"/>
        <w:jc w:val="center"/>
        <w:rPr>
          <w:rFonts w:eastAsiaTheme="minorEastAsia"/>
          <w:bCs/>
          <w:color w:val="auto"/>
          <w:szCs w:val="24"/>
        </w:rPr>
      </w:pPr>
      <w:r>
        <w:rPr>
          <w:rFonts w:eastAsiaTheme="minorEastAsia"/>
          <w:bCs/>
          <w:color w:val="auto"/>
          <w:szCs w:val="24"/>
        </w:rPr>
        <w:t>图6-2-1水土流失防治措施体系框图</w:t>
      </w:r>
    </w:p>
    <w:p>
      <w:pPr>
        <w:ind w:firstLine="480" w:firstLineChars="200"/>
        <w:rPr>
          <w:rFonts w:eastAsiaTheme="minorEastAsia"/>
          <w:color w:val="auto"/>
          <w:szCs w:val="24"/>
        </w:rPr>
      </w:pPr>
      <w:r>
        <w:rPr>
          <w:rFonts w:eastAsiaTheme="minorEastAsia"/>
          <w:color w:val="auto"/>
          <w:szCs w:val="24"/>
        </w:rPr>
        <w:fldChar w:fldCharType="begin"/>
      </w:r>
      <w:r>
        <w:rPr>
          <w:rFonts w:eastAsiaTheme="minorEastAsia"/>
          <w:color w:val="auto"/>
          <w:szCs w:val="24"/>
        </w:rPr>
        <w:instrText xml:space="preserve"> = 1 \* GB3 </w:instrText>
      </w:r>
      <w:r>
        <w:rPr>
          <w:rFonts w:eastAsiaTheme="minorEastAsia"/>
          <w:color w:val="auto"/>
          <w:szCs w:val="24"/>
        </w:rPr>
        <w:fldChar w:fldCharType="separate"/>
      </w:r>
      <w:r>
        <w:rPr>
          <w:rFonts w:hint="eastAsia" w:ascii="宋体" w:hAnsi="宋体" w:cs="宋体"/>
          <w:color w:val="auto"/>
          <w:szCs w:val="24"/>
        </w:rPr>
        <w:t>①</w:t>
      </w:r>
      <w:r>
        <w:rPr>
          <w:rFonts w:eastAsiaTheme="minorEastAsia"/>
          <w:color w:val="auto"/>
          <w:szCs w:val="24"/>
        </w:rPr>
        <w:fldChar w:fldCharType="end"/>
      </w:r>
      <w:r>
        <w:rPr>
          <w:rFonts w:eastAsiaTheme="minorEastAsia"/>
          <w:color w:val="auto"/>
          <w:szCs w:val="24"/>
        </w:rPr>
        <w:t>采掘区</w:t>
      </w:r>
    </w:p>
    <w:p>
      <w:pPr>
        <w:ind w:firstLine="480" w:firstLineChars="200"/>
        <w:rPr>
          <w:rFonts w:eastAsiaTheme="minorEastAsia"/>
          <w:color w:val="auto"/>
          <w:szCs w:val="24"/>
        </w:rPr>
      </w:pPr>
      <w:r>
        <w:rPr>
          <w:rFonts w:hint="eastAsia" w:eastAsiaTheme="minorEastAsia"/>
          <w:color w:val="auto"/>
          <w:szCs w:val="24"/>
          <w:lang w:eastAsia="zh-CN"/>
        </w:rPr>
        <w:t>本项目</w:t>
      </w:r>
      <w:r>
        <w:rPr>
          <w:rFonts w:hint="eastAsia" w:eastAsiaTheme="minorEastAsia"/>
          <w:color w:val="auto"/>
          <w:lang w:eastAsia="zh-CN"/>
        </w:rPr>
        <w:t>不新增用地，在原有矿山开采范围基础上继续向下深挖，由于矿山已开采多年，矿山表面已无表土，岩石外露，因此，不设置表土</w:t>
      </w:r>
      <w:r>
        <w:rPr>
          <w:rFonts w:eastAsiaTheme="minorEastAsia"/>
          <w:color w:val="auto"/>
        </w:rPr>
        <w:t>暂存</w:t>
      </w:r>
      <w:r>
        <w:rPr>
          <w:rFonts w:hint="eastAsia" w:eastAsiaTheme="minorEastAsia"/>
          <w:color w:val="auto"/>
          <w:lang w:eastAsia="zh-CN"/>
        </w:rPr>
        <w:t>场。</w:t>
      </w:r>
    </w:p>
    <w:p>
      <w:pPr>
        <w:ind w:firstLine="480" w:firstLineChars="200"/>
        <w:rPr>
          <w:rFonts w:eastAsiaTheme="minorEastAsia"/>
          <w:color w:val="auto"/>
          <w:szCs w:val="24"/>
        </w:rPr>
      </w:pPr>
      <w:r>
        <w:rPr>
          <w:rFonts w:eastAsiaTheme="minorEastAsia"/>
          <w:color w:val="auto"/>
          <w:szCs w:val="24"/>
        </w:rPr>
        <w:t>矿区周边多为林地</w:t>
      </w:r>
      <w:r>
        <w:rPr>
          <w:rFonts w:hint="eastAsia" w:eastAsiaTheme="minorEastAsia"/>
          <w:color w:val="auto"/>
          <w:szCs w:val="24"/>
          <w:lang w:eastAsia="zh-CN"/>
        </w:rPr>
        <w:t>和耕地</w:t>
      </w:r>
      <w:r>
        <w:rPr>
          <w:rFonts w:eastAsiaTheme="minorEastAsia"/>
          <w:color w:val="auto"/>
          <w:szCs w:val="24"/>
        </w:rPr>
        <w:t>，在矿区采场的开拓期间，施工单位要严格按照征地红线进行施工，避免破坏周边林地；采场周边的林地植被对采场也将起到一定的防护作用。运行期采掘区还将继续生产活动，因此运行期采掘区不新增防治措施。</w:t>
      </w:r>
    </w:p>
    <w:p>
      <w:pPr>
        <w:ind w:firstLine="480" w:firstLineChars="200"/>
        <w:rPr>
          <w:rFonts w:eastAsiaTheme="minorEastAsia"/>
          <w:color w:val="auto"/>
          <w:szCs w:val="24"/>
        </w:rPr>
      </w:pPr>
      <w:r>
        <w:rPr>
          <w:rFonts w:eastAsiaTheme="minorEastAsia"/>
          <w:color w:val="auto"/>
          <w:szCs w:val="24"/>
        </w:rPr>
        <w:fldChar w:fldCharType="begin"/>
      </w:r>
      <w:r>
        <w:rPr>
          <w:rFonts w:eastAsiaTheme="minorEastAsia"/>
          <w:color w:val="auto"/>
          <w:szCs w:val="24"/>
        </w:rPr>
        <w:instrText xml:space="preserve"> = 2 \* GB3 </w:instrText>
      </w:r>
      <w:r>
        <w:rPr>
          <w:rFonts w:eastAsiaTheme="minorEastAsia"/>
          <w:color w:val="auto"/>
          <w:szCs w:val="24"/>
        </w:rPr>
        <w:fldChar w:fldCharType="separate"/>
      </w:r>
      <w:r>
        <w:rPr>
          <w:rFonts w:hint="eastAsia" w:ascii="宋体" w:hAnsi="宋体" w:cs="宋体"/>
          <w:color w:val="auto"/>
          <w:szCs w:val="24"/>
        </w:rPr>
        <w:t>②</w:t>
      </w:r>
      <w:r>
        <w:rPr>
          <w:rFonts w:eastAsiaTheme="minorEastAsia"/>
          <w:color w:val="auto"/>
          <w:szCs w:val="24"/>
        </w:rPr>
        <w:fldChar w:fldCharType="end"/>
      </w:r>
      <w:r>
        <w:rPr>
          <w:rFonts w:eastAsiaTheme="minorEastAsia"/>
          <w:color w:val="auto"/>
          <w:szCs w:val="24"/>
        </w:rPr>
        <w:t>采矿境界区</w:t>
      </w:r>
    </w:p>
    <w:p>
      <w:pPr>
        <w:ind w:firstLine="480" w:firstLineChars="200"/>
        <w:rPr>
          <w:rFonts w:eastAsiaTheme="minorEastAsia"/>
          <w:color w:val="auto"/>
          <w:szCs w:val="24"/>
        </w:rPr>
      </w:pPr>
      <w:r>
        <w:rPr>
          <w:rFonts w:eastAsiaTheme="minorEastAsia"/>
          <w:color w:val="auto"/>
          <w:szCs w:val="24"/>
        </w:rPr>
        <w:t>采矿境界汇水上方设置截流沟，长度</w:t>
      </w:r>
      <w:r>
        <w:rPr>
          <w:rFonts w:hint="eastAsia" w:eastAsiaTheme="minorEastAsia"/>
          <w:color w:val="auto"/>
          <w:szCs w:val="24"/>
          <w:lang w:val="en-US" w:eastAsia="zh-CN"/>
        </w:rPr>
        <w:t>240</w:t>
      </w:r>
      <w:r>
        <w:rPr>
          <w:rFonts w:eastAsiaTheme="minorEastAsia"/>
          <w:color w:val="auto"/>
          <w:szCs w:val="24"/>
        </w:rPr>
        <w:t>m，用以防止外来水流入厂区内。</w:t>
      </w:r>
    </w:p>
    <w:p>
      <w:pPr>
        <w:ind w:firstLine="480" w:firstLineChars="200"/>
        <w:rPr>
          <w:rFonts w:eastAsiaTheme="minorEastAsia"/>
          <w:color w:val="auto"/>
          <w:szCs w:val="24"/>
        </w:rPr>
      </w:pPr>
      <w:r>
        <w:rPr>
          <w:rFonts w:eastAsiaTheme="minorEastAsia"/>
          <w:color w:val="auto"/>
          <w:szCs w:val="24"/>
        </w:rPr>
        <w:fldChar w:fldCharType="begin"/>
      </w:r>
      <w:r>
        <w:rPr>
          <w:rFonts w:eastAsiaTheme="minorEastAsia"/>
          <w:color w:val="auto"/>
          <w:szCs w:val="24"/>
        </w:rPr>
        <w:instrText xml:space="preserve"> = 3 \* GB3 </w:instrText>
      </w:r>
      <w:r>
        <w:rPr>
          <w:rFonts w:eastAsiaTheme="minorEastAsia"/>
          <w:color w:val="auto"/>
          <w:szCs w:val="24"/>
        </w:rPr>
        <w:fldChar w:fldCharType="separate"/>
      </w:r>
      <w:r>
        <w:rPr>
          <w:rFonts w:hint="eastAsia" w:ascii="宋体" w:hAnsi="宋体" w:cs="宋体"/>
          <w:color w:val="auto"/>
          <w:szCs w:val="24"/>
        </w:rPr>
        <w:t>③</w:t>
      </w:r>
      <w:r>
        <w:rPr>
          <w:rFonts w:eastAsiaTheme="minorEastAsia"/>
          <w:color w:val="auto"/>
          <w:szCs w:val="24"/>
        </w:rPr>
        <w:fldChar w:fldCharType="end"/>
      </w:r>
      <w:r>
        <w:rPr>
          <w:rFonts w:eastAsiaTheme="minorEastAsia"/>
          <w:color w:val="auto"/>
          <w:szCs w:val="24"/>
        </w:rPr>
        <w:t>临时堆土场、原矿堆场</w:t>
      </w:r>
    </w:p>
    <w:p>
      <w:pPr>
        <w:ind w:firstLine="480" w:firstLineChars="200"/>
        <w:rPr>
          <w:rFonts w:eastAsiaTheme="minorEastAsia"/>
          <w:color w:val="auto"/>
          <w:szCs w:val="24"/>
        </w:rPr>
      </w:pPr>
      <w:r>
        <w:rPr>
          <w:rFonts w:eastAsiaTheme="minorEastAsia"/>
          <w:color w:val="auto"/>
          <w:szCs w:val="24"/>
        </w:rPr>
        <w:t>在临时堆土场</w:t>
      </w:r>
      <w:r>
        <w:rPr>
          <w:rFonts w:hint="eastAsia" w:eastAsiaTheme="minorEastAsia"/>
          <w:color w:val="auto"/>
          <w:szCs w:val="24"/>
          <w:lang w:eastAsia="zh-CN"/>
        </w:rPr>
        <w:t>、</w:t>
      </w:r>
      <w:r>
        <w:rPr>
          <w:rFonts w:eastAsiaTheme="minorEastAsia"/>
          <w:color w:val="auto"/>
          <w:szCs w:val="24"/>
        </w:rPr>
        <w:t>原矿堆场建设过程中，应在外围修筑挡土墙，挡土墙可采用本项目采掘过程中剥离出的岩石，作为主要砌筑材料，采用梯形断面，断面设计为：0.5m宽，1.5m高，总长</w:t>
      </w:r>
      <w:r>
        <w:rPr>
          <w:rFonts w:hint="eastAsia" w:eastAsiaTheme="minorEastAsia"/>
          <w:color w:val="auto"/>
          <w:szCs w:val="24"/>
          <w:lang w:val="en-US" w:eastAsia="zh-CN"/>
        </w:rPr>
        <w:t>148</w:t>
      </w:r>
      <w:r>
        <w:rPr>
          <w:rFonts w:eastAsiaTheme="minorEastAsia"/>
          <w:color w:val="auto"/>
          <w:szCs w:val="24"/>
        </w:rPr>
        <w:t>m；</w:t>
      </w:r>
      <w:r>
        <w:rPr>
          <w:rFonts w:eastAsiaTheme="minorEastAsia"/>
          <w:color w:val="auto"/>
        </w:rPr>
        <w:t>并在挡土墙边设排水沟</w:t>
      </w:r>
      <w:r>
        <w:rPr>
          <w:rFonts w:eastAsiaTheme="minorEastAsia"/>
          <w:color w:val="auto"/>
          <w:szCs w:val="24"/>
        </w:rPr>
        <w:t>，排水沟底宽0.4m，深0.4m，总长</w:t>
      </w:r>
      <w:r>
        <w:rPr>
          <w:rFonts w:hint="eastAsia" w:eastAsiaTheme="minorEastAsia"/>
          <w:color w:val="auto"/>
          <w:szCs w:val="24"/>
          <w:lang w:val="en-US" w:eastAsia="zh-CN"/>
        </w:rPr>
        <w:t>148</w:t>
      </w:r>
      <w:r>
        <w:rPr>
          <w:rFonts w:eastAsiaTheme="minorEastAsia"/>
          <w:color w:val="auto"/>
          <w:szCs w:val="24"/>
        </w:rPr>
        <w:t>m，用以防止外来水流入场区。</w:t>
      </w:r>
    </w:p>
    <w:p>
      <w:pPr>
        <w:spacing w:line="500" w:lineRule="exact"/>
        <w:ind w:firstLine="480" w:firstLineChars="200"/>
        <w:rPr>
          <w:rFonts w:eastAsiaTheme="minorEastAsia"/>
          <w:color w:val="auto"/>
        </w:rPr>
      </w:pPr>
      <w:r>
        <w:rPr>
          <w:rFonts w:eastAsiaTheme="minorEastAsia"/>
          <w:color w:val="auto"/>
        </w:rPr>
        <w:t>采取本项目运营期提出的措施，可有效防治水土流失，降低颗粒物对周围植物的影响，减少对野生动物的干扰，本项目采取的生态保护措施可行。</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6.2.2运行期大气污染物防治措施可行性分析</w:t>
      </w:r>
    </w:p>
    <w:p>
      <w:pPr>
        <w:spacing w:line="500" w:lineRule="exact"/>
        <w:ind w:firstLine="480" w:firstLineChars="200"/>
        <w:rPr>
          <w:rFonts w:eastAsiaTheme="minorEastAsia"/>
          <w:color w:val="auto"/>
          <w:kern w:val="1"/>
          <w:szCs w:val="24"/>
        </w:rPr>
      </w:pPr>
      <w:r>
        <w:rPr>
          <w:rFonts w:eastAsiaTheme="minorEastAsia"/>
          <w:color w:val="auto"/>
          <w:kern w:val="1"/>
          <w:szCs w:val="24"/>
        </w:rPr>
        <w:t>（1）凿岩穿孔</w:t>
      </w:r>
    </w:p>
    <w:p>
      <w:pPr>
        <w:spacing w:line="500" w:lineRule="exact"/>
        <w:ind w:firstLine="480" w:firstLineChars="200"/>
        <w:rPr>
          <w:rFonts w:eastAsiaTheme="minorEastAsia"/>
          <w:color w:val="auto"/>
          <w:kern w:val="1"/>
          <w:szCs w:val="24"/>
        </w:rPr>
      </w:pPr>
      <w:r>
        <w:rPr>
          <w:rFonts w:eastAsiaTheme="minorEastAsia"/>
          <w:color w:val="auto"/>
          <w:kern w:val="1"/>
          <w:szCs w:val="24"/>
        </w:rPr>
        <w:t>爆破前的凿岩作业产生粉尘，爆破采取多段微差起爆，为中深孔松动爆破，通过洒水加湿处理，采用临时水管洒水抑尘，可使粉尘排放量降低60%，粉尘排放量较少。</w:t>
      </w:r>
    </w:p>
    <w:p>
      <w:pPr>
        <w:autoSpaceDE w:val="0"/>
        <w:autoSpaceDN w:val="0"/>
        <w:adjustRightInd w:val="0"/>
        <w:spacing w:line="500" w:lineRule="exact"/>
        <w:ind w:firstLine="480" w:firstLineChars="200"/>
        <w:jc w:val="left"/>
        <w:rPr>
          <w:rFonts w:eastAsiaTheme="minorEastAsia"/>
          <w:color w:val="auto"/>
          <w:kern w:val="1"/>
          <w:szCs w:val="24"/>
        </w:rPr>
      </w:pPr>
      <w:r>
        <w:rPr>
          <w:rFonts w:eastAsiaTheme="minorEastAsia"/>
          <w:color w:val="auto"/>
          <w:kern w:val="1"/>
          <w:szCs w:val="24"/>
        </w:rPr>
        <w:t xml:space="preserve">（2）爆破过程 </w:t>
      </w:r>
    </w:p>
    <w:p>
      <w:pPr>
        <w:autoSpaceDE w:val="0"/>
        <w:autoSpaceDN w:val="0"/>
        <w:adjustRightInd w:val="0"/>
        <w:spacing w:line="500" w:lineRule="exact"/>
        <w:ind w:firstLine="480" w:firstLineChars="200"/>
        <w:jc w:val="left"/>
        <w:rPr>
          <w:rFonts w:eastAsiaTheme="minorEastAsia"/>
          <w:color w:val="auto"/>
          <w:kern w:val="1"/>
          <w:szCs w:val="24"/>
        </w:rPr>
      </w:pPr>
      <w:r>
        <w:rPr>
          <w:rFonts w:eastAsiaTheme="minorEastAsia"/>
          <w:color w:val="auto"/>
          <w:kern w:val="1"/>
          <w:szCs w:val="24"/>
        </w:rPr>
        <w:t xml:space="preserve">本项目爆破方式采用控制导爆管微差技术进行爆破，降低用药量，减少扬尘量和爆破废气量，另外选择大气扩散条件较好的时间进行爆破，有助于废气尽快扩散。爆破过程可产生粉尘污染，中深孔松动爆破，通过洒水加湿处理，采用临时水管洒水抑尘，抑尘效率80%。 </w:t>
      </w:r>
    </w:p>
    <w:p>
      <w:pPr>
        <w:spacing w:line="500" w:lineRule="exact"/>
        <w:ind w:firstLine="480" w:firstLineChars="200"/>
        <w:rPr>
          <w:rFonts w:eastAsiaTheme="minorEastAsia"/>
          <w:color w:val="auto"/>
          <w:kern w:val="1"/>
          <w:szCs w:val="24"/>
        </w:rPr>
      </w:pPr>
      <w:r>
        <w:rPr>
          <w:rFonts w:eastAsiaTheme="minorEastAsia"/>
          <w:color w:val="auto"/>
          <w:kern w:val="1"/>
          <w:szCs w:val="24"/>
        </w:rPr>
        <w:t>（3）集堆、铲装粉尘</w:t>
      </w:r>
    </w:p>
    <w:p>
      <w:pPr>
        <w:spacing w:line="500" w:lineRule="exact"/>
        <w:ind w:firstLine="480" w:firstLineChars="200"/>
        <w:rPr>
          <w:rFonts w:eastAsiaTheme="minorEastAsia"/>
          <w:color w:val="auto"/>
          <w:kern w:val="1"/>
          <w:szCs w:val="24"/>
        </w:rPr>
      </w:pPr>
      <w:r>
        <w:rPr>
          <w:rFonts w:eastAsiaTheme="minorEastAsia"/>
          <w:color w:val="auto"/>
          <w:kern w:val="1"/>
          <w:szCs w:val="24"/>
        </w:rPr>
        <w:t>项目矿石在集堆、铲装会产生一定量粉尘，通过移动式洒水抑尘装置，通过洒水抑尘可使粉尘排放量降低80%。</w:t>
      </w:r>
    </w:p>
    <w:p>
      <w:pPr>
        <w:autoSpaceDE w:val="0"/>
        <w:autoSpaceDN w:val="0"/>
        <w:adjustRightInd w:val="0"/>
        <w:spacing w:line="500" w:lineRule="exact"/>
        <w:ind w:firstLine="480" w:firstLineChars="200"/>
        <w:jc w:val="left"/>
        <w:rPr>
          <w:rFonts w:eastAsiaTheme="minorEastAsia"/>
          <w:color w:val="auto"/>
          <w:kern w:val="1"/>
          <w:szCs w:val="24"/>
        </w:rPr>
      </w:pPr>
      <w:r>
        <w:rPr>
          <w:rFonts w:eastAsiaTheme="minorEastAsia"/>
          <w:color w:val="auto"/>
          <w:kern w:val="1"/>
          <w:szCs w:val="24"/>
        </w:rPr>
        <w:t xml:space="preserve">（4）运输道路 </w:t>
      </w:r>
    </w:p>
    <w:p>
      <w:pPr>
        <w:spacing w:line="500" w:lineRule="exact"/>
        <w:ind w:firstLine="480" w:firstLineChars="200"/>
        <w:rPr>
          <w:rFonts w:eastAsiaTheme="minorEastAsia"/>
          <w:color w:val="auto"/>
          <w:kern w:val="1"/>
          <w:szCs w:val="24"/>
        </w:rPr>
      </w:pPr>
      <w:r>
        <w:rPr>
          <w:rFonts w:eastAsiaTheme="minorEastAsia"/>
          <w:color w:val="auto"/>
          <w:kern w:val="1"/>
          <w:szCs w:val="24"/>
        </w:rPr>
        <w:t>定期用洒水车对采场路面洒水，运输道路通过村庄的路段在车辆通过时洒水，保持路面湿润，控制行驶速度（保持在15km/h），并且加盖苫布，减少汽车运输过程中的扬尘。</w:t>
      </w:r>
    </w:p>
    <w:p>
      <w:pPr>
        <w:pStyle w:val="276"/>
        <w:rPr>
          <w:rFonts w:eastAsiaTheme="minorEastAsia"/>
          <w:color w:val="auto"/>
        </w:rPr>
      </w:pPr>
      <w:r>
        <w:rPr>
          <w:rFonts w:eastAsiaTheme="minorEastAsia"/>
          <w:color w:val="auto"/>
          <w:kern w:val="1"/>
        </w:rPr>
        <w:t>（5）</w:t>
      </w:r>
      <w:r>
        <w:rPr>
          <w:rFonts w:eastAsiaTheme="minorEastAsia"/>
          <w:color w:val="auto"/>
        </w:rPr>
        <w:t>临时堆土场粉尘</w:t>
      </w:r>
    </w:p>
    <w:p>
      <w:pPr>
        <w:ind w:firstLine="480" w:firstLineChars="200"/>
        <w:rPr>
          <w:rFonts w:eastAsiaTheme="minorEastAsia"/>
          <w:color w:val="auto"/>
          <w:kern w:val="1"/>
          <w:szCs w:val="24"/>
        </w:rPr>
      </w:pPr>
      <w:r>
        <w:rPr>
          <w:rFonts w:eastAsiaTheme="minorEastAsia"/>
          <w:color w:val="auto"/>
        </w:rPr>
        <w:t>本项目设置临时堆土场通过洒水抑尘，可使起尘量降低80%。</w:t>
      </w:r>
    </w:p>
    <w:p>
      <w:pPr>
        <w:pStyle w:val="276"/>
        <w:rPr>
          <w:rFonts w:eastAsiaTheme="minorEastAsia"/>
          <w:color w:val="auto"/>
          <w:kern w:val="1"/>
        </w:rPr>
      </w:pPr>
      <w:r>
        <w:rPr>
          <w:rFonts w:eastAsiaTheme="minorEastAsia"/>
          <w:color w:val="auto"/>
          <w:kern w:val="1"/>
        </w:rPr>
        <w:t>（6）成品料场、原矿堆场粉尘</w:t>
      </w:r>
    </w:p>
    <w:p>
      <w:pPr>
        <w:spacing w:line="500" w:lineRule="exact"/>
        <w:ind w:firstLine="480" w:firstLineChars="200"/>
        <w:rPr>
          <w:rFonts w:eastAsiaTheme="minorEastAsia"/>
          <w:color w:val="auto"/>
          <w:kern w:val="1"/>
          <w:szCs w:val="24"/>
        </w:rPr>
      </w:pPr>
      <w:r>
        <w:rPr>
          <w:rFonts w:eastAsiaTheme="minorEastAsia"/>
          <w:color w:val="auto"/>
          <w:kern w:val="1"/>
          <w:szCs w:val="24"/>
        </w:rPr>
        <w:t>通过在成品料场、原矿堆场洒水降尘可使起尘量降低80%。</w:t>
      </w:r>
    </w:p>
    <w:p>
      <w:pPr>
        <w:autoSpaceDE w:val="0"/>
        <w:autoSpaceDN w:val="0"/>
        <w:adjustRightInd w:val="0"/>
        <w:spacing w:line="500" w:lineRule="exact"/>
        <w:ind w:firstLine="480" w:firstLineChars="200"/>
        <w:jc w:val="left"/>
        <w:rPr>
          <w:rFonts w:eastAsiaTheme="minorEastAsia"/>
          <w:color w:val="auto"/>
          <w:kern w:val="1"/>
          <w:szCs w:val="24"/>
        </w:rPr>
      </w:pPr>
      <w:r>
        <w:rPr>
          <w:rFonts w:eastAsiaTheme="minorEastAsia"/>
          <w:color w:val="auto"/>
          <w:kern w:val="1"/>
          <w:szCs w:val="24"/>
        </w:rPr>
        <w:t xml:space="preserve">（7）破碎、筛分加工过程 </w:t>
      </w:r>
    </w:p>
    <w:p>
      <w:pPr>
        <w:spacing w:line="500" w:lineRule="exact"/>
        <w:ind w:firstLine="480" w:firstLineChars="200"/>
        <w:rPr>
          <w:rFonts w:eastAsiaTheme="minorEastAsia"/>
          <w:color w:val="auto"/>
          <w:kern w:val="1"/>
          <w:szCs w:val="24"/>
        </w:rPr>
      </w:pPr>
      <w:r>
        <w:rPr>
          <w:rFonts w:eastAsiaTheme="minorEastAsia"/>
          <w:color w:val="auto"/>
          <w:kern w:val="1"/>
          <w:szCs w:val="24"/>
        </w:rPr>
        <w:t>本项目破碎、筛分过程中会产生一定量的粉尘，所有设备均安装基础减振设施，利用破碎筛分设备外侧现有封闭设施收集排放的颗粒物，</w:t>
      </w:r>
      <w:r>
        <w:rPr>
          <w:rFonts w:hint="eastAsia" w:eastAsiaTheme="minorEastAsia"/>
          <w:color w:val="auto"/>
          <w:kern w:val="1"/>
          <w:szCs w:val="24"/>
          <w:lang w:eastAsia="zh-CN"/>
        </w:rPr>
        <w:t>粗碎</w:t>
      </w:r>
      <w:r>
        <w:rPr>
          <w:rFonts w:eastAsiaTheme="minorEastAsia"/>
          <w:color w:val="auto"/>
          <w:kern w:val="1"/>
          <w:szCs w:val="24"/>
        </w:rPr>
        <w:t>破碎机</w:t>
      </w:r>
      <w:r>
        <w:rPr>
          <w:rFonts w:hint="eastAsia" w:eastAsiaTheme="minorEastAsia"/>
          <w:color w:val="auto"/>
          <w:kern w:val="1"/>
          <w:szCs w:val="24"/>
          <w:lang w:eastAsia="zh-CN"/>
        </w:rPr>
        <w:t>、细碎</w:t>
      </w:r>
      <w:r>
        <w:rPr>
          <w:rFonts w:eastAsiaTheme="minorEastAsia"/>
          <w:color w:val="auto"/>
          <w:kern w:val="1"/>
          <w:szCs w:val="24"/>
        </w:rPr>
        <w:t>破碎机</w:t>
      </w:r>
      <w:r>
        <w:rPr>
          <w:rFonts w:hint="eastAsia" w:eastAsiaTheme="minorEastAsia"/>
          <w:color w:val="auto"/>
          <w:kern w:val="1"/>
          <w:szCs w:val="24"/>
          <w:lang w:eastAsia="zh-CN"/>
        </w:rPr>
        <w:t>、振动筛各</w:t>
      </w:r>
      <w:r>
        <w:rPr>
          <w:rFonts w:eastAsiaTheme="minorEastAsia"/>
          <w:color w:val="auto"/>
          <w:kern w:val="1"/>
          <w:szCs w:val="24"/>
        </w:rPr>
        <w:t>设置1台布袋除尘器，除尘效率为99%，分别经15m高排气筒排放。将破碎机及振动筛设备四周设置彩钢板使其处于完全封闭，留有检修及维护仓门，入料口位于封闭仓内，石料从破碎机送至振动筛过程采用全封闭皮带式廊道运输，在出料口处沿传送皮带设置全封闭出口廊道，</w:t>
      </w:r>
      <w:r>
        <w:rPr>
          <w:rFonts w:eastAsiaTheme="minorEastAsia"/>
          <w:color w:val="auto"/>
        </w:rPr>
        <w:t>皮带输送机进料口及出料口设置喷淋抑尘装置。</w:t>
      </w:r>
    </w:p>
    <w:p>
      <w:pPr>
        <w:autoSpaceDE w:val="0"/>
        <w:autoSpaceDN w:val="0"/>
        <w:adjustRightInd w:val="0"/>
        <w:spacing w:line="500" w:lineRule="exact"/>
        <w:ind w:firstLine="480" w:firstLineChars="200"/>
        <w:jc w:val="left"/>
        <w:rPr>
          <w:rFonts w:eastAsiaTheme="minorEastAsia"/>
          <w:color w:val="auto"/>
          <w:kern w:val="1"/>
          <w:szCs w:val="24"/>
        </w:rPr>
      </w:pPr>
      <w:r>
        <w:rPr>
          <w:rFonts w:eastAsiaTheme="minorEastAsia"/>
          <w:color w:val="auto"/>
          <w:kern w:val="1"/>
          <w:szCs w:val="24"/>
        </w:rPr>
        <w:t xml:space="preserve">（8）石粉仓粉尘 </w:t>
      </w:r>
    </w:p>
    <w:p>
      <w:pPr>
        <w:spacing w:line="500" w:lineRule="exact"/>
        <w:ind w:firstLine="480" w:firstLineChars="200"/>
        <w:rPr>
          <w:rFonts w:eastAsiaTheme="minorEastAsia"/>
          <w:color w:val="auto"/>
          <w:kern w:val="1"/>
          <w:szCs w:val="24"/>
        </w:rPr>
      </w:pPr>
      <w:r>
        <w:rPr>
          <w:rFonts w:eastAsiaTheme="minorEastAsia"/>
          <w:color w:val="auto"/>
          <w:kern w:val="1"/>
          <w:szCs w:val="24"/>
        </w:rPr>
        <w:t>布袋除尘器收集的粉尘和筛分收集的石粉，用罐车运至石粉仓，石粉仓采取密闭措施，可降低粉尘80%排放量。</w:t>
      </w:r>
    </w:p>
    <w:p>
      <w:pPr>
        <w:spacing w:line="500" w:lineRule="exact"/>
        <w:ind w:firstLine="480" w:firstLineChars="200"/>
        <w:rPr>
          <w:rFonts w:eastAsiaTheme="minorEastAsia"/>
          <w:color w:val="auto"/>
          <w:kern w:val="1"/>
          <w:szCs w:val="24"/>
        </w:rPr>
      </w:pPr>
      <w:r>
        <w:rPr>
          <w:rFonts w:eastAsiaTheme="minorEastAsia"/>
          <w:color w:val="auto"/>
          <w:kern w:val="1"/>
          <w:szCs w:val="24"/>
        </w:rPr>
        <w:t>采取上述防治措施后，本项目产生粉尘对周围环境影响较小，措施可行。</w:t>
      </w:r>
    </w:p>
    <w:p>
      <w:pPr>
        <w:spacing w:line="500" w:lineRule="exact"/>
        <w:ind w:firstLine="480" w:firstLineChars="200"/>
        <w:jc w:val="center"/>
        <w:rPr>
          <w:rFonts w:eastAsiaTheme="minorEastAsia"/>
          <w:color w:val="auto"/>
          <w:kern w:val="0"/>
          <w:szCs w:val="24"/>
        </w:rPr>
      </w:pPr>
      <w:r>
        <w:rPr>
          <w:rFonts w:eastAsiaTheme="minorEastAsia"/>
          <w:color w:val="auto"/>
          <w:szCs w:val="24"/>
        </w:rPr>
        <w:t>表6-2-1本项目大气污染防治措施一览表</w:t>
      </w:r>
    </w:p>
    <w:tbl>
      <w:tblPr>
        <w:tblStyle w:val="54"/>
        <w:tblW w:w="8296" w:type="dxa"/>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562"/>
        <w:gridCol w:w="1418"/>
        <w:gridCol w:w="4961"/>
        <w:gridCol w:w="1355"/>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c>
          <w:tcPr>
            <w:tcW w:w="562" w:type="dxa"/>
            <w:vAlign w:val="center"/>
          </w:tcPr>
          <w:p>
            <w:pPr>
              <w:spacing w:line="500" w:lineRule="exact"/>
              <w:jc w:val="center"/>
              <w:rPr>
                <w:rFonts w:ascii="Times New Roman" w:hAnsi="Times New Roman" w:eastAsiaTheme="minorEastAsia"/>
                <w:color w:val="auto"/>
                <w:kern w:val="0"/>
                <w:sz w:val="21"/>
                <w:szCs w:val="21"/>
              </w:rPr>
            </w:pPr>
            <w:r>
              <w:rPr>
                <w:rFonts w:ascii="Times New Roman" w:hAnsi="Times New Roman" w:eastAsiaTheme="minorEastAsia"/>
                <w:color w:val="auto"/>
                <w:kern w:val="0"/>
                <w:sz w:val="21"/>
                <w:szCs w:val="21"/>
              </w:rPr>
              <w:t>序号</w:t>
            </w:r>
          </w:p>
        </w:tc>
        <w:tc>
          <w:tcPr>
            <w:tcW w:w="1418" w:type="dxa"/>
            <w:vAlign w:val="center"/>
          </w:tcPr>
          <w:p>
            <w:pPr>
              <w:spacing w:line="500" w:lineRule="exact"/>
              <w:jc w:val="center"/>
              <w:rPr>
                <w:rFonts w:ascii="Times New Roman" w:hAnsi="Times New Roman" w:eastAsiaTheme="minorEastAsia"/>
                <w:color w:val="auto"/>
                <w:kern w:val="0"/>
                <w:sz w:val="21"/>
                <w:szCs w:val="21"/>
              </w:rPr>
            </w:pPr>
            <w:r>
              <w:rPr>
                <w:rFonts w:ascii="Times New Roman" w:hAnsi="Times New Roman" w:eastAsiaTheme="minorEastAsia"/>
                <w:color w:val="auto"/>
                <w:kern w:val="0"/>
                <w:sz w:val="21"/>
                <w:szCs w:val="21"/>
              </w:rPr>
              <w:t>产尘点</w:t>
            </w:r>
          </w:p>
        </w:tc>
        <w:tc>
          <w:tcPr>
            <w:tcW w:w="4961" w:type="dxa"/>
            <w:vAlign w:val="center"/>
          </w:tcPr>
          <w:p>
            <w:pPr>
              <w:spacing w:line="500" w:lineRule="exact"/>
              <w:jc w:val="center"/>
              <w:rPr>
                <w:rFonts w:ascii="Times New Roman" w:hAnsi="Times New Roman" w:eastAsiaTheme="minorEastAsia"/>
                <w:color w:val="auto"/>
                <w:kern w:val="0"/>
                <w:sz w:val="21"/>
                <w:szCs w:val="21"/>
              </w:rPr>
            </w:pPr>
            <w:r>
              <w:rPr>
                <w:rFonts w:ascii="Times New Roman" w:hAnsi="Times New Roman" w:eastAsiaTheme="minorEastAsia"/>
                <w:color w:val="auto"/>
                <w:kern w:val="0"/>
                <w:sz w:val="21"/>
                <w:szCs w:val="21"/>
              </w:rPr>
              <w:t>防治措施</w:t>
            </w:r>
          </w:p>
        </w:tc>
        <w:tc>
          <w:tcPr>
            <w:tcW w:w="1355" w:type="dxa"/>
            <w:vAlign w:val="center"/>
          </w:tcPr>
          <w:p>
            <w:pPr>
              <w:spacing w:line="500" w:lineRule="exact"/>
              <w:jc w:val="center"/>
              <w:rPr>
                <w:rFonts w:ascii="Times New Roman" w:hAnsi="Times New Roman" w:eastAsiaTheme="minorEastAsia"/>
                <w:color w:val="auto"/>
                <w:kern w:val="0"/>
                <w:sz w:val="21"/>
                <w:szCs w:val="21"/>
              </w:rPr>
            </w:pPr>
            <w:r>
              <w:rPr>
                <w:rFonts w:ascii="Times New Roman" w:hAnsi="Times New Roman" w:eastAsiaTheme="minorEastAsia"/>
                <w:color w:val="auto"/>
                <w:kern w:val="0"/>
                <w:sz w:val="21"/>
                <w:szCs w:val="21"/>
              </w:rPr>
              <w:t>预期效果</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c>
          <w:tcPr>
            <w:tcW w:w="562" w:type="dxa"/>
            <w:vAlign w:val="center"/>
          </w:tcPr>
          <w:p>
            <w:pPr>
              <w:spacing w:line="500" w:lineRule="exact"/>
              <w:jc w:val="center"/>
              <w:rPr>
                <w:rFonts w:ascii="Times New Roman" w:hAnsi="Times New Roman" w:eastAsiaTheme="minorEastAsia"/>
                <w:color w:val="auto"/>
                <w:kern w:val="0"/>
                <w:sz w:val="21"/>
                <w:szCs w:val="21"/>
              </w:rPr>
            </w:pPr>
            <w:r>
              <w:rPr>
                <w:rFonts w:ascii="Times New Roman" w:hAnsi="Times New Roman" w:eastAsiaTheme="minorEastAsia"/>
                <w:color w:val="auto"/>
                <w:kern w:val="0"/>
                <w:sz w:val="21"/>
                <w:szCs w:val="21"/>
              </w:rPr>
              <w:t>1</w:t>
            </w:r>
          </w:p>
        </w:tc>
        <w:tc>
          <w:tcPr>
            <w:tcW w:w="1418" w:type="dxa"/>
            <w:vAlign w:val="center"/>
          </w:tcPr>
          <w:p>
            <w:pPr>
              <w:spacing w:line="500" w:lineRule="exact"/>
              <w:jc w:val="center"/>
              <w:rPr>
                <w:rFonts w:ascii="Times New Roman" w:hAnsi="Times New Roman" w:eastAsiaTheme="minorEastAsia"/>
                <w:color w:val="auto"/>
                <w:kern w:val="0"/>
                <w:sz w:val="21"/>
                <w:szCs w:val="21"/>
              </w:rPr>
            </w:pPr>
            <w:r>
              <w:rPr>
                <w:rFonts w:ascii="Times New Roman" w:hAnsi="Times New Roman" w:eastAsiaTheme="minorEastAsia"/>
                <w:color w:val="auto"/>
                <w:kern w:val="0"/>
                <w:sz w:val="21"/>
                <w:szCs w:val="21"/>
              </w:rPr>
              <w:t>凿岩过程</w:t>
            </w:r>
          </w:p>
        </w:tc>
        <w:tc>
          <w:tcPr>
            <w:tcW w:w="4961" w:type="dxa"/>
            <w:vAlign w:val="center"/>
          </w:tcPr>
          <w:p>
            <w:pPr>
              <w:spacing w:line="240" w:lineRule="auto"/>
              <w:jc w:val="center"/>
              <w:rPr>
                <w:rFonts w:ascii="Times New Roman" w:hAnsi="Times New Roman" w:eastAsiaTheme="minorEastAsia"/>
                <w:color w:val="auto"/>
                <w:kern w:val="0"/>
                <w:sz w:val="21"/>
                <w:szCs w:val="21"/>
              </w:rPr>
            </w:pPr>
            <w:r>
              <w:rPr>
                <w:rFonts w:ascii="Times New Roman" w:hAnsi="Times New Roman" w:eastAsiaTheme="minorEastAsia"/>
                <w:color w:val="auto"/>
                <w:kern w:val="0"/>
                <w:sz w:val="21"/>
                <w:szCs w:val="21"/>
              </w:rPr>
              <w:t>中深孔松动爆破，通过洒水加湿处理，采用临时水管洒水抑尘</w:t>
            </w:r>
          </w:p>
        </w:tc>
        <w:tc>
          <w:tcPr>
            <w:tcW w:w="1355" w:type="dxa"/>
            <w:vMerge w:val="restart"/>
            <w:vAlign w:val="center"/>
          </w:tcPr>
          <w:p>
            <w:pPr>
              <w:pStyle w:val="55"/>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满足《大气污染物综合排放标准》（GB16297-1996）表2无组织排放监控浓度限值</w:t>
            </w:r>
          </w:p>
          <w:p>
            <w:pPr>
              <w:spacing w:line="500" w:lineRule="exact"/>
              <w:jc w:val="center"/>
              <w:rPr>
                <w:rFonts w:ascii="Times New Roman" w:hAnsi="Times New Roman" w:eastAsiaTheme="minorEastAsia"/>
                <w:color w:val="auto"/>
                <w:kern w:val="0"/>
                <w:sz w:val="21"/>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c>
          <w:tcPr>
            <w:tcW w:w="562" w:type="dxa"/>
            <w:vAlign w:val="center"/>
          </w:tcPr>
          <w:p>
            <w:pPr>
              <w:spacing w:line="500" w:lineRule="exact"/>
              <w:jc w:val="center"/>
              <w:rPr>
                <w:rFonts w:ascii="Times New Roman" w:hAnsi="Times New Roman" w:eastAsiaTheme="minorEastAsia"/>
                <w:color w:val="auto"/>
                <w:kern w:val="0"/>
                <w:sz w:val="21"/>
                <w:szCs w:val="21"/>
              </w:rPr>
            </w:pPr>
            <w:r>
              <w:rPr>
                <w:rFonts w:ascii="Times New Roman" w:hAnsi="Times New Roman" w:eastAsiaTheme="minorEastAsia"/>
                <w:color w:val="auto"/>
                <w:kern w:val="0"/>
                <w:sz w:val="21"/>
                <w:szCs w:val="21"/>
              </w:rPr>
              <w:t>2</w:t>
            </w:r>
          </w:p>
        </w:tc>
        <w:tc>
          <w:tcPr>
            <w:tcW w:w="1418" w:type="dxa"/>
            <w:vAlign w:val="center"/>
          </w:tcPr>
          <w:p>
            <w:pPr>
              <w:spacing w:line="500" w:lineRule="exact"/>
              <w:jc w:val="center"/>
              <w:rPr>
                <w:rFonts w:ascii="Times New Roman" w:hAnsi="Times New Roman" w:eastAsiaTheme="minorEastAsia"/>
                <w:color w:val="auto"/>
                <w:kern w:val="0"/>
                <w:sz w:val="21"/>
                <w:szCs w:val="21"/>
              </w:rPr>
            </w:pPr>
            <w:r>
              <w:rPr>
                <w:rFonts w:ascii="Times New Roman" w:hAnsi="Times New Roman" w:eastAsiaTheme="minorEastAsia"/>
                <w:color w:val="auto"/>
                <w:kern w:val="0"/>
                <w:sz w:val="21"/>
                <w:szCs w:val="21"/>
              </w:rPr>
              <w:t>爆破过程</w:t>
            </w:r>
          </w:p>
        </w:tc>
        <w:tc>
          <w:tcPr>
            <w:tcW w:w="4961" w:type="dxa"/>
            <w:vAlign w:val="center"/>
          </w:tcPr>
          <w:p>
            <w:pPr>
              <w:pStyle w:val="55"/>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在爆破前用临时水管洒水降尘</w:t>
            </w:r>
          </w:p>
        </w:tc>
        <w:tc>
          <w:tcPr>
            <w:tcW w:w="1355" w:type="dxa"/>
            <w:vMerge w:val="continue"/>
            <w:vAlign w:val="center"/>
          </w:tcPr>
          <w:p>
            <w:pPr>
              <w:spacing w:line="500" w:lineRule="exact"/>
              <w:jc w:val="center"/>
              <w:rPr>
                <w:rFonts w:ascii="Times New Roman" w:hAnsi="Times New Roman" w:eastAsiaTheme="minorEastAsia"/>
                <w:color w:val="auto"/>
                <w:kern w:val="0"/>
                <w:sz w:val="21"/>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c>
          <w:tcPr>
            <w:tcW w:w="562" w:type="dxa"/>
            <w:vAlign w:val="center"/>
          </w:tcPr>
          <w:p>
            <w:pPr>
              <w:spacing w:line="500" w:lineRule="exact"/>
              <w:jc w:val="center"/>
              <w:rPr>
                <w:rFonts w:ascii="Times New Roman" w:hAnsi="Times New Roman" w:eastAsiaTheme="minorEastAsia"/>
                <w:color w:val="auto"/>
                <w:kern w:val="0"/>
                <w:sz w:val="21"/>
                <w:szCs w:val="21"/>
              </w:rPr>
            </w:pPr>
            <w:r>
              <w:rPr>
                <w:rFonts w:ascii="Times New Roman" w:hAnsi="Times New Roman" w:eastAsiaTheme="minorEastAsia"/>
                <w:color w:val="auto"/>
                <w:kern w:val="0"/>
                <w:sz w:val="21"/>
                <w:szCs w:val="21"/>
              </w:rPr>
              <w:t>3</w:t>
            </w:r>
          </w:p>
        </w:tc>
        <w:tc>
          <w:tcPr>
            <w:tcW w:w="1418" w:type="dxa"/>
            <w:vAlign w:val="center"/>
          </w:tcPr>
          <w:p>
            <w:pPr>
              <w:spacing w:line="500" w:lineRule="exact"/>
              <w:jc w:val="center"/>
              <w:rPr>
                <w:rFonts w:ascii="Times New Roman" w:hAnsi="Times New Roman" w:eastAsiaTheme="minorEastAsia"/>
                <w:color w:val="auto"/>
                <w:kern w:val="0"/>
                <w:sz w:val="21"/>
                <w:szCs w:val="21"/>
              </w:rPr>
            </w:pPr>
            <w:r>
              <w:rPr>
                <w:rFonts w:ascii="Times New Roman" w:hAnsi="Times New Roman" w:eastAsiaTheme="minorEastAsia"/>
                <w:color w:val="auto"/>
                <w:kern w:val="0"/>
                <w:sz w:val="21"/>
                <w:szCs w:val="21"/>
              </w:rPr>
              <w:t>临时堆土场</w:t>
            </w:r>
          </w:p>
        </w:tc>
        <w:tc>
          <w:tcPr>
            <w:tcW w:w="4961" w:type="dxa"/>
            <w:vAlign w:val="center"/>
          </w:tcPr>
          <w:p>
            <w:pPr>
              <w:pStyle w:val="55"/>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采用喷淋洒水装置</w:t>
            </w:r>
          </w:p>
        </w:tc>
        <w:tc>
          <w:tcPr>
            <w:tcW w:w="1355" w:type="dxa"/>
            <w:vMerge w:val="continue"/>
            <w:vAlign w:val="center"/>
          </w:tcPr>
          <w:p>
            <w:pPr>
              <w:spacing w:line="500" w:lineRule="exact"/>
              <w:jc w:val="center"/>
              <w:rPr>
                <w:rFonts w:ascii="Times New Roman" w:hAnsi="Times New Roman" w:eastAsiaTheme="minorEastAsia"/>
                <w:color w:val="auto"/>
                <w:kern w:val="0"/>
                <w:sz w:val="21"/>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c>
          <w:tcPr>
            <w:tcW w:w="562" w:type="dxa"/>
            <w:vAlign w:val="center"/>
          </w:tcPr>
          <w:p>
            <w:pPr>
              <w:spacing w:line="500" w:lineRule="exact"/>
              <w:jc w:val="center"/>
              <w:rPr>
                <w:rFonts w:ascii="Times New Roman" w:hAnsi="Times New Roman" w:eastAsiaTheme="minorEastAsia"/>
                <w:color w:val="auto"/>
                <w:kern w:val="0"/>
                <w:sz w:val="21"/>
                <w:szCs w:val="21"/>
              </w:rPr>
            </w:pPr>
            <w:r>
              <w:rPr>
                <w:rFonts w:ascii="Times New Roman" w:hAnsi="Times New Roman" w:eastAsiaTheme="minorEastAsia"/>
                <w:color w:val="auto"/>
                <w:kern w:val="0"/>
                <w:sz w:val="21"/>
                <w:szCs w:val="21"/>
              </w:rPr>
              <w:t>4</w:t>
            </w:r>
          </w:p>
        </w:tc>
        <w:tc>
          <w:tcPr>
            <w:tcW w:w="1418" w:type="dxa"/>
            <w:vAlign w:val="center"/>
          </w:tcPr>
          <w:p>
            <w:pPr>
              <w:spacing w:line="500" w:lineRule="exact"/>
              <w:jc w:val="center"/>
              <w:rPr>
                <w:rFonts w:ascii="Times New Roman" w:hAnsi="Times New Roman" w:eastAsiaTheme="minorEastAsia"/>
                <w:color w:val="auto"/>
                <w:kern w:val="0"/>
                <w:sz w:val="21"/>
                <w:szCs w:val="21"/>
              </w:rPr>
            </w:pPr>
            <w:r>
              <w:rPr>
                <w:rFonts w:ascii="Times New Roman" w:hAnsi="Times New Roman" w:eastAsiaTheme="minorEastAsia"/>
                <w:color w:val="auto"/>
                <w:kern w:val="0"/>
                <w:sz w:val="21"/>
                <w:szCs w:val="21"/>
              </w:rPr>
              <w:t>运输道路</w:t>
            </w:r>
          </w:p>
        </w:tc>
        <w:tc>
          <w:tcPr>
            <w:tcW w:w="4961" w:type="dxa"/>
            <w:vAlign w:val="center"/>
          </w:tcPr>
          <w:p>
            <w:pPr>
              <w:pStyle w:val="55"/>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运用洒水车向地面洒水，运输车辆加盖苫布，限速行驶</w:t>
            </w:r>
          </w:p>
        </w:tc>
        <w:tc>
          <w:tcPr>
            <w:tcW w:w="1355" w:type="dxa"/>
            <w:vMerge w:val="continue"/>
            <w:vAlign w:val="center"/>
          </w:tcPr>
          <w:p>
            <w:pPr>
              <w:spacing w:line="500" w:lineRule="exact"/>
              <w:jc w:val="center"/>
              <w:rPr>
                <w:rFonts w:ascii="Times New Roman" w:hAnsi="Times New Roman" w:eastAsiaTheme="minorEastAsia"/>
                <w:color w:val="auto"/>
                <w:kern w:val="0"/>
                <w:sz w:val="21"/>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c>
          <w:tcPr>
            <w:tcW w:w="562" w:type="dxa"/>
            <w:vAlign w:val="center"/>
          </w:tcPr>
          <w:p>
            <w:pPr>
              <w:spacing w:line="500" w:lineRule="exact"/>
              <w:jc w:val="center"/>
              <w:rPr>
                <w:rFonts w:ascii="Times New Roman" w:hAnsi="Times New Roman" w:eastAsiaTheme="minorEastAsia"/>
                <w:color w:val="auto"/>
                <w:kern w:val="0"/>
                <w:sz w:val="21"/>
                <w:szCs w:val="21"/>
              </w:rPr>
            </w:pPr>
            <w:r>
              <w:rPr>
                <w:rFonts w:ascii="Times New Roman" w:hAnsi="Times New Roman" w:eastAsiaTheme="minorEastAsia"/>
                <w:color w:val="auto"/>
                <w:kern w:val="0"/>
                <w:sz w:val="21"/>
                <w:szCs w:val="21"/>
              </w:rPr>
              <w:t>6</w:t>
            </w:r>
          </w:p>
        </w:tc>
        <w:tc>
          <w:tcPr>
            <w:tcW w:w="1418" w:type="dxa"/>
            <w:vAlign w:val="center"/>
          </w:tcPr>
          <w:p>
            <w:pPr>
              <w:pStyle w:val="55"/>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成品料堆场</w:t>
            </w:r>
          </w:p>
        </w:tc>
        <w:tc>
          <w:tcPr>
            <w:tcW w:w="4961" w:type="dxa"/>
            <w:vAlign w:val="center"/>
          </w:tcPr>
          <w:p>
            <w:pPr>
              <w:pStyle w:val="55"/>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洒水降尘，可使起尘量降低80%。</w:t>
            </w:r>
          </w:p>
        </w:tc>
        <w:tc>
          <w:tcPr>
            <w:tcW w:w="1355" w:type="dxa"/>
            <w:vMerge w:val="continue"/>
            <w:vAlign w:val="center"/>
          </w:tcPr>
          <w:p>
            <w:pPr>
              <w:spacing w:line="500" w:lineRule="exact"/>
              <w:jc w:val="center"/>
              <w:rPr>
                <w:rFonts w:ascii="Times New Roman" w:hAnsi="Times New Roman" w:eastAsiaTheme="minorEastAsia"/>
                <w:color w:val="auto"/>
                <w:kern w:val="0"/>
                <w:sz w:val="21"/>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c>
          <w:tcPr>
            <w:tcW w:w="562" w:type="dxa"/>
            <w:vAlign w:val="center"/>
          </w:tcPr>
          <w:p>
            <w:pPr>
              <w:spacing w:line="500" w:lineRule="exact"/>
              <w:jc w:val="center"/>
              <w:rPr>
                <w:rFonts w:ascii="Times New Roman" w:hAnsi="Times New Roman" w:eastAsiaTheme="minorEastAsia"/>
                <w:color w:val="auto"/>
                <w:kern w:val="0"/>
                <w:sz w:val="21"/>
                <w:szCs w:val="21"/>
              </w:rPr>
            </w:pPr>
            <w:r>
              <w:rPr>
                <w:rFonts w:ascii="Times New Roman" w:hAnsi="Times New Roman" w:eastAsiaTheme="minorEastAsia"/>
                <w:color w:val="auto"/>
                <w:kern w:val="0"/>
                <w:sz w:val="21"/>
                <w:szCs w:val="21"/>
              </w:rPr>
              <w:t>7</w:t>
            </w:r>
          </w:p>
        </w:tc>
        <w:tc>
          <w:tcPr>
            <w:tcW w:w="1418" w:type="dxa"/>
            <w:vAlign w:val="center"/>
          </w:tcPr>
          <w:p>
            <w:pPr>
              <w:pStyle w:val="55"/>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石粉仓</w:t>
            </w:r>
          </w:p>
        </w:tc>
        <w:tc>
          <w:tcPr>
            <w:tcW w:w="4961" w:type="dxa"/>
            <w:vAlign w:val="center"/>
          </w:tcPr>
          <w:p>
            <w:pPr>
              <w:pStyle w:val="55"/>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密闭</w:t>
            </w:r>
          </w:p>
        </w:tc>
        <w:tc>
          <w:tcPr>
            <w:tcW w:w="1355" w:type="dxa"/>
            <w:vMerge w:val="continue"/>
            <w:vAlign w:val="center"/>
          </w:tcPr>
          <w:p>
            <w:pPr>
              <w:spacing w:line="500" w:lineRule="exact"/>
              <w:jc w:val="center"/>
              <w:rPr>
                <w:rFonts w:ascii="Times New Roman" w:hAnsi="Times New Roman" w:eastAsiaTheme="minorEastAsia"/>
                <w:color w:val="auto"/>
                <w:kern w:val="0"/>
                <w:sz w:val="21"/>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c>
          <w:tcPr>
            <w:tcW w:w="562" w:type="dxa"/>
            <w:vAlign w:val="center"/>
          </w:tcPr>
          <w:p>
            <w:pPr>
              <w:spacing w:line="500" w:lineRule="exact"/>
              <w:jc w:val="center"/>
              <w:rPr>
                <w:rFonts w:ascii="Times New Roman" w:hAnsi="Times New Roman" w:eastAsiaTheme="minorEastAsia"/>
                <w:color w:val="auto"/>
                <w:kern w:val="0"/>
                <w:sz w:val="21"/>
                <w:szCs w:val="21"/>
              </w:rPr>
            </w:pPr>
            <w:r>
              <w:rPr>
                <w:rFonts w:ascii="Times New Roman" w:hAnsi="Times New Roman" w:eastAsiaTheme="minorEastAsia"/>
                <w:color w:val="auto"/>
                <w:kern w:val="0"/>
                <w:sz w:val="21"/>
                <w:szCs w:val="21"/>
              </w:rPr>
              <w:t>8</w:t>
            </w:r>
          </w:p>
        </w:tc>
        <w:tc>
          <w:tcPr>
            <w:tcW w:w="1418" w:type="dxa"/>
            <w:vAlign w:val="center"/>
          </w:tcPr>
          <w:p>
            <w:pPr>
              <w:pStyle w:val="55"/>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原矿堆场</w:t>
            </w:r>
          </w:p>
        </w:tc>
        <w:tc>
          <w:tcPr>
            <w:tcW w:w="4961" w:type="dxa"/>
            <w:vAlign w:val="center"/>
          </w:tcPr>
          <w:p>
            <w:pPr>
              <w:pStyle w:val="55"/>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洒水降尘，可使起尘量降低80%。</w:t>
            </w:r>
          </w:p>
        </w:tc>
        <w:tc>
          <w:tcPr>
            <w:tcW w:w="1355" w:type="dxa"/>
            <w:vMerge w:val="continue"/>
            <w:vAlign w:val="center"/>
          </w:tcPr>
          <w:p>
            <w:pPr>
              <w:spacing w:line="500" w:lineRule="exact"/>
              <w:jc w:val="center"/>
              <w:rPr>
                <w:rFonts w:ascii="Times New Roman" w:hAnsi="Times New Roman" w:eastAsiaTheme="minorEastAsia"/>
                <w:color w:val="auto"/>
                <w:kern w:val="0"/>
                <w:sz w:val="21"/>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c>
          <w:tcPr>
            <w:tcW w:w="562" w:type="dxa"/>
            <w:vAlign w:val="center"/>
          </w:tcPr>
          <w:p>
            <w:pPr>
              <w:spacing w:line="500" w:lineRule="exact"/>
              <w:jc w:val="center"/>
              <w:rPr>
                <w:rFonts w:ascii="Times New Roman" w:hAnsi="Times New Roman" w:eastAsiaTheme="minorEastAsia"/>
                <w:color w:val="auto"/>
                <w:kern w:val="0"/>
                <w:sz w:val="21"/>
                <w:szCs w:val="21"/>
              </w:rPr>
            </w:pPr>
            <w:r>
              <w:rPr>
                <w:rFonts w:ascii="Times New Roman" w:hAnsi="Times New Roman" w:eastAsiaTheme="minorEastAsia"/>
                <w:color w:val="auto"/>
                <w:kern w:val="0"/>
                <w:sz w:val="21"/>
                <w:szCs w:val="21"/>
              </w:rPr>
              <w:t>9</w:t>
            </w:r>
          </w:p>
        </w:tc>
        <w:tc>
          <w:tcPr>
            <w:tcW w:w="1418" w:type="dxa"/>
            <w:vAlign w:val="center"/>
          </w:tcPr>
          <w:p>
            <w:pPr>
              <w:spacing w:line="500" w:lineRule="exact"/>
              <w:jc w:val="center"/>
              <w:rPr>
                <w:rFonts w:ascii="Times New Roman" w:hAnsi="Times New Roman" w:eastAsiaTheme="minorEastAsia"/>
                <w:color w:val="auto"/>
                <w:kern w:val="0"/>
                <w:sz w:val="21"/>
                <w:szCs w:val="21"/>
              </w:rPr>
            </w:pPr>
            <w:r>
              <w:rPr>
                <w:rFonts w:ascii="Times New Roman" w:hAnsi="Times New Roman" w:eastAsiaTheme="minorEastAsia"/>
                <w:color w:val="auto"/>
                <w:kern w:val="0"/>
                <w:sz w:val="21"/>
                <w:szCs w:val="21"/>
              </w:rPr>
              <w:t>集堆铲装</w:t>
            </w:r>
          </w:p>
        </w:tc>
        <w:tc>
          <w:tcPr>
            <w:tcW w:w="4961" w:type="dxa"/>
            <w:vAlign w:val="center"/>
          </w:tcPr>
          <w:p>
            <w:pPr>
              <w:pStyle w:val="55"/>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采用移动式洒水抑尘装置洒水抑尘</w:t>
            </w:r>
          </w:p>
        </w:tc>
        <w:tc>
          <w:tcPr>
            <w:tcW w:w="1355" w:type="dxa"/>
            <w:vMerge w:val="continue"/>
            <w:vAlign w:val="center"/>
          </w:tcPr>
          <w:p>
            <w:pPr>
              <w:spacing w:line="500" w:lineRule="exact"/>
              <w:jc w:val="center"/>
              <w:rPr>
                <w:rFonts w:ascii="Times New Roman" w:hAnsi="Times New Roman" w:eastAsiaTheme="minorEastAsia"/>
                <w:color w:val="auto"/>
                <w:kern w:val="0"/>
                <w:sz w:val="21"/>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c>
          <w:tcPr>
            <w:tcW w:w="562" w:type="dxa"/>
            <w:vMerge w:val="restart"/>
            <w:vAlign w:val="center"/>
          </w:tcPr>
          <w:p>
            <w:pPr>
              <w:spacing w:line="500" w:lineRule="exact"/>
              <w:jc w:val="center"/>
              <w:rPr>
                <w:rFonts w:ascii="Times New Roman" w:hAnsi="Times New Roman" w:eastAsiaTheme="minorEastAsia"/>
                <w:color w:val="auto"/>
                <w:kern w:val="0"/>
                <w:sz w:val="21"/>
                <w:szCs w:val="21"/>
              </w:rPr>
            </w:pPr>
            <w:r>
              <w:rPr>
                <w:rFonts w:ascii="Times New Roman" w:hAnsi="Times New Roman" w:eastAsiaTheme="minorEastAsia"/>
                <w:color w:val="auto"/>
                <w:kern w:val="0"/>
                <w:sz w:val="21"/>
                <w:szCs w:val="21"/>
              </w:rPr>
              <w:t>10</w:t>
            </w:r>
          </w:p>
        </w:tc>
        <w:tc>
          <w:tcPr>
            <w:tcW w:w="1418" w:type="dxa"/>
            <w:vMerge w:val="restart"/>
            <w:vAlign w:val="center"/>
          </w:tcPr>
          <w:p>
            <w:pPr>
              <w:spacing w:line="500" w:lineRule="exact"/>
              <w:jc w:val="center"/>
              <w:rPr>
                <w:rFonts w:ascii="Times New Roman" w:hAnsi="Times New Roman" w:eastAsiaTheme="minorEastAsia"/>
                <w:color w:val="auto"/>
                <w:kern w:val="0"/>
                <w:sz w:val="21"/>
                <w:szCs w:val="21"/>
              </w:rPr>
            </w:pPr>
            <w:r>
              <w:rPr>
                <w:rFonts w:ascii="Times New Roman" w:hAnsi="Times New Roman" w:eastAsiaTheme="minorEastAsia"/>
                <w:color w:val="auto"/>
                <w:kern w:val="0"/>
                <w:sz w:val="21"/>
                <w:szCs w:val="21"/>
              </w:rPr>
              <w:t>破碎、筛分过程</w:t>
            </w:r>
          </w:p>
        </w:tc>
        <w:tc>
          <w:tcPr>
            <w:tcW w:w="4961" w:type="dxa"/>
            <w:vAlign w:val="center"/>
          </w:tcPr>
          <w:p>
            <w:pPr>
              <w:pStyle w:val="55"/>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针对破碎筛分无组织排放粉尘采取将破碎机及振动筛设备四周设置彩钢板使其处于完全封闭，留有检修及维护仓门，入料口位于封闭仓内，石料从破碎机送至振动筛过程采用全封闭皮带式廊道运输，在出料口处沿传送皮带设置10m全封闭出口廊道。皮带输送机进料口及出料口设置喷淋抑尘装置</w:t>
            </w:r>
            <w:r>
              <w:rPr>
                <w:rFonts w:ascii="Times New Roman" w:hAnsi="Times New Roman" w:cs="Times New Roman" w:eastAsiaTheme="minorEastAsia"/>
                <w:color w:val="auto"/>
              </w:rPr>
              <w:t>。</w:t>
            </w:r>
          </w:p>
        </w:tc>
        <w:tc>
          <w:tcPr>
            <w:tcW w:w="1355" w:type="dxa"/>
            <w:vMerge w:val="continue"/>
            <w:vAlign w:val="center"/>
          </w:tcPr>
          <w:p>
            <w:pPr>
              <w:spacing w:line="500" w:lineRule="exact"/>
              <w:jc w:val="center"/>
              <w:rPr>
                <w:rFonts w:ascii="Times New Roman" w:hAnsi="Times New Roman" w:eastAsiaTheme="minorEastAsia"/>
                <w:color w:val="auto"/>
                <w:kern w:val="0"/>
                <w:sz w:val="21"/>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c>
          <w:tcPr>
            <w:tcW w:w="562" w:type="dxa"/>
            <w:vMerge w:val="continue"/>
            <w:vAlign w:val="center"/>
          </w:tcPr>
          <w:p>
            <w:pPr>
              <w:spacing w:line="500" w:lineRule="exact"/>
              <w:jc w:val="center"/>
              <w:rPr>
                <w:rFonts w:ascii="Times New Roman" w:hAnsi="Times New Roman" w:eastAsiaTheme="minorEastAsia"/>
                <w:color w:val="auto"/>
                <w:kern w:val="0"/>
                <w:sz w:val="21"/>
                <w:szCs w:val="21"/>
              </w:rPr>
            </w:pPr>
          </w:p>
        </w:tc>
        <w:tc>
          <w:tcPr>
            <w:tcW w:w="1418" w:type="dxa"/>
            <w:vMerge w:val="continue"/>
            <w:vAlign w:val="center"/>
          </w:tcPr>
          <w:p>
            <w:pPr>
              <w:spacing w:line="500" w:lineRule="exact"/>
              <w:jc w:val="center"/>
              <w:rPr>
                <w:rFonts w:ascii="Times New Roman" w:hAnsi="Times New Roman" w:eastAsiaTheme="minorEastAsia"/>
                <w:color w:val="auto"/>
                <w:kern w:val="0"/>
                <w:sz w:val="21"/>
                <w:szCs w:val="21"/>
              </w:rPr>
            </w:pPr>
          </w:p>
        </w:tc>
        <w:tc>
          <w:tcPr>
            <w:tcW w:w="4961" w:type="dxa"/>
            <w:vAlign w:val="center"/>
          </w:tcPr>
          <w:p>
            <w:pPr>
              <w:pStyle w:val="55"/>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所有设备均安装基础减振设施，</w:t>
            </w:r>
            <w:r>
              <w:rPr>
                <w:rFonts w:hint="eastAsia" w:ascii="Times New Roman" w:hAnsi="Times New Roman" w:cs="Times New Roman" w:eastAsiaTheme="minorEastAsia"/>
                <w:color w:val="auto"/>
                <w:sz w:val="21"/>
                <w:szCs w:val="21"/>
                <w:lang w:eastAsia="zh-CN"/>
              </w:rPr>
              <w:t>粗碎</w:t>
            </w:r>
            <w:r>
              <w:rPr>
                <w:rFonts w:ascii="Times New Roman" w:hAnsi="Times New Roman" w:cs="Times New Roman" w:eastAsiaTheme="minorEastAsia"/>
                <w:color w:val="auto"/>
                <w:sz w:val="21"/>
                <w:szCs w:val="21"/>
              </w:rPr>
              <w:t>破碎机</w:t>
            </w:r>
            <w:r>
              <w:rPr>
                <w:rFonts w:hint="eastAsia" w:ascii="Times New Roman" w:hAnsi="Times New Roman" w:cs="Times New Roman" w:eastAsiaTheme="minorEastAsia"/>
                <w:color w:val="auto"/>
                <w:sz w:val="21"/>
                <w:szCs w:val="21"/>
                <w:lang w:eastAsia="zh-CN"/>
              </w:rPr>
              <w:t>、细碎破碎机及振动筛各</w:t>
            </w:r>
            <w:r>
              <w:rPr>
                <w:rFonts w:ascii="Times New Roman" w:hAnsi="Times New Roman" w:cs="Times New Roman" w:eastAsiaTheme="minorEastAsia"/>
                <w:color w:val="auto"/>
                <w:sz w:val="21"/>
                <w:szCs w:val="21"/>
              </w:rPr>
              <w:t>设置1台布袋除尘器，除尘效率可达为99%，分别经15m高排气筒排放</w:t>
            </w:r>
          </w:p>
        </w:tc>
        <w:tc>
          <w:tcPr>
            <w:tcW w:w="1355" w:type="dxa"/>
            <w:vAlign w:val="center"/>
          </w:tcPr>
          <w:p>
            <w:pPr>
              <w:pStyle w:val="55"/>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满足《大气污染物综合排放标准》（GB16297-1996）表2二级标准</w:t>
            </w:r>
          </w:p>
          <w:p>
            <w:pPr>
              <w:spacing w:line="500" w:lineRule="exact"/>
              <w:jc w:val="center"/>
              <w:rPr>
                <w:rFonts w:ascii="Times New Roman" w:hAnsi="Times New Roman" w:eastAsiaTheme="minorEastAsia"/>
                <w:color w:val="auto"/>
                <w:kern w:val="0"/>
                <w:sz w:val="21"/>
                <w:szCs w:val="21"/>
              </w:rPr>
            </w:pPr>
          </w:p>
        </w:tc>
      </w:tr>
    </w:tbl>
    <w:p>
      <w:pPr>
        <w:pStyle w:val="240"/>
        <w:rPr>
          <w:rFonts w:ascii="Times New Roman" w:hAnsi="Times New Roman" w:cs="Times New Roman" w:eastAsiaTheme="minorEastAsia"/>
          <w:color w:val="auto"/>
        </w:rPr>
      </w:pPr>
      <w:bookmarkStart w:id="239" w:name="_Toc440973197"/>
      <w:bookmarkStart w:id="240" w:name="_Toc440973833"/>
      <w:bookmarkStart w:id="241" w:name="_Toc440973567"/>
      <w:r>
        <w:rPr>
          <w:rFonts w:ascii="Times New Roman" w:hAnsi="Times New Roman" w:cs="Times New Roman" w:eastAsiaTheme="minorEastAsia"/>
          <w:color w:val="auto"/>
        </w:rPr>
        <w:t>6.2.3运行期水污染防治措施</w:t>
      </w:r>
      <w:bookmarkEnd w:id="239"/>
      <w:bookmarkEnd w:id="240"/>
      <w:bookmarkEnd w:id="241"/>
      <w:r>
        <w:rPr>
          <w:rFonts w:ascii="Times New Roman" w:hAnsi="Times New Roman" w:cs="Times New Roman" w:eastAsiaTheme="minorEastAsia"/>
          <w:color w:val="auto"/>
        </w:rPr>
        <w:t>及其可行性分析</w:t>
      </w:r>
    </w:p>
    <w:p>
      <w:pPr>
        <w:pStyle w:val="242"/>
        <w:rPr>
          <w:rFonts w:ascii="Times New Roman" w:hAnsi="Times New Roman" w:cs="Times New Roman" w:eastAsiaTheme="minorEastAsia"/>
          <w:color w:val="auto"/>
        </w:rPr>
      </w:pPr>
      <w:bookmarkStart w:id="242" w:name="_Toc440973568"/>
      <w:bookmarkStart w:id="243" w:name="_Toc440973198"/>
      <w:bookmarkStart w:id="244" w:name="_Toc440973834"/>
      <w:r>
        <w:rPr>
          <w:rFonts w:ascii="Times New Roman" w:hAnsi="Times New Roman" w:cs="Times New Roman" w:eastAsiaTheme="minorEastAsia"/>
          <w:color w:val="auto"/>
        </w:rPr>
        <w:t>6.2.3.1地表水污染防治措施</w:t>
      </w:r>
    </w:p>
    <w:p>
      <w:pPr>
        <w:spacing w:line="500" w:lineRule="exact"/>
        <w:ind w:firstLine="480"/>
        <w:rPr>
          <w:rFonts w:ascii="Times New Roman" w:hAnsi="Times New Roman" w:cs="Times New Roman" w:eastAsiaTheme="minorEastAsia"/>
          <w:color w:val="auto"/>
          <w:kern w:val="1"/>
          <w:szCs w:val="24"/>
        </w:rPr>
      </w:pPr>
      <w:r>
        <w:rPr>
          <w:rFonts w:eastAsiaTheme="minorEastAsia"/>
          <w:color w:val="auto"/>
        </w:rPr>
        <w:t>本项目在采矿境界汇水上方设置截流沟，场地内设导流渠，导流渠沟汇水经</w:t>
      </w:r>
      <w:r>
        <w:rPr>
          <w:rFonts w:hint="eastAsia" w:eastAsiaTheme="minorEastAsia"/>
          <w:color w:val="auto"/>
          <w:lang w:val="en-US" w:eastAsia="zh-CN"/>
        </w:rPr>
        <w:t>9</w:t>
      </w:r>
      <w:r>
        <w:rPr>
          <w:rFonts w:hint="eastAsia" w:eastAsiaTheme="minorEastAsia"/>
          <w:color w:val="auto"/>
          <w:lang w:eastAsia="zh-CN"/>
        </w:rPr>
        <w:t>00m</w:t>
      </w:r>
      <w:r>
        <w:rPr>
          <w:rFonts w:eastAsiaTheme="minorEastAsia"/>
          <w:color w:val="auto"/>
          <w:vertAlign w:val="superscript"/>
        </w:rPr>
        <w:t>3</w:t>
      </w:r>
      <w:r>
        <w:rPr>
          <w:rFonts w:eastAsiaTheme="minorEastAsia"/>
          <w:color w:val="auto"/>
        </w:rPr>
        <w:t>沉淀贮水池收集后用于生产过程降尘。</w:t>
      </w:r>
      <w:r>
        <w:rPr>
          <w:rFonts w:eastAsiaTheme="minorEastAsia"/>
          <w:color w:val="auto"/>
          <w:kern w:val="1"/>
          <w:szCs w:val="24"/>
        </w:rPr>
        <w:t>本项目生产用水全部用于生产过程降尘，</w:t>
      </w:r>
      <w:r>
        <w:rPr>
          <w:rFonts w:eastAsiaTheme="minorEastAsia"/>
          <w:color w:val="auto"/>
        </w:rPr>
        <w:t>不外排。</w:t>
      </w:r>
      <w:r>
        <w:rPr>
          <w:rFonts w:ascii="Times New Roman" w:hAnsi="Times New Roman" w:cs="Times New Roman" w:eastAsiaTheme="minorEastAsia"/>
          <w:color w:val="auto"/>
          <w:kern w:val="1"/>
          <w:szCs w:val="24"/>
        </w:rPr>
        <w:t>本项目不设置宿舍及食堂等，工人均为附近村民，日常餐饮带饭解决，因此矿山生活污水仅为工人粪尿污水。为防止采区人员生活污水肆意排放，污染环境，要求企业在采场内设置防渗旱厕，定期清掏，对地表水环境不会产生影响。</w:t>
      </w:r>
    </w:p>
    <w:p>
      <w:pPr>
        <w:pStyle w:val="242"/>
        <w:rPr>
          <w:rFonts w:ascii="Times New Roman" w:hAnsi="Times New Roman" w:cs="Times New Roman" w:eastAsiaTheme="minorEastAsia"/>
          <w:color w:val="auto"/>
        </w:rPr>
      </w:pPr>
      <w:r>
        <w:rPr>
          <w:rFonts w:ascii="Times New Roman" w:hAnsi="Times New Roman" w:cs="Times New Roman" w:eastAsiaTheme="minorEastAsia"/>
          <w:color w:val="auto"/>
        </w:rPr>
        <w:t>6.2.3.2地下水污染防治措施</w:t>
      </w:r>
    </w:p>
    <w:p>
      <w:pPr>
        <w:pStyle w:val="246"/>
        <w:spacing w:line="360" w:lineRule="auto"/>
        <w:ind w:firstLine="480" w:firstLineChars="200"/>
        <w:jc w:val="left"/>
        <w:rPr>
          <w:rFonts w:eastAsiaTheme="minorEastAsia"/>
          <w:color w:val="auto"/>
          <w:kern w:val="1"/>
          <w:sz w:val="24"/>
          <w:szCs w:val="24"/>
        </w:rPr>
      </w:pPr>
      <w:r>
        <w:rPr>
          <w:rFonts w:eastAsiaTheme="minorEastAsia"/>
          <w:color w:val="auto"/>
          <w:kern w:val="1"/>
          <w:sz w:val="24"/>
          <w:szCs w:val="24"/>
        </w:rPr>
        <w:t>本项目运行期设置的防渗旱厕需采取1.5m厚黏土基础层及水泥混凝土结构防渗措施，渗透系数≤1.0×10</w:t>
      </w:r>
      <w:r>
        <w:rPr>
          <w:rFonts w:eastAsiaTheme="minorEastAsia"/>
          <w:color w:val="auto"/>
          <w:kern w:val="1"/>
          <w:sz w:val="24"/>
          <w:szCs w:val="24"/>
          <w:vertAlign w:val="superscript"/>
        </w:rPr>
        <w:t>-7</w:t>
      </w:r>
      <w:r>
        <w:rPr>
          <w:rFonts w:eastAsiaTheme="minorEastAsia"/>
          <w:color w:val="auto"/>
          <w:kern w:val="1"/>
          <w:sz w:val="24"/>
          <w:szCs w:val="24"/>
        </w:rPr>
        <w:t>cm/s，防止污染地下水。危废暂存间位于办公室北侧，危险废物暂存间采用高密度聚乙烯土工膜（HDPE）进行防渗，其渗透系数不大于 1.0×10</w:t>
      </w:r>
      <w:r>
        <w:rPr>
          <w:rFonts w:eastAsiaTheme="minorEastAsia"/>
          <w:color w:val="auto"/>
          <w:kern w:val="1"/>
          <w:sz w:val="24"/>
          <w:szCs w:val="24"/>
          <w:vertAlign w:val="superscript"/>
        </w:rPr>
        <w:t>-10</w:t>
      </w:r>
      <w:r>
        <w:rPr>
          <w:rFonts w:eastAsiaTheme="minorEastAsia"/>
          <w:color w:val="auto"/>
          <w:kern w:val="1"/>
          <w:sz w:val="24"/>
          <w:szCs w:val="24"/>
        </w:rPr>
        <w:t>cm/s，厚度不小于 1.5mm。</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6.2.4噪声污染治理措施</w:t>
      </w:r>
      <w:bookmarkEnd w:id="242"/>
      <w:bookmarkEnd w:id="243"/>
      <w:bookmarkEnd w:id="244"/>
      <w:r>
        <w:rPr>
          <w:rFonts w:ascii="Times New Roman" w:hAnsi="Times New Roman" w:cs="Times New Roman" w:eastAsiaTheme="minorEastAsia"/>
          <w:color w:val="auto"/>
        </w:rPr>
        <w:t>及其可行性分析</w:t>
      </w:r>
    </w:p>
    <w:p>
      <w:pPr>
        <w:ind w:firstLine="360" w:firstLineChars="150"/>
        <w:rPr>
          <w:rFonts w:eastAsiaTheme="minorEastAsia"/>
          <w:color w:val="auto"/>
          <w:sz w:val="21"/>
          <w:szCs w:val="21"/>
        </w:rPr>
      </w:pPr>
      <w:r>
        <w:rPr>
          <w:rFonts w:eastAsiaTheme="minorEastAsia"/>
          <w:color w:val="auto"/>
          <w:szCs w:val="24"/>
        </w:rPr>
        <w:t>（1）通过控制装药量，采取多段微差起爆，定向爆破，控制爆破频次，合理安排爆破时间和爆破的强度，并在爆破前对周边居民进行公示爆破时间告知，尽量减少对敏感目标的影响。爆破采用中深孔爆破，每12天爆破一次，爆破时间选择在上午9点-10点。</w:t>
      </w:r>
    </w:p>
    <w:p>
      <w:pPr>
        <w:spacing w:line="500" w:lineRule="exact"/>
        <w:ind w:firstLine="480" w:firstLineChars="200"/>
        <w:rPr>
          <w:rFonts w:eastAsiaTheme="minorEastAsia"/>
          <w:color w:val="auto"/>
          <w:szCs w:val="24"/>
        </w:rPr>
      </w:pPr>
      <w:r>
        <w:rPr>
          <w:rFonts w:eastAsiaTheme="minorEastAsia"/>
          <w:color w:val="auto"/>
          <w:szCs w:val="24"/>
        </w:rPr>
        <w:t xml:space="preserve">（2）集堆、铲装时轻装轻放，尽量减少在铲装过程中产生的噪声。 </w:t>
      </w:r>
    </w:p>
    <w:p>
      <w:pPr>
        <w:spacing w:line="500" w:lineRule="exact"/>
        <w:ind w:firstLine="480" w:firstLineChars="200"/>
        <w:rPr>
          <w:rFonts w:eastAsiaTheme="minorEastAsia"/>
          <w:color w:val="auto"/>
          <w:szCs w:val="24"/>
        </w:rPr>
      </w:pPr>
      <w:r>
        <w:rPr>
          <w:rFonts w:eastAsiaTheme="minorEastAsia"/>
          <w:color w:val="auto"/>
          <w:szCs w:val="24"/>
        </w:rPr>
        <w:t xml:space="preserve">（3）针对空压机、水泵等设备噪声，本项目设置密闭设备间，并采用基础减振，设置防振橡胶后，可有效降低空压机及水泵噪声。 </w:t>
      </w:r>
    </w:p>
    <w:p>
      <w:pPr>
        <w:spacing w:line="500" w:lineRule="exact"/>
        <w:ind w:firstLine="480" w:firstLineChars="200"/>
        <w:rPr>
          <w:rFonts w:eastAsiaTheme="minorEastAsia"/>
          <w:color w:val="auto"/>
          <w:szCs w:val="24"/>
        </w:rPr>
      </w:pPr>
      <w:r>
        <w:rPr>
          <w:rFonts w:eastAsiaTheme="minorEastAsia"/>
          <w:color w:val="auto"/>
          <w:szCs w:val="24"/>
        </w:rPr>
        <w:t xml:space="preserve">（4）破碎筛分等设备采取基础减振，设置防振橡胶后，可有效降低设备噪声。 </w:t>
      </w:r>
    </w:p>
    <w:p>
      <w:pPr>
        <w:spacing w:line="500" w:lineRule="exact"/>
        <w:ind w:firstLine="480" w:firstLineChars="200"/>
        <w:rPr>
          <w:rFonts w:eastAsiaTheme="minorEastAsia"/>
          <w:color w:val="auto"/>
          <w:szCs w:val="24"/>
        </w:rPr>
      </w:pPr>
      <w:r>
        <w:rPr>
          <w:rFonts w:eastAsiaTheme="minorEastAsia"/>
          <w:color w:val="auto"/>
          <w:szCs w:val="24"/>
        </w:rPr>
        <w:t xml:space="preserve">（5）合理安排作业时间，合理布局施工现场，应尽可能避免大量高噪声设备同时作业，严禁夜间（22:00～6:00）作业。 </w:t>
      </w:r>
    </w:p>
    <w:p>
      <w:pPr>
        <w:spacing w:line="500" w:lineRule="exact"/>
        <w:ind w:firstLine="480" w:firstLineChars="200"/>
        <w:rPr>
          <w:rFonts w:eastAsiaTheme="minorEastAsia"/>
          <w:color w:val="auto"/>
        </w:rPr>
      </w:pPr>
      <w:r>
        <w:rPr>
          <w:rFonts w:eastAsiaTheme="minorEastAsia"/>
          <w:color w:val="auto"/>
          <w:szCs w:val="24"/>
        </w:rPr>
        <w:t>（6）对运输交通噪声，禁止使用超过噪声限值的运输车辆，汽车运输机械设备应安装消声器和禁用高音喇叭，机动车辆必须加强维修和保养，保持技术性能良好，在经过运输道路沿途村落时，应限制鸣笛，限制行驶速度，合理安排运输车辆工作时间，22：00-次日6:00禁止运输工作，避免交通噪声对沿途村庄产生影响。</w:t>
      </w:r>
      <w:r>
        <w:rPr>
          <w:rFonts w:eastAsiaTheme="minorEastAsia"/>
          <w:color w:val="auto"/>
        </w:rPr>
        <w:t>根据《民用建筑隔声设计规范》（GB50118-2010），经门窗、墙体隔声后，隔声量按25dB计，距离道路最近</w:t>
      </w:r>
      <w:r>
        <w:rPr>
          <w:rFonts w:hint="eastAsia" w:eastAsiaTheme="minorEastAsia"/>
          <w:color w:val="auto"/>
          <w:lang w:val="en-US" w:eastAsia="zh-CN"/>
        </w:rPr>
        <w:t>20</w:t>
      </w:r>
      <w:r>
        <w:rPr>
          <w:rFonts w:eastAsiaTheme="minorEastAsia"/>
          <w:color w:val="auto"/>
        </w:rPr>
        <w:t>m村民室内声级为</w:t>
      </w:r>
      <w:r>
        <w:rPr>
          <w:rFonts w:hint="eastAsia" w:eastAsiaTheme="minorEastAsia"/>
          <w:color w:val="auto"/>
          <w:lang w:val="en-US" w:eastAsia="zh-CN"/>
        </w:rPr>
        <w:t>27.8</w:t>
      </w:r>
      <w:r>
        <w:rPr>
          <w:rFonts w:eastAsiaTheme="minorEastAsia"/>
          <w:color w:val="auto"/>
        </w:rPr>
        <w:t>dB，能够满足《民用建筑隔声设计规范》（GB50118-2010）中规定的住宅的卧室、起居室（厅）内允许噪声级（A声级）昼间≤45dB。因此，因此，运输路线敏感目标经门窗、墙体隔声作用，室内噪声符合《民用建筑隔声设计规范》（GB50118-2010）标准昼间限值要求。</w:t>
      </w:r>
    </w:p>
    <w:p>
      <w:pPr>
        <w:spacing w:line="500" w:lineRule="exact"/>
        <w:ind w:firstLine="480" w:firstLineChars="200"/>
        <w:rPr>
          <w:rFonts w:eastAsiaTheme="minorEastAsia"/>
          <w:color w:val="auto"/>
          <w:szCs w:val="24"/>
        </w:rPr>
      </w:pPr>
      <w:r>
        <w:rPr>
          <w:rFonts w:eastAsiaTheme="minorEastAsia"/>
          <w:color w:val="auto"/>
          <w:szCs w:val="24"/>
        </w:rPr>
        <w:t>采取上述措施，厂界噪声满足《工业企业厂界环境噪声排放标准》（GB12348-2008）中2类标准，措施可行。</w:t>
      </w:r>
      <w:r>
        <w:rPr>
          <w:rFonts w:eastAsiaTheme="minorEastAsia"/>
          <w:color w:val="auto"/>
        </w:rPr>
        <w:t>运输路线敏感目标经门窗、墙体隔声作用，室内噪声符合《民用建筑隔声设计规范》（GB50118-2010）标准昼间限值要求。</w:t>
      </w:r>
    </w:p>
    <w:p>
      <w:pPr>
        <w:pStyle w:val="240"/>
        <w:rPr>
          <w:rFonts w:ascii="Times New Roman" w:hAnsi="Times New Roman" w:cs="Times New Roman" w:eastAsiaTheme="minorEastAsia"/>
          <w:color w:val="auto"/>
        </w:rPr>
      </w:pPr>
      <w:bookmarkStart w:id="245" w:name="_Toc440973569"/>
      <w:bookmarkStart w:id="246" w:name="_Toc440973199"/>
      <w:bookmarkStart w:id="247" w:name="_Toc440973835"/>
      <w:r>
        <w:rPr>
          <w:rFonts w:ascii="Times New Roman" w:hAnsi="Times New Roman" w:cs="Times New Roman" w:eastAsiaTheme="minorEastAsia"/>
          <w:color w:val="auto"/>
        </w:rPr>
        <w:t>6.2.5固体废物防治措施</w:t>
      </w:r>
      <w:bookmarkEnd w:id="245"/>
      <w:bookmarkEnd w:id="246"/>
      <w:bookmarkEnd w:id="247"/>
      <w:r>
        <w:rPr>
          <w:rFonts w:ascii="Times New Roman" w:hAnsi="Times New Roman" w:cs="Times New Roman" w:eastAsiaTheme="minorEastAsia"/>
          <w:color w:val="auto"/>
        </w:rPr>
        <w:t>及其可行性分析</w:t>
      </w:r>
    </w:p>
    <w:p>
      <w:pPr>
        <w:spacing w:line="500" w:lineRule="exact"/>
        <w:ind w:firstLine="480"/>
        <w:rPr>
          <w:rFonts w:eastAsiaTheme="minorEastAsia"/>
          <w:color w:val="auto"/>
          <w:kern w:val="1"/>
          <w:szCs w:val="24"/>
        </w:rPr>
      </w:pPr>
      <w:r>
        <w:rPr>
          <w:rFonts w:eastAsiaTheme="minorEastAsia"/>
          <w:color w:val="auto"/>
          <w:kern w:val="1"/>
          <w:szCs w:val="24"/>
        </w:rPr>
        <w:t xml:space="preserve">本工程在运行时产生的固体废物主要是剥离掉的土岩、碎石加工工序筛分下来的石粉、除尘器收集的粉尘、炸药包装废物、生活垃圾和设备废机油等。 </w:t>
      </w:r>
    </w:p>
    <w:p>
      <w:pPr>
        <w:ind w:firstLine="480" w:firstLineChars="200"/>
        <w:rPr>
          <w:rFonts w:eastAsiaTheme="minorEastAsia"/>
          <w:color w:val="auto"/>
          <w:kern w:val="1"/>
        </w:rPr>
      </w:pPr>
      <w:r>
        <w:rPr>
          <w:rFonts w:eastAsiaTheme="minorEastAsia"/>
          <w:color w:val="auto"/>
          <w:kern w:val="1"/>
          <w:szCs w:val="24"/>
        </w:rPr>
        <w:t>（1）本项目剥离的土岩暂存于临时堆土场，定期外售，临时堆土场土堆坡度为1：1.5，底部采用砌石挡土墙，并在挡土墙边设排水沟。剥离的土岩外卖用于建筑材料就建筑材料原料。</w:t>
      </w:r>
    </w:p>
    <w:p>
      <w:pPr>
        <w:ind w:firstLine="480" w:firstLineChars="200"/>
        <w:rPr>
          <w:rFonts w:eastAsiaTheme="minorEastAsia"/>
          <w:color w:val="auto"/>
          <w:kern w:val="1"/>
        </w:rPr>
      </w:pPr>
      <w:r>
        <w:rPr>
          <w:rFonts w:eastAsiaTheme="minorEastAsia"/>
          <w:color w:val="auto"/>
          <w:kern w:val="1"/>
        </w:rPr>
        <w:t xml:space="preserve">（2）除尘器收集的粉尘及筛分下来的石粉作为副产品出售。 </w:t>
      </w:r>
    </w:p>
    <w:p>
      <w:pPr>
        <w:ind w:firstLine="480" w:firstLineChars="200"/>
        <w:rPr>
          <w:rFonts w:eastAsiaTheme="minorEastAsia"/>
          <w:color w:val="auto"/>
          <w:kern w:val="1"/>
        </w:rPr>
      </w:pPr>
      <w:r>
        <w:rPr>
          <w:rFonts w:eastAsiaTheme="minorEastAsia"/>
          <w:color w:val="auto"/>
          <w:kern w:val="1"/>
        </w:rPr>
        <w:t xml:space="preserve">（3）炸药包装废物由爆破部门统一回收再利用。 </w:t>
      </w:r>
    </w:p>
    <w:p>
      <w:pPr>
        <w:ind w:firstLine="480" w:firstLineChars="200"/>
        <w:rPr>
          <w:rFonts w:eastAsiaTheme="minorEastAsia"/>
          <w:color w:val="auto"/>
          <w:kern w:val="1"/>
        </w:rPr>
      </w:pPr>
      <w:r>
        <w:rPr>
          <w:rFonts w:eastAsiaTheme="minorEastAsia"/>
          <w:color w:val="auto"/>
          <w:kern w:val="1"/>
        </w:rPr>
        <w:t xml:space="preserve">（4）生活垃圾有当地环卫部门统一处理。 </w:t>
      </w:r>
    </w:p>
    <w:p>
      <w:pPr>
        <w:ind w:firstLine="480" w:firstLineChars="200"/>
        <w:rPr>
          <w:rFonts w:eastAsiaTheme="minorEastAsia"/>
          <w:color w:val="auto"/>
          <w:kern w:val="1"/>
        </w:rPr>
      </w:pPr>
      <w:r>
        <w:rPr>
          <w:rFonts w:eastAsiaTheme="minorEastAsia"/>
          <w:color w:val="auto"/>
          <w:kern w:val="1"/>
        </w:rPr>
        <w:t>（5）机械设备定期更换废机油属于危险废物（HW08），应单独收集，用设明显标识的密闭桶盛装，暂存于危废暂存间，交由有资质单位进行处置。</w:t>
      </w:r>
    </w:p>
    <w:p>
      <w:pPr>
        <w:ind w:firstLine="480" w:firstLineChars="200"/>
        <w:jc w:val="center"/>
        <w:rPr>
          <w:rFonts w:eastAsiaTheme="minorEastAsia"/>
          <w:color w:val="auto"/>
          <w:kern w:val="1"/>
        </w:rPr>
      </w:pPr>
      <w:r>
        <w:rPr>
          <w:rFonts w:eastAsiaTheme="minorEastAsia"/>
          <w:color w:val="auto"/>
          <w:kern w:val="1"/>
        </w:rPr>
        <w:t>表6-2-2建设项目危险废物贮存场所（设施）基本情况表</w:t>
      </w:r>
    </w:p>
    <w:tbl>
      <w:tblPr>
        <w:tblStyle w:val="54"/>
        <w:tblW w:w="8306" w:type="dxa"/>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500"/>
        <w:gridCol w:w="914"/>
        <w:gridCol w:w="851"/>
        <w:gridCol w:w="1496"/>
        <w:gridCol w:w="908"/>
        <w:gridCol w:w="721"/>
        <w:gridCol w:w="754"/>
        <w:gridCol w:w="868"/>
        <w:gridCol w:w="647"/>
        <w:gridCol w:w="647"/>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c>
          <w:tcPr>
            <w:tcW w:w="500" w:type="dxa"/>
          </w:tcPr>
          <w:p>
            <w:pPr>
              <w:spacing w:line="240" w:lineRule="auto"/>
              <w:rPr>
                <w:rFonts w:ascii="Times New Roman" w:hAnsi="Times New Roman" w:eastAsiaTheme="minorEastAsia"/>
                <w:color w:val="auto"/>
                <w:kern w:val="1"/>
                <w:sz w:val="21"/>
                <w:szCs w:val="21"/>
              </w:rPr>
            </w:pPr>
            <w:r>
              <w:rPr>
                <w:rFonts w:ascii="Times New Roman" w:hAnsi="Times New Roman" w:eastAsiaTheme="minorEastAsia"/>
                <w:color w:val="auto"/>
                <w:kern w:val="1"/>
                <w:sz w:val="21"/>
                <w:szCs w:val="21"/>
              </w:rPr>
              <w:t>序号</w:t>
            </w:r>
          </w:p>
        </w:tc>
        <w:tc>
          <w:tcPr>
            <w:tcW w:w="914" w:type="dxa"/>
          </w:tcPr>
          <w:p>
            <w:pPr>
              <w:spacing w:line="240" w:lineRule="auto"/>
              <w:rPr>
                <w:rFonts w:ascii="Times New Roman" w:hAnsi="Times New Roman" w:eastAsiaTheme="minorEastAsia"/>
                <w:color w:val="auto"/>
                <w:kern w:val="1"/>
                <w:sz w:val="21"/>
                <w:szCs w:val="21"/>
              </w:rPr>
            </w:pPr>
            <w:r>
              <w:rPr>
                <w:rFonts w:ascii="Times New Roman" w:hAnsi="Times New Roman" w:eastAsiaTheme="minorEastAsia"/>
                <w:color w:val="auto"/>
                <w:kern w:val="1"/>
                <w:sz w:val="21"/>
                <w:szCs w:val="21"/>
              </w:rPr>
              <w:t>贮存场所名称</w:t>
            </w:r>
          </w:p>
        </w:tc>
        <w:tc>
          <w:tcPr>
            <w:tcW w:w="851" w:type="dxa"/>
          </w:tcPr>
          <w:p>
            <w:pPr>
              <w:spacing w:line="240" w:lineRule="auto"/>
              <w:rPr>
                <w:rFonts w:ascii="Times New Roman" w:hAnsi="Times New Roman" w:eastAsiaTheme="minorEastAsia"/>
                <w:color w:val="auto"/>
                <w:kern w:val="1"/>
                <w:sz w:val="21"/>
                <w:szCs w:val="21"/>
              </w:rPr>
            </w:pPr>
            <w:r>
              <w:rPr>
                <w:rFonts w:ascii="Times New Roman" w:hAnsi="Times New Roman" w:eastAsiaTheme="minorEastAsia"/>
                <w:color w:val="auto"/>
                <w:kern w:val="1"/>
                <w:sz w:val="21"/>
                <w:szCs w:val="21"/>
              </w:rPr>
              <w:t>危险废物名称</w:t>
            </w:r>
          </w:p>
        </w:tc>
        <w:tc>
          <w:tcPr>
            <w:tcW w:w="1496" w:type="dxa"/>
          </w:tcPr>
          <w:p>
            <w:pPr>
              <w:spacing w:line="240" w:lineRule="auto"/>
              <w:rPr>
                <w:rFonts w:ascii="Times New Roman" w:hAnsi="Times New Roman" w:eastAsiaTheme="minorEastAsia"/>
                <w:color w:val="auto"/>
                <w:kern w:val="1"/>
                <w:sz w:val="21"/>
                <w:szCs w:val="21"/>
              </w:rPr>
            </w:pPr>
            <w:r>
              <w:rPr>
                <w:rFonts w:ascii="Times New Roman" w:hAnsi="Times New Roman" w:eastAsiaTheme="minorEastAsia"/>
                <w:color w:val="auto"/>
                <w:kern w:val="1"/>
                <w:sz w:val="21"/>
                <w:szCs w:val="21"/>
              </w:rPr>
              <w:t>危险废物类别</w:t>
            </w:r>
          </w:p>
        </w:tc>
        <w:tc>
          <w:tcPr>
            <w:tcW w:w="908" w:type="dxa"/>
          </w:tcPr>
          <w:p>
            <w:pPr>
              <w:spacing w:line="240" w:lineRule="auto"/>
              <w:rPr>
                <w:rFonts w:ascii="Times New Roman" w:hAnsi="Times New Roman" w:eastAsiaTheme="minorEastAsia"/>
                <w:color w:val="auto"/>
                <w:kern w:val="1"/>
                <w:sz w:val="21"/>
                <w:szCs w:val="21"/>
              </w:rPr>
            </w:pPr>
            <w:r>
              <w:rPr>
                <w:rFonts w:ascii="Times New Roman" w:hAnsi="Times New Roman" w:eastAsiaTheme="minorEastAsia"/>
                <w:color w:val="auto"/>
                <w:kern w:val="1"/>
                <w:sz w:val="21"/>
                <w:szCs w:val="21"/>
              </w:rPr>
              <w:t>危险废物代码</w:t>
            </w:r>
          </w:p>
        </w:tc>
        <w:tc>
          <w:tcPr>
            <w:tcW w:w="721" w:type="dxa"/>
          </w:tcPr>
          <w:p>
            <w:pPr>
              <w:spacing w:line="240" w:lineRule="auto"/>
              <w:rPr>
                <w:rFonts w:ascii="Times New Roman" w:hAnsi="Times New Roman" w:eastAsiaTheme="minorEastAsia"/>
                <w:color w:val="auto"/>
                <w:kern w:val="1"/>
                <w:sz w:val="21"/>
                <w:szCs w:val="21"/>
              </w:rPr>
            </w:pPr>
            <w:r>
              <w:rPr>
                <w:rFonts w:ascii="Times New Roman" w:hAnsi="Times New Roman" w:eastAsiaTheme="minorEastAsia"/>
                <w:color w:val="auto"/>
                <w:kern w:val="1"/>
                <w:sz w:val="21"/>
                <w:szCs w:val="21"/>
              </w:rPr>
              <w:t>位置</w:t>
            </w:r>
          </w:p>
        </w:tc>
        <w:tc>
          <w:tcPr>
            <w:tcW w:w="754" w:type="dxa"/>
          </w:tcPr>
          <w:p>
            <w:pPr>
              <w:spacing w:line="240" w:lineRule="auto"/>
              <w:rPr>
                <w:rFonts w:ascii="Times New Roman" w:hAnsi="Times New Roman" w:eastAsiaTheme="minorEastAsia"/>
                <w:color w:val="auto"/>
                <w:kern w:val="1"/>
                <w:sz w:val="21"/>
                <w:szCs w:val="21"/>
              </w:rPr>
            </w:pPr>
            <w:r>
              <w:rPr>
                <w:rFonts w:ascii="Times New Roman" w:hAnsi="Times New Roman" w:eastAsiaTheme="minorEastAsia"/>
                <w:color w:val="auto"/>
                <w:kern w:val="1"/>
                <w:sz w:val="21"/>
                <w:szCs w:val="21"/>
              </w:rPr>
              <w:t>占地面积</w:t>
            </w:r>
          </w:p>
        </w:tc>
        <w:tc>
          <w:tcPr>
            <w:tcW w:w="868" w:type="dxa"/>
          </w:tcPr>
          <w:p>
            <w:pPr>
              <w:spacing w:line="240" w:lineRule="auto"/>
              <w:rPr>
                <w:rFonts w:ascii="Times New Roman" w:hAnsi="Times New Roman" w:eastAsiaTheme="minorEastAsia"/>
                <w:color w:val="auto"/>
                <w:kern w:val="1"/>
                <w:sz w:val="21"/>
                <w:szCs w:val="21"/>
              </w:rPr>
            </w:pPr>
            <w:r>
              <w:rPr>
                <w:rFonts w:ascii="Times New Roman" w:hAnsi="Times New Roman" w:eastAsiaTheme="minorEastAsia"/>
                <w:color w:val="auto"/>
                <w:kern w:val="1"/>
                <w:sz w:val="21"/>
                <w:szCs w:val="21"/>
              </w:rPr>
              <w:t>贮存方式</w:t>
            </w:r>
          </w:p>
        </w:tc>
        <w:tc>
          <w:tcPr>
            <w:tcW w:w="647" w:type="dxa"/>
          </w:tcPr>
          <w:p>
            <w:pPr>
              <w:spacing w:line="240" w:lineRule="auto"/>
              <w:rPr>
                <w:rFonts w:ascii="Times New Roman" w:hAnsi="Times New Roman" w:eastAsiaTheme="minorEastAsia"/>
                <w:color w:val="auto"/>
                <w:kern w:val="1"/>
                <w:sz w:val="21"/>
                <w:szCs w:val="21"/>
              </w:rPr>
            </w:pPr>
            <w:r>
              <w:rPr>
                <w:rFonts w:ascii="Times New Roman" w:hAnsi="Times New Roman" w:eastAsiaTheme="minorEastAsia"/>
                <w:color w:val="auto"/>
                <w:kern w:val="1"/>
                <w:sz w:val="21"/>
                <w:szCs w:val="21"/>
              </w:rPr>
              <w:t>贮存能力</w:t>
            </w:r>
          </w:p>
        </w:tc>
        <w:tc>
          <w:tcPr>
            <w:tcW w:w="647" w:type="dxa"/>
          </w:tcPr>
          <w:p>
            <w:pPr>
              <w:spacing w:line="240" w:lineRule="auto"/>
              <w:rPr>
                <w:rFonts w:ascii="Times New Roman" w:hAnsi="Times New Roman" w:eastAsiaTheme="minorEastAsia"/>
                <w:color w:val="auto"/>
                <w:kern w:val="1"/>
                <w:sz w:val="21"/>
                <w:szCs w:val="21"/>
              </w:rPr>
            </w:pPr>
            <w:r>
              <w:rPr>
                <w:rFonts w:ascii="Times New Roman" w:hAnsi="Times New Roman" w:eastAsiaTheme="minorEastAsia"/>
                <w:color w:val="auto"/>
                <w:kern w:val="1"/>
                <w:sz w:val="21"/>
                <w:szCs w:val="21"/>
              </w:rPr>
              <w:t>贮存周期</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c>
          <w:tcPr>
            <w:tcW w:w="500" w:type="dxa"/>
          </w:tcPr>
          <w:p>
            <w:pPr>
              <w:spacing w:line="240" w:lineRule="auto"/>
              <w:rPr>
                <w:rFonts w:ascii="Times New Roman" w:hAnsi="Times New Roman" w:eastAsiaTheme="minorEastAsia"/>
                <w:color w:val="auto"/>
                <w:kern w:val="1"/>
                <w:sz w:val="21"/>
                <w:szCs w:val="21"/>
              </w:rPr>
            </w:pPr>
            <w:r>
              <w:rPr>
                <w:rFonts w:ascii="Times New Roman" w:hAnsi="Times New Roman" w:eastAsiaTheme="minorEastAsia"/>
                <w:color w:val="auto"/>
                <w:kern w:val="1"/>
                <w:sz w:val="21"/>
                <w:szCs w:val="21"/>
              </w:rPr>
              <w:t>1</w:t>
            </w:r>
          </w:p>
        </w:tc>
        <w:tc>
          <w:tcPr>
            <w:tcW w:w="914" w:type="dxa"/>
          </w:tcPr>
          <w:p>
            <w:pPr>
              <w:spacing w:line="240" w:lineRule="auto"/>
              <w:rPr>
                <w:rFonts w:ascii="Times New Roman" w:hAnsi="Times New Roman" w:eastAsiaTheme="minorEastAsia"/>
                <w:color w:val="auto"/>
                <w:kern w:val="1"/>
                <w:sz w:val="21"/>
                <w:szCs w:val="21"/>
              </w:rPr>
            </w:pPr>
            <w:r>
              <w:rPr>
                <w:rFonts w:ascii="Times New Roman" w:hAnsi="Times New Roman" w:eastAsiaTheme="minorEastAsia"/>
                <w:color w:val="auto"/>
                <w:kern w:val="1"/>
                <w:sz w:val="21"/>
                <w:szCs w:val="21"/>
              </w:rPr>
              <w:t>废机油贮存区</w:t>
            </w:r>
          </w:p>
        </w:tc>
        <w:tc>
          <w:tcPr>
            <w:tcW w:w="851" w:type="dxa"/>
          </w:tcPr>
          <w:p>
            <w:pPr>
              <w:spacing w:line="240" w:lineRule="auto"/>
              <w:rPr>
                <w:rFonts w:ascii="Times New Roman" w:hAnsi="Times New Roman" w:eastAsiaTheme="minorEastAsia"/>
                <w:color w:val="auto"/>
                <w:kern w:val="1"/>
                <w:sz w:val="21"/>
                <w:szCs w:val="21"/>
              </w:rPr>
            </w:pPr>
            <w:r>
              <w:rPr>
                <w:rFonts w:ascii="Times New Roman" w:hAnsi="Times New Roman" w:eastAsiaTheme="minorEastAsia"/>
                <w:color w:val="auto"/>
                <w:kern w:val="1"/>
                <w:sz w:val="21"/>
                <w:szCs w:val="21"/>
              </w:rPr>
              <w:t>废机油</w:t>
            </w:r>
          </w:p>
        </w:tc>
        <w:tc>
          <w:tcPr>
            <w:tcW w:w="1496" w:type="dxa"/>
          </w:tcPr>
          <w:p>
            <w:pPr>
              <w:spacing w:line="240" w:lineRule="auto"/>
              <w:rPr>
                <w:rFonts w:ascii="Times New Roman" w:hAnsi="Times New Roman" w:eastAsiaTheme="minorEastAsia"/>
                <w:color w:val="auto"/>
                <w:kern w:val="1"/>
                <w:sz w:val="21"/>
                <w:szCs w:val="21"/>
              </w:rPr>
            </w:pPr>
            <w:r>
              <w:rPr>
                <w:rFonts w:ascii="Times New Roman" w:hAnsi="Times New Roman" w:eastAsiaTheme="minorEastAsia"/>
                <w:color w:val="auto"/>
                <w:kern w:val="1"/>
                <w:sz w:val="21"/>
                <w:szCs w:val="21"/>
              </w:rPr>
              <w:t>HW08废矿物油与含废矿物油废物</w:t>
            </w:r>
          </w:p>
        </w:tc>
        <w:tc>
          <w:tcPr>
            <w:tcW w:w="908" w:type="dxa"/>
          </w:tcPr>
          <w:p>
            <w:pPr>
              <w:spacing w:line="240" w:lineRule="auto"/>
              <w:rPr>
                <w:rFonts w:ascii="Times New Roman" w:hAnsi="Times New Roman" w:eastAsiaTheme="minorEastAsia"/>
                <w:color w:val="auto"/>
                <w:kern w:val="1"/>
                <w:sz w:val="21"/>
                <w:szCs w:val="21"/>
              </w:rPr>
            </w:pPr>
            <w:r>
              <w:rPr>
                <w:rFonts w:ascii="Times New Roman" w:hAnsi="Times New Roman" w:eastAsiaTheme="minorEastAsia"/>
                <w:color w:val="auto"/>
                <w:kern w:val="1"/>
                <w:sz w:val="21"/>
                <w:szCs w:val="21"/>
              </w:rPr>
              <w:t>900-214-08</w:t>
            </w:r>
          </w:p>
        </w:tc>
        <w:tc>
          <w:tcPr>
            <w:tcW w:w="721" w:type="dxa"/>
          </w:tcPr>
          <w:p>
            <w:pPr>
              <w:spacing w:line="240" w:lineRule="auto"/>
              <w:rPr>
                <w:rFonts w:ascii="Times New Roman" w:hAnsi="Times New Roman" w:eastAsiaTheme="minorEastAsia"/>
                <w:color w:val="auto"/>
                <w:kern w:val="1"/>
                <w:sz w:val="21"/>
                <w:szCs w:val="21"/>
              </w:rPr>
            </w:pPr>
            <w:r>
              <w:rPr>
                <w:rFonts w:ascii="Times New Roman" w:hAnsi="Times New Roman" w:eastAsiaTheme="minorEastAsia"/>
                <w:color w:val="auto"/>
                <w:kern w:val="1"/>
                <w:sz w:val="21"/>
                <w:szCs w:val="21"/>
              </w:rPr>
              <w:t>危废暂存间</w:t>
            </w:r>
          </w:p>
        </w:tc>
        <w:tc>
          <w:tcPr>
            <w:tcW w:w="754" w:type="dxa"/>
          </w:tcPr>
          <w:p>
            <w:pPr>
              <w:spacing w:line="240" w:lineRule="auto"/>
              <w:rPr>
                <w:rFonts w:ascii="Times New Roman" w:hAnsi="Times New Roman" w:eastAsiaTheme="minorEastAsia"/>
                <w:color w:val="auto"/>
                <w:kern w:val="1"/>
                <w:sz w:val="21"/>
                <w:szCs w:val="21"/>
              </w:rPr>
            </w:pPr>
            <w:r>
              <w:rPr>
                <w:rFonts w:ascii="Times New Roman" w:hAnsi="Times New Roman" w:eastAsiaTheme="minorEastAsia"/>
                <w:color w:val="auto"/>
                <w:kern w:val="1"/>
                <w:sz w:val="21"/>
                <w:szCs w:val="21"/>
              </w:rPr>
              <w:t>3m2</w:t>
            </w:r>
          </w:p>
        </w:tc>
        <w:tc>
          <w:tcPr>
            <w:tcW w:w="868" w:type="dxa"/>
          </w:tcPr>
          <w:p>
            <w:pPr>
              <w:spacing w:line="240" w:lineRule="auto"/>
              <w:rPr>
                <w:rFonts w:ascii="Times New Roman" w:hAnsi="Times New Roman" w:eastAsiaTheme="minorEastAsia"/>
                <w:color w:val="auto"/>
                <w:kern w:val="1"/>
                <w:sz w:val="21"/>
                <w:szCs w:val="21"/>
              </w:rPr>
            </w:pPr>
            <w:r>
              <w:rPr>
                <w:rFonts w:ascii="Times New Roman" w:hAnsi="Times New Roman" w:eastAsiaTheme="minorEastAsia"/>
                <w:color w:val="auto"/>
                <w:kern w:val="1"/>
                <w:sz w:val="21"/>
                <w:szCs w:val="21"/>
              </w:rPr>
              <w:t>采用不锈钢容器</w:t>
            </w:r>
          </w:p>
        </w:tc>
        <w:tc>
          <w:tcPr>
            <w:tcW w:w="647" w:type="dxa"/>
          </w:tcPr>
          <w:p>
            <w:pPr>
              <w:spacing w:line="240" w:lineRule="auto"/>
              <w:rPr>
                <w:rFonts w:ascii="Times New Roman" w:hAnsi="Times New Roman" w:eastAsiaTheme="minorEastAsia"/>
                <w:color w:val="auto"/>
                <w:kern w:val="1"/>
                <w:sz w:val="21"/>
                <w:szCs w:val="21"/>
              </w:rPr>
            </w:pPr>
            <w:r>
              <w:rPr>
                <w:rFonts w:ascii="Times New Roman" w:hAnsi="Times New Roman" w:eastAsiaTheme="minorEastAsia"/>
                <w:color w:val="auto"/>
                <w:kern w:val="1"/>
                <w:sz w:val="21"/>
                <w:szCs w:val="21"/>
              </w:rPr>
              <w:t>1t</w:t>
            </w:r>
          </w:p>
        </w:tc>
        <w:tc>
          <w:tcPr>
            <w:tcW w:w="647" w:type="dxa"/>
          </w:tcPr>
          <w:p>
            <w:pPr>
              <w:spacing w:line="240" w:lineRule="auto"/>
              <w:rPr>
                <w:rFonts w:ascii="Times New Roman" w:hAnsi="Times New Roman" w:eastAsiaTheme="minorEastAsia"/>
                <w:color w:val="auto"/>
                <w:kern w:val="1"/>
                <w:sz w:val="21"/>
                <w:szCs w:val="21"/>
              </w:rPr>
            </w:pPr>
            <w:r>
              <w:rPr>
                <w:rFonts w:ascii="Times New Roman" w:hAnsi="Times New Roman" w:eastAsiaTheme="minorEastAsia"/>
                <w:color w:val="auto"/>
                <w:kern w:val="1"/>
                <w:sz w:val="21"/>
                <w:szCs w:val="21"/>
              </w:rPr>
              <w:t>＜1年</w:t>
            </w:r>
          </w:p>
        </w:tc>
      </w:tr>
    </w:tbl>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6.2.6风险防范措施及其可行性分析</w:t>
      </w:r>
    </w:p>
    <w:p>
      <w:pPr>
        <w:pStyle w:val="242"/>
        <w:rPr>
          <w:rFonts w:ascii="Times New Roman" w:hAnsi="Times New Roman" w:cs="Times New Roman" w:eastAsiaTheme="minorEastAsia"/>
          <w:color w:val="auto"/>
        </w:rPr>
      </w:pPr>
      <w:r>
        <w:rPr>
          <w:rFonts w:ascii="Times New Roman" w:hAnsi="Times New Roman" w:cs="Times New Roman" w:eastAsiaTheme="minorEastAsia"/>
          <w:color w:val="auto"/>
        </w:rPr>
        <w:t>6.2.6.1临时堆土场风险防范措施</w:t>
      </w:r>
    </w:p>
    <w:p>
      <w:pPr>
        <w:pStyle w:val="276"/>
        <w:rPr>
          <w:rFonts w:eastAsiaTheme="minorEastAsia"/>
          <w:color w:val="auto"/>
        </w:rPr>
      </w:pPr>
      <w:r>
        <w:rPr>
          <w:rFonts w:eastAsiaTheme="minorEastAsia"/>
          <w:color w:val="auto"/>
        </w:rPr>
        <w:t>临时堆土场是一个需要永久性稳定的设施，为保证其稳定性，工程可研对临时堆土场提出的稳固及风险防范措施主要有：</w:t>
      </w:r>
    </w:p>
    <w:p>
      <w:pPr>
        <w:pStyle w:val="276"/>
        <w:rPr>
          <w:rFonts w:eastAsiaTheme="minorEastAsia"/>
          <w:color w:val="auto"/>
        </w:rPr>
      </w:pPr>
      <w:r>
        <w:rPr>
          <w:rFonts w:eastAsiaTheme="minorEastAsia"/>
          <w:color w:val="auto"/>
        </w:rPr>
        <w:t>（1）应对临时堆土场堆积部位的地基进行工程地质勘察，查明地基软弱层的厚度、分布以及力学参数，对地形、地质条件不利的区域及时提出治理措施。</w:t>
      </w:r>
    </w:p>
    <w:p>
      <w:pPr>
        <w:pStyle w:val="276"/>
        <w:rPr>
          <w:rFonts w:eastAsiaTheme="minorEastAsia"/>
          <w:color w:val="auto"/>
        </w:rPr>
      </w:pPr>
      <w:r>
        <w:rPr>
          <w:rFonts w:eastAsiaTheme="minorEastAsia"/>
          <w:color w:val="auto"/>
        </w:rPr>
        <w:t>（2）在临时堆土场设置截流沟，以防止山坡雨水进入，影响其稳定性。</w:t>
      </w:r>
    </w:p>
    <w:p>
      <w:pPr>
        <w:pStyle w:val="276"/>
        <w:rPr>
          <w:rFonts w:eastAsiaTheme="minorEastAsia"/>
          <w:color w:val="auto"/>
        </w:rPr>
      </w:pPr>
      <w:r>
        <w:rPr>
          <w:rFonts w:eastAsiaTheme="minorEastAsia"/>
          <w:color w:val="auto"/>
        </w:rPr>
        <w:t>（3）为保证临时堆土场的稳定，保护下游道路及行人安全，利用排渣初期的大块废石，堆高超过一定高度时，在坡角部位设置拦渣坝，以起到拦截滚石，防范泥石流和反压坡角的作用。</w:t>
      </w:r>
    </w:p>
    <w:p>
      <w:pPr>
        <w:pStyle w:val="276"/>
        <w:rPr>
          <w:rFonts w:eastAsiaTheme="minorEastAsia"/>
          <w:color w:val="auto"/>
        </w:rPr>
      </w:pPr>
      <w:r>
        <w:rPr>
          <w:rFonts w:eastAsiaTheme="minorEastAsia"/>
          <w:color w:val="auto"/>
        </w:rPr>
        <w:t>（4）在临时堆土场的堆积过程中，对地基较差地段，控制堆积速度。当堆高超过一定高度时，在坡角部位堆积护堤，以保证临时堆土场的稳定性。</w:t>
      </w:r>
    </w:p>
    <w:p>
      <w:pPr>
        <w:pStyle w:val="276"/>
        <w:rPr>
          <w:rFonts w:eastAsiaTheme="minorEastAsia"/>
          <w:color w:val="auto"/>
        </w:rPr>
      </w:pPr>
      <w:r>
        <w:rPr>
          <w:rFonts w:eastAsiaTheme="minorEastAsia"/>
          <w:color w:val="auto"/>
        </w:rPr>
        <w:t>（5）在临时堆土场堆积过程中，对含土较多或性质较差的表层松软物料，应采取分区段不集中排弃方式，以免影响安全。</w:t>
      </w:r>
    </w:p>
    <w:p>
      <w:pPr>
        <w:pStyle w:val="276"/>
        <w:rPr>
          <w:rFonts w:eastAsiaTheme="minorEastAsia"/>
          <w:color w:val="auto"/>
        </w:rPr>
      </w:pPr>
      <w:r>
        <w:rPr>
          <w:rFonts w:eastAsiaTheme="minorEastAsia"/>
          <w:color w:val="auto"/>
        </w:rPr>
        <w:t>（6）临时堆土场堆弃作业时，需圈定危险范围，并设立警戒标志，严禁人员入内。</w:t>
      </w:r>
    </w:p>
    <w:p>
      <w:pPr>
        <w:pStyle w:val="276"/>
        <w:rPr>
          <w:rFonts w:eastAsiaTheme="minorEastAsia"/>
          <w:color w:val="auto"/>
        </w:rPr>
      </w:pPr>
      <w:r>
        <w:rPr>
          <w:rFonts w:eastAsiaTheme="minorEastAsia"/>
          <w:color w:val="auto"/>
        </w:rPr>
        <w:t>（7）布设监测网进行临时堆土场变形监测，预报可能的滑坡。</w:t>
      </w:r>
    </w:p>
    <w:p>
      <w:pPr>
        <w:pStyle w:val="276"/>
        <w:rPr>
          <w:rFonts w:eastAsiaTheme="minorEastAsia"/>
          <w:color w:val="auto"/>
        </w:rPr>
      </w:pPr>
      <w:r>
        <w:rPr>
          <w:rFonts w:eastAsiaTheme="minorEastAsia"/>
          <w:color w:val="auto"/>
        </w:rPr>
        <w:t>（8）当临时堆土场堆置到一定程度时，及时恢复植被，以加强其稳定性和减少污染。</w:t>
      </w:r>
    </w:p>
    <w:p>
      <w:pPr>
        <w:pStyle w:val="276"/>
        <w:rPr>
          <w:rFonts w:eastAsiaTheme="minorEastAsia"/>
          <w:color w:val="auto"/>
        </w:rPr>
      </w:pPr>
      <w:r>
        <w:rPr>
          <w:rFonts w:eastAsiaTheme="minorEastAsia"/>
          <w:color w:val="auto"/>
        </w:rPr>
        <w:t>（9）临时堆土场服务期满后，要进行处理，覆土造林或种草。</w:t>
      </w:r>
    </w:p>
    <w:p>
      <w:pPr>
        <w:pStyle w:val="276"/>
        <w:rPr>
          <w:rFonts w:eastAsiaTheme="minorEastAsia"/>
          <w:color w:val="auto"/>
        </w:rPr>
      </w:pPr>
      <w:r>
        <w:rPr>
          <w:rFonts w:eastAsiaTheme="minorEastAsia"/>
          <w:color w:val="auto"/>
        </w:rPr>
        <w:t>（10）针对临时堆土场评价进一步提出如下要求：</w:t>
      </w:r>
    </w:p>
    <w:p>
      <w:pPr>
        <w:pStyle w:val="276"/>
        <w:rPr>
          <w:rFonts w:eastAsiaTheme="minorEastAsia"/>
          <w:color w:val="auto"/>
        </w:rPr>
      </w:pPr>
      <w:r>
        <w:rPr>
          <w:rFonts w:hint="eastAsia" w:ascii="宋体" w:hAnsi="宋体" w:cs="宋体"/>
          <w:color w:val="auto"/>
        </w:rPr>
        <w:t>①</w:t>
      </w:r>
      <w:r>
        <w:rPr>
          <w:rFonts w:eastAsiaTheme="minorEastAsia"/>
          <w:color w:val="auto"/>
        </w:rPr>
        <w:t>聘请有资质的单位设计、建设临时堆土场，截流沟和防洪设施应满足《防洪标准》（GB50201-94）要求。</w:t>
      </w:r>
    </w:p>
    <w:p>
      <w:pPr>
        <w:pStyle w:val="276"/>
        <w:rPr>
          <w:rFonts w:eastAsiaTheme="minorEastAsia"/>
          <w:color w:val="auto"/>
        </w:rPr>
      </w:pPr>
      <w:r>
        <w:rPr>
          <w:rFonts w:hint="eastAsia" w:ascii="宋体" w:hAnsi="宋体" w:cs="宋体"/>
          <w:color w:val="auto"/>
        </w:rPr>
        <w:t>②</w:t>
      </w:r>
      <w:r>
        <w:rPr>
          <w:rFonts w:eastAsiaTheme="minorEastAsia"/>
          <w:color w:val="auto"/>
        </w:rPr>
        <w:t>制定临时堆土场滑塌事故应急救援预案，及时了解汛期水情和气象预报情况，确保下游道路、通讯、供电及照明线路的可靠和畅通，进行巡视监控。</w:t>
      </w:r>
    </w:p>
    <w:p>
      <w:pPr>
        <w:pStyle w:val="276"/>
        <w:rPr>
          <w:rFonts w:eastAsiaTheme="minorEastAsia"/>
          <w:color w:val="auto"/>
        </w:rPr>
      </w:pPr>
      <w:r>
        <w:rPr>
          <w:rFonts w:hint="eastAsia" w:ascii="宋体" w:hAnsi="宋体" w:cs="宋体"/>
          <w:color w:val="auto"/>
        </w:rPr>
        <w:t>③</w:t>
      </w:r>
      <w:r>
        <w:rPr>
          <w:rFonts w:eastAsiaTheme="minorEastAsia"/>
          <w:color w:val="auto"/>
        </w:rPr>
        <w:t>对截排水沟软岩基地进行清理，确保截排水沟的基础稳定。</w:t>
      </w:r>
    </w:p>
    <w:p>
      <w:pPr>
        <w:pStyle w:val="276"/>
        <w:rPr>
          <w:rFonts w:eastAsiaTheme="minorEastAsia"/>
          <w:color w:val="auto"/>
        </w:rPr>
      </w:pPr>
      <w:r>
        <w:rPr>
          <w:rFonts w:hint="eastAsia" w:ascii="宋体" w:hAnsi="宋体" w:cs="宋体"/>
          <w:color w:val="auto"/>
        </w:rPr>
        <w:t>④</w:t>
      </w:r>
      <w:r>
        <w:rPr>
          <w:rFonts w:eastAsiaTheme="minorEastAsia"/>
          <w:color w:val="auto"/>
        </w:rPr>
        <w:t>临时堆土场平台必须平整，台阶顶面应保持2%的方向坡度，在废石滚落范围内不允许修建道路和建筑物，竖立警示牌。</w:t>
      </w:r>
    </w:p>
    <w:p>
      <w:pPr>
        <w:pStyle w:val="276"/>
        <w:rPr>
          <w:rFonts w:eastAsiaTheme="minorEastAsia"/>
          <w:color w:val="auto"/>
        </w:rPr>
      </w:pPr>
      <w:r>
        <w:rPr>
          <w:rFonts w:hint="eastAsia" w:ascii="宋体" w:hAnsi="宋体" w:cs="宋体"/>
          <w:color w:val="auto"/>
        </w:rPr>
        <w:t>⑤</w:t>
      </w:r>
      <w:r>
        <w:rPr>
          <w:rFonts w:eastAsiaTheme="minorEastAsia"/>
          <w:color w:val="auto"/>
        </w:rPr>
        <w:t>建立完善的排水设施，在临时堆土场边坡修筑防洪沟。汛期加强防洪沟、挡土墙的检查与维护，确保安全度汛。</w:t>
      </w:r>
    </w:p>
    <w:p>
      <w:pPr>
        <w:pStyle w:val="276"/>
        <w:rPr>
          <w:rFonts w:eastAsiaTheme="minorEastAsia"/>
          <w:color w:val="auto"/>
        </w:rPr>
      </w:pPr>
      <w:r>
        <w:rPr>
          <w:rFonts w:hint="eastAsia" w:ascii="宋体" w:hAnsi="宋体" w:cs="宋体"/>
          <w:color w:val="auto"/>
        </w:rPr>
        <w:t>⑥</w:t>
      </w:r>
      <w:r>
        <w:rPr>
          <w:rFonts w:eastAsiaTheme="minorEastAsia"/>
          <w:color w:val="auto"/>
        </w:rPr>
        <w:t>严禁混入生活垃圾等与其接纳性质不一致的固废；严禁超高、超服务年限运行。</w:t>
      </w:r>
    </w:p>
    <w:p>
      <w:pPr>
        <w:pStyle w:val="276"/>
        <w:rPr>
          <w:rFonts w:eastAsiaTheme="minorEastAsia"/>
          <w:color w:val="auto"/>
        </w:rPr>
      </w:pPr>
      <w:r>
        <w:rPr>
          <w:rFonts w:hint="eastAsia" w:ascii="宋体" w:hAnsi="宋体" w:cs="宋体"/>
          <w:color w:val="auto"/>
        </w:rPr>
        <w:t>⑦</w:t>
      </w:r>
      <w:r>
        <w:rPr>
          <w:rFonts w:eastAsiaTheme="minorEastAsia"/>
          <w:color w:val="auto"/>
        </w:rPr>
        <w:t>建立地质灾害监测、预警和预报工作。</w:t>
      </w:r>
    </w:p>
    <w:p>
      <w:pPr>
        <w:pStyle w:val="276"/>
        <w:rPr>
          <w:rFonts w:eastAsiaTheme="minorEastAsia"/>
          <w:color w:val="auto"/>
        </w:rPr>
      </w:pPr>
      <w:r>
        <w:rPr>
          <w:rFonts w:hint="eastAsia" w:ascii="宋体" w:hAnsi="宋体" w:cs="宋体"/>
          <w:color w:val="auto"/>
        </w:rPr>
        <w:t>⑧</w:t>
      </w:r>
      <w:r>
        <w:rPr>
          <w:rFonts w:eastAsiaTheme="minorEastAsia"/>
          <w:color w:val="auto"/>
        </w:rPr>
        <w:t>临时堆土场出现异常时，应立即组织人员对其进行加固并在加固期间停止堆放废石。加强汛期巡查。同时要做好以下应急防范措施：</w:t>
      </w:r>
    </w:p>
    <w:p>
      <w:pPr>
        <w:pStyle w:val="276"/>
        <w:rPr>
          <w:rFonts w:eastAsiaTheme="minorEastAsia"/>
          <w:color w:val="auto"/>
        </w:rPr>
      </w:pPr>
      <w:r>
        <w:rPr>
          <w:rFonts w:eastAsiaTheme="minorEastAsia"/>
          <w:color w:val="auto"/>
        </w:rPr>
        <w:t>a加强汛前、汛期、安全工作的领导，安全防汛制度，落实安全责任，克服麻痹思想和侥幸心理。</w:t>
      </w:r>
    </w:p>
    <w:p>
      <w:pPr>
        <w:pStyle w:val="276"/>
        <w:rPr>
          <w:rFonts w:eastAsiaTheme="minorEastAsia"/>
          <w:color w:val="auto"/>
        </w:rPr>
      </w:pPr>
      <w:r>
        <w:rPr>
          <w:rFonts w:eastAsiaTheme="minorEastAsia"/>
          <w:color w:val="auto"/>
        </w:rPr>
        <w:t>b根据汛情情况，做好值班巡查工作，成立一支抢险队伍，明确任务。</w:t>
      </w:r>
    </w:p>
    <w:p>
      <w:pPr>
        <w:pStyle w:val="276"/>
        <w:rPr>
          <w:rFonts w:eastAsiaTheme="minorEastAsia"/>
          <w:color w:val="auto"/>
        </w:rPr>
      </w:pPr>
      <w:r>
        <w:rPr>
          <w:rFonts w:eastAsiaTheme="minorEastAsia"/>
          <w:color w:val="auto"/>
        </w:rPr>
        <w:t>c根据汛情规模和险情大小，准备好必备的防汛工具和器材。特大暴雨时要确保人员安全。</w:t>
      </w:r>
    </w:p>
    <w:p>
      <w:pPr>
        <w:pStyle w:val="276"/>
        <w:rPr>
          <w:rFonts w:eastAsiaTheme="minorEastAsia"/>
          <w:color w:val="auto"/>
        </w:rPr>
      </w:pPr>
      <w:r>
        <w:rPr>
          <w:rFonts w:eastAsiaTheme="minorEastAsia"/>
          <w:color w:val="auto"/>
        </w:rPr>
        <w:t>d要及时收听本地天气预报的雨量资料来预测洪水。</w:t>
      </w:r>
    </w:p>
    <w:p>
      <w:pPr>
        <w:pStyle w:val="276"/>
        <w:rPr>
          <w:rFonts w:eastAsiaTheme="minorEastAsia"/>
          <w:color w:val="auto"/>
        </w:rPr>
      </w:pPr>
      <w:r>
        <w:rPr>
          <w:rFonts w:eastAsiaTheme="minorEastAsia"/>
          <w:color w:val="auto"/>
        </w:rPr>
        <w:t>e单位应成立抢险安全组委会，该组委会应落实安全隐患治理工作，抢险和工程救护，发现重大事故隐患和险情要及时向有关安全生产监察管理部门报告。</w:t>
      </w:r>
    </w:p>
    <w:p>
      <w:pPr>
        <w:pStyle w:val="276"/>
        <w:rPr>
          <w:rFonts w:eastAsiaTheme="minorEastAsia"/>
          <w:color w:val="auto"/>
        </w:rPr>
      </w:pPr>
      <w:r>
        <w:rPr>
          <w:rFonts w:eastAsiaTheme="minorEastAsia"/>
          <w:color w:val="auto"/>
        </w:rPr>
        <w:t>f根据水情做好抢险设备。</w:t>
      </w:r>
    </w:p>
    <w:p>
      <w:pPr>
        <w:pStyle w:val="276"/>
        <w:rPr>
          <w:rFonts w:eastAsiaTheme="minorEastAsia"/>
          <w:color w:val="auto"/>
        </w:rPr>
      </w:pPr>
      <w:r>
        <w:rPr>
          <w:rFonts w:eastAsiaTheme="minorEastAsia"/>
          <w:color w:val="auto"/>
        </w:rPr>
        <w:t>g加强巡查。早发现，早处理，早解决，实现转危为安。</w:t>
      </w:r>
    </w:p>
    <w:p>
      <w:pPr>
        <w:pStyle w:val="276"/>
        <w:rPr>
          <w:rFonts w:eastAsiaTheme="minorEastAsia"/>
          <w:color w:val="auto"/>
        </w:rPr>
      </w:pPr>
      <w:r>
        <w:rPr>
          <w:rFonts w:eastAsiaTheme="minorEastAsia"/>
          <w:color w:val="auto"/>
        </w:rPr>
        <w:t>h建立领导值班制度：矿区领导及值班长在遇有大雨、暴雨、连雨天时，必须到斜坡道、环山渠、截洪沟等容易发生险情的地方进行观察，发现险情及时报告。</w:t>
      </w:r>
    </w:p>
    <w:p>
      <w:pPr>
        <w:pStyle w:val="242"/>
        <w:rPr>
          <w:rFonts w:ascii="Times New Roman" w:hAnsi="Times New Roman" w:cs="Times New Roman" w:eastAsiaTheme="minorEastAsia"/>
          <w:color w:val="auto"/>
        </w:rPr>
      </w:pPr>
      <w:r>
        <w:rPr>
          <w:rFonts w:ascii="Times New Roman" w:hAnsi="Times New Roman" w:cs="Times New Roman" w:eastAsiaTheme="minorEastAsia"/>
          <w:color w:val="auto"/>
        </w:rPr>
        <w:t>6.2.6.2边坡滑坡风险防范措施</w:t>
      </w:r>
    </w:p>
    <w:p>
      <w:pPr>
        <w:pStyle w:val="276"/>
        <w:rPr>
          <w:rFonts w:eastAsiaTheme="minorEastAsia"/>
          <w:color w:val="auto"/>
        </w:rPr>
      </w:pPr>
      <w:r>
        <w:rPr>
          <w:rFonts w:eastAsiaTheme="minorEastAsia"/>
          <w:color w:val="auto"/>
        </w:rPr>
        <w:t>（1）严格按照《金属非金属矿山安全规程》(GB16423-2006)设计，保证露天矿开采边坡的稳定性。</w:t>
      </w:r>
    </w:p>
    <w:p>
      <w:pPr>
        <w:pStyle w:val="276"/>
        <w:rPr>
          <w:rFonts w:eastAsiaTheme="minorEastAsia"/>
          <w:color w:val="auto"/>
        </w:rPr>
      </w:pPr>
      <w:r>
        <w:rPr>
          <w:rFonts w:eastAsiaTheme="minorEastAsia"/>
          <w:color w:val="auto"/>
        </w:rPr>
        <w:t>（2）边坡设计严格执行开采设计参数，施工采用光面、微差爆破，并控制一次爆破量和按计划进行爆破。</w:t>
      </w:r>
    </w:p>
    <w:p>
      <w:pPr>
        <w:pStyle w:val="276"/>
        <w:rPr>
          <w:rFonts w:eastAsiaTheme="minorEastAsia"/>
          <w:color w:val="auto"/>
        </w:rPr>
      </w:pPr>
      <w:r>
        <w:rPr>
          <w:rFonts w:eastAsiaTheme="minorEastAsia"/>
          <w:color w:val="auto"/>
        </w:rPr>
        <w:t>（3）在露天开采境界线外，设立钢丝绳和护栏，防止人员坠落。</w:t>
      </w:r>
    </w:p>
    <w:p>
      <w:pPr>
        <w:pStyle w:val="276"/>
        <w:rPr>
          <w:rFonts w:eastAsiaTheme="minorEastAsia"/>
          <w:color w:val="auto"/>
        </w:rPr>
      </w:pPr>
      <w:r>
        <w:rPr>
          <w:rFonts w:eastAsiaTheme="minorEastAsia"/>
          <w:color w:val="auto"/>
        </w:rPr>
        <w:t>（4）当矿山生产需要多台阶，同时生产过程中超前距离不小于工作平台宽度。</w:t>
      </w:r>
    </w:p>
    <w:p>
      <w:pPr>
        <w:pStyle w:val="276"/>
        <w:rPr>
          <w:rFonts w:eastAsiaTheme="minorEastAsia"/>
          <w:color w:val="auto"/>
        </w:rPr>
      </w:pPr>
      <w:r>
        <w:rPr>
          <w:rFonts w:eastAsiaTheme="minorEastAsia"/>
          <w:color w:val="auto"/>
        </w:rPr>
        <w:t>（5）为了管理到位，在边坡外设观测点，定期观测边坡可能的变化，并随时采取措施。</w:t>
      </w:r>
    </w:p>
    <w:p>
      <w:pPr>
        <w:pStyle w:val="276"/>
        <w:rPr>
          <w:rFonts w:eastAsiaTheme="minorEastAsia"/>
          <w:color w:val="auto"/>
        </w:rPr>
      </w:pPr>
      <w:r>
        <w:rPr>
          <w:rFonts w:eastAsiaTheme="minorEastAsia"/>
          <w:color w:val="auto"/>
        </w:rPr>
        <w:t>（6）发现露天边坡局部岩石风化破碎时，应采取喷砼或喷锚网护坡。</w:t>
      </w:r>
    </w:p>
    <w:p>
      <w:pPr>
        <w:pStyle w:val="276"/>
        <w:rPr>
          <w:rFonts w:eastAsiaTheme="minorEastAsia"/>
          <w:color w:val="auto"/>
        </w:rPr>
      </w:pPr>
      <w:r>
        <w:rPr>
          <w:rFonts w:eastAsiaTheme="minorEastAsia"/>
          <w:color w:val="auto"/>
        </w:rPr>
        <w:t>（7）在采场开采境界外修筑截排水沟，降低采场内汇水面积。</w:t>
      </w:r>
    </w:p>
    <w:p>
      <w:pPr>
        <w:pStyle w:val="276"/>
        <w:rPr>
          <w:rFonts w:eastAsiaTheme="minorEastAsia"/>
          <w:color w:val="auto"/>
        </w:rPr>
      </w:pPr>
      <w:r>
        <w:rPr>
          <w:rFonts w:eastAsiaTheme="minorEastAsia"/>
          <w:color w:val="auto"/>
        </w:rPr>
        <w:t>（8）露天矿边坡出现裂缝时，应立即组织人员对其进行加固并在加固期间停止采矿作业。</w:t>
      </w:r>
    </w:p>
    <w:p>
      <w:pPr>
        <w:pStyle w:val="242"/>
        <w:rPr>
          <w:rFonts w:ascii="Times New Roman" w:hAnsi="Times New Roman" w:cs="Times New Roman" w:eastAsiaTheme="minorEastAsia"/>
          <w:color w:val="auto"/>
        </w:rPr>
      </w:pPr>
      <w:r>
        <w:rPr>
          <w:rFonts w:ascii="Times New Roman" w:hAnsi="Times New Roman" w:cs="Times New Roman" w:eastAsiaTheme="minorEastAsia"/>
          <w:color w:val="auto"/>
        </w:rPr>
        <w:t>6.2.6.3爆破事故风险防范措施</w:t>
      </w:r>
    </w:p>
    <w:p>
      <w:pPr>
        <w:pStyle w:val="276"/>
        <w:rPr>
          <w:rFonts w:eastAsiaTheme="minorEastAsia"/>
          <w:color w:val="auto"/>
        </w:rPr>
      </w:pPr>
      <w:r>
        <w:rPr>
          <w:rFonts w:eastAsiaTheme="minorEastAsia"/>
          <w:color w:val="auto"/>
        </w:rPr>
        <w:t>（1）本项目爆破委托专业公司专业爆破人员进行装药引爆，并根据《爆破安全规程》（GB6722-2014）一般工程爆破个别飞散物对设备或建（构）物的安全允许距离由设计确定；台阶爆破个别分散物对人员的最小安全允许距离不应小于200m，复杂地质条件下或未形成台阶工作面时不小于300m，确定爆破区安全警戒范围界为300m。本项目采矿区距离最近村庄</w:t>
      </w:r>
      <w:r>
        <w:rPr>
          <w:rFonts w:hint="eastAsia" w:eastAsiaTheme="minorEastAsia"/>
          <w:color w:val="auto"/>
          <w:lang w:eastAsia="zh-CN"/>
        </w:rPr>
        <w:t>新华村450m</w:t>
      </w:r>
      <w:r>
        <w:rPr>
          <w:rFonts w:eastAsiaTheme="minorEastAsia"/>
          <w:color w:val="auto"/>
        </w:rPr>
        <w:t xml:space="preserve">，满足安全距离要求。 </w:t>
      </w:r>
    </w:p>
    <w:p>
      <w:pPr>
        <w:pStyle w:val="276"/>
        <w:rPr>
          <w:rFonts w:eastAsiaTheme="minorEastAsia"/>
          <w:color w:val="auto"/>
        </w:rPr>
      </w:pPr>
      <w:r>
        <w:rPr>
          <w:rFonts w:eastAsiaTheme="minorEastAsia"/>
          <w:color w:val="auto"/>
        </w:rPr>
        <w:t>（2）应实行定时爆破，每天固定一个时段进行爆破作业，在警戒区边界设置醒目的安全警示标志，并标明爆破作业时间、爆破的预警、起爆与解除信号等。让员工和周边人员都能知道以便于及时躲避。</w:t>
      </w:r>
    </w:p>
    <w:p>
      <w:pPr>
        <w:pStyle w:val="276"/>
        <w:rPr>
          <w:rFonts w:eastAsiaTheme="minorEastAsia"/>
          <w:color w:val="auto"/>
        </w:rPr>
      </w:pPr>
      <w:r>
        <w:rPr>
          <w:rFonts w:eastAsiaTheme="minorEastAsia"/>
          <w:color w:val="auto"/>
        </w:rPr>
        <w:t>（3）露天爆破应在危险区边界设立岗哨，使所有通路都处于监视之下。爆破前必须同时发出声响和视觉信号，爆破前撤出爆破危险区域内非作业人员及设备。爆破后15分钟由检查人员进入现场检查并处理，爆破作业的警戒与信号必须严格遵守《爆破安全规程》的要求。</w:t>
      </w:r>
    </w:p>
    <w:p>
      <w:pPr>
        <w:pStyle w:val="276"/>
        <w:rPr>
          <w:rFonts w:eastAsiaTheme="minorEastAsia"/>
          <w:color w:val="auto"/>
        </w:rPr>
      </w:pPr>
      <w:r>
        <w:rPr>
          <w:rFonts w:eastAsiaTheme="minorEastAsia"/>
          <w:color w:val="auto"/>
        </w:rPr>
        <w:t>（4）按规定发放劳动防护用品，禁止爆破人员穿着化纤服装作业。</w:t>
      </w:r>
    </w:p>
    <w:p>
      <w:pPr>
        <w:pStyle w:val="276"/>
        <w:rPr>
          <w:rFonts w:eastAsiaTheme="minorEastAsia"/>
          <w:color w:val="auto"/>
        </w:rPr>
      </w:pPr>
      <w:r>
        <w:rPr>
          <w:rFonts w:eastAsiaTheme="minorEastAsia"/>
          <w:color w:val="auto"/>
        </w:rPr>
        <w:t>（5）露天爆破作业应使用符合国家标准或行业标准的爆破器材。</w:t>
      </w:r>
    </w:p>
    <w:p>
      <w:pPr>
        <w:pStyle w:val="276"/>
        <w:rPr>
          <w:rFonts w:eastAsiaTheme="minorEastAsia"/>
          <w:color w:val="auto"/>
        </w:rPr>
      </w:pPr>
      <w:r>
        <w:rPr>
          <w:rFonts w:eastAsiaTheme="minorEastAsia"/>
          <w:color w:val="auto"/>
        </w:rPr>
        <w:t>（6）从炸药运入现场开始，应划定装运警戒区，警戒区内应禁止烟火；搬运爆破器材应轻拿轻放，不应冲撞起爆药包。</w:t>
      </w:r>
    </w:p>
    <w:p>
      <w:pPr>
        <w:pStyle w:val="276"/>
        <w:rPr>
          <w:rFonts w:eastAsiaTheme="minorEastAsia"/>
          <w:color w:val="auto"/>
        </w:rPr>
      </w:pPr>
      <w:r>
        <w:rPr>
          <w:rFonts w:eastAsiaTheme="minorEastAsia"/>
          <w:color w:val="auto"/>
        </w:rPr>
        <w:t>（7）当露天爆破地点有边坡滑坡危险、有涌水或炮眼温度异常，危及设备、建筑物安全而无有效防护措施的情况时，禁止进行爆破作业。</w:t>
      </w:r>
    </w:p>
    <w:p>
      <w:pPr>
        <w:pStyle w:val="276"/>
        <w:rPr>
          <w:rFonts w:eastAsiaTheme="minorEastAsia"/>
          <w:color w:val="auto"/>
        </w:rPr>
      </w:pPr>
      <w:r>
        <w:rPr>
          <w:rFonts w:eastAsiaTheme="minorEastAsia"/>
          <w:color w:val="auto"/>
        </w:rPr>
        <w:t>（8）禁止二次爆破，破碎大块矿岩，应采用机械方式进行破碎。</w:t>
      </w:r>
    </w:p>
    <w:p>
      <w:pPr>
        <w:pStyle w:val="242"/>
        <w:rPr>
          <w:rFonts w:ascii="Times New Roman" w:hAnsi="Times New Roman" w:cs="Times New Roman" w:eastAsiaTheme="minorEastAsia"/>
          <w:color w:val="auto"/>
        </w:rPr>
      </w:pPr>
      <w:r>
        <w:rPr>
          <w:rFonts w:ascii="Times New Roman" w:hAnsi="Times New Roman" w:cs="Times New Roman" w:eastAsiaTheme="minorEastAsia"/>
          <w:color w:val="auto"/>
        </w:rPr>
        <w:t>6.2.6.4危险废物贮存风险防范措施</w:t>
      </w:r>
    </w:p>
    <w:p>
      <w:pPr>
        <w:pStyle w:val="276"/>
        <w:rPr>
          <w:rFonts w:eastAsiaTheme="minorEastAsia"/>
          <w:color w:val="auto"/>
        </w:rPr>
      </w:pPr>
      <w:r>
        <w:rPr>
          <w:rFonts w:eastAsiaTheme="minorEastAsia"/>
          <w:color w:val="auto"/>
        </w:rPr>
        <w:t>（1）危废暂存间必须按GB15562.2的规定设置警示标志。</w:t>
      </w:r>
    </w:p>
    <w:p>
      <w:pPr>
        <w:pStyle w:val="276"/>
        <w:rPr>
          <w:rFonts w:eastAsiaTheme="minorEastAsia"/>
          <w:color w:val="auto"/>
        </w:rPr>
      </w:pPr>
      <w:r>
        <w:rPr>
          <w:rFonts w:eastAsiaTheme="minorEastAsia"/>
          <w:color w:val="auto"/>
        </w:rPr>
        <w:t>（2）危废暂存间应配备通讯设备、照明设施、安全防护服装和工具，并设有应急防护设施。</w:t>
      </w:r>
    </w:p>
    <w:p>
      <w:pPr>
        <w:pStyle w:val="276"/>
        <w:rPr>
          <w:rFonts w:eastAsiaTheme="minorEastAsia"/>
          <w:color w:val="auto"/>
        </w:rPr>
      </w:pPr>
      <w:r>
        <w:rPr>
          <w:rFonts w:eastAsiaTheme="minorEastAsia"/>
          <w:color w:val="auto"/>
        </w:rPr>
        <w:t>（3）针对危废暂存间完善现有应急救援预案。</w:t>
      </w:r>
    </w:p>
    <w:p>
      <w:pPr>
        <w:pStyle w:val="242"/>
        <w:rPr>
          <w:rFonts w:ascii="Times New Roman" w:hAnsi="Times New Roman" w:cs="Times New Roman" w:eastAsiaTheme="minorEastAsia"/>
          <w:color w:val="auto"/>
        </w:rPr>
      </w:pPr>
      <w:r>
        <w:rPr>
          <w:rFonts w:ascii="Times New Roman" w:hAnsi="Times New Roman" w:cs="Times New Roman" w:eastAsiaTheme="minorEastAsia"/>
          <w:color w:val="auto"/>
        </w:rPr>
        <w:t>6.2.7.5制定事故应急预案</w:t>
      </w:r>
    </w:p>
    <w:p>
      <w:pPr>
        <w:pStyle w:val="276"/>
        <w:rPr>
          <w:rFonts w:eastAsiaTheme="minorEastAsia"/>
          <w:color w:val="auto"/>
        </w:rPr>
      </w:pPr>
      <w:r>
        <w:rPr>
          <w:rFonts w:eastAsiaTheme="minorEastAsia"/>
          <w:color w:val="auto"/>
        </w:rPr>
        <w:t>在制定事故应急救援预案时，必须遵循“预防为主，防救结合”的原则，立足点应在“防”。应急预案的主要内容见表6-2-3。</w:t>
      </w:r>
    </w:p>
    <w:p>
      <w:pPr>
        <w:pStyle w:val="244"/>
        <w:rPr>
          <w:rFonts w:eastAsiaTheme="minorEastAsia"/>
          <w:b/>
          <w:color w:val="auto"/>
        </w:rPr>
      </w:pPr>
      <w:r>
        <w:rPr>
          <w:rFonts w:eastAsiaTheme="minorEastAsia"/>
          <w:color w:val="auto"/>
        </w:rPr>
        <w:t>表6-2-3应急预案内容</w:t>
      </w:r>
    </w:p>
    <w:tbl>
      <w:tblPr>
        <w:tblStyle w:val="53"/>
        <w:tblW w:w="8184" w:type="dxa"/>
        <w:jc w:val="center"/>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813"/>
        <w:gridCol w:w="1701"/>
        <w:gridCol w:w="5670"/>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40" w:hRule="atLeast"/>
          <w:jc w:val="center"/>
        </w:trPr>
        <w:tc>
          <w:tcPr>
            <w:tcW w:w="813" w:type="dxa"/>
            <w:vAlign w:val="center"/>
          </w:tcPr>
          <w:p>
            <w:pPr>
              <w:pStyle w:val="246"/>
              <w:rPr>
                <w:rFonts w:eastAsiaTheme="minorEastAsia"/>
                <w:color w:val="auto"/>
              </w:rPr>
            </w:pPr>
            <w:r>
              <w:rPr>
                <w:rFonts w:eastAsiaTheme="minorEastAsia"/>
                <w:color w:val="auto"/>
              </w:rPr>
              <w:t>序号</w:t>
            </w:r>
          </w:p>
        </w:tc>
        <w:tc>
          <w:tcPr>
            <w:tcW w:w="1701" w:type="dxa"/>
            <w:vAlign w:val="center"/>
          </w:tcPr>
          <w:p>
            <w:pPr>
              <w:pStyle w:val="246"/>
              <w:rPr>
                <w:rFonts w:eastAsiaTheme="minorEastAsia"/>
                <w:color w:val="auto"/>
              </w:rPr>
            </w:pPr>
            <w:r>
              <w:rPr>
                <w:rFonts w:eastAsiaTheme="minorEastAsia"/>
                <w:color w:val="auto"/>
              </w:rPr>
              <w:t>项目</w:t>
            </w:r>
          </w:p>
        </w:tc>
        <w:tc>
          <w:tcPr>
            <w:tcW w:w="5670" w:type="dxa"/>
            <w:vAlign w:val="center"/>
          </w:tcPr>
          <w:p>
            <w:pPr>
              <w:pStyle w:val="246"/>
              <w:rPr>
                <w:rFonts w:eastAsiaTheme="minorEastAsia"/>
                <w:color w:val="auto"/>
              </w:rPr>
            </w:pPr>
            <w:r>
              <w:rPr>
                <w:rFonts w:eastAsiaTheme="minorEastAsia"/>
                <w:color w:val="auto"/>
              </w:rPr>
              <w:t>应急预案</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262" w:hRule="atLeast"/>
          <w:jc w:val="center"/>
        </w:trPr>
        <w:tc>
          <w:tcPr>
            <w:tcW w:w="813" w:type="dxa"/>
            <w:vAlign w:val="center"/>
          </w:tcPr>
          <w:p>
            <w:pPr>
              <w:pStyle w:val="246"/>
              <w:rPr>
                <w:rFonts w:eastAsiaTheme="minorEastAsia"/>
                <w:color w:val="auto"/>
              </w:rPr>
            </w:pPr>
            <w:r>
              <w:rPr>
                <w:rFonts w:eastAsiaTheme="minorEastAsia"/>
                <w:color w:val="auto"/>
              </w:rPr>
              <w:t>1</w:t>
            </w:r>
          </w:p>
        </w:tc>
        <w:tc>
          <w:tcPr>
            <w:tcW w:w="1701" w:type="dxa"/>
            <w:vAlign w:val="center"/>
          </w:tcPr>
          <w:p>
            <w:pPr>
              <w:pStyle w:val="246"/>
              <w:rPr>
                <w:rFonts w:eastAsiaTheme="minorEastAsia"/>
                <w:color w:val="auto"/>
              </w:rPr>
            </w:pPr>
            <w:r>
              <w:rPr>
                <w:rFonts w:eastAsiaTheme="minorEastAsia"/>
                <w:color w:val="auto"/>
              </w:rPr>
              <w:t>危险源</w:t>
            </w:r>
          </w:p>
        </w:tc>
        <w:tc>
          <w:tcPr>
            <w:tcW w:w="5670" w:type="dxa"/>
            <w:vAlign w:val="center"/>
          </w:tcPr>
          <w:p>
            <w:pPr>
              <w:pStyle w:val="246"/>
              <w:rPr>
                <w:rFonts w:eastAsiaTheme="minorEastAsia"/>
                <w:color w:val="auto"/>
              </w:rPr>
            </w:pPr>
            <w:r>
              <w:rPr>
                <w:rFonts w:eastAsiaTheme="minorEastAsia"/>
                <w:color w:val="auto"/>
              </w:rPr>
              <w:t>岩体坍塌、边坡失稳、临时堆土场坝体坍塌、废机油泄漏</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40" w:hRule="atLeast"/>
          <w:jc w:val="center"/>
        </w:trPr>
        <w:tc>
          <w:tcPr>
            <w:tcW w:w="813" w:type="dxa"/>
            <w:vAlign w:val="center"/>
          </w:tcPr>
          <w:p>
            <w:pPr>
              <w:pStyle w:val="246"/>
              <w:rPr>
                <w:rFonts w:eastAsiaTheme="minorEastAsia"/>
                <w:color w:val="auto"/>
              </w:rPr>
            </w:pPr>
            <w:r>
              <w:rPr>
                <w:rFonts w:eastAsiaTheme="minorEastAsia"/>
                <w:color w:val="auto"/>
              </w:rPr>
              <w:t>2</w:t>
            </w:r>
          </w:p>
        </w:tc>
        <w:tc>
          <w:tcPr>
            <w:tcW w:w="1701" w:type="dxa"/>
            <w:vAlign w:val="center"/>
          </w:tcPr>
          <w:p>
            <w:pPr>
              <w:pStyle w:val="246"/>
              <w:rPr>
                <w:rFonts w:eastAsiaTheme="minorEastAsia"/>
                <w:color w:val="auto"/>
              </w:rPr>
            </w:pPr>
            <w:r>
              <w:rPr>
                <w:rFonts w:eastAsiaTheme="minorEastAsia"/>
                <w:color w:val="auto"/>
              </w:rPr>
              <w:t>应急计划区</w:t>
            </w:r>
          </w:p>
        </w:tc>
        <w:tc>
          <w:tcPr>
            <w:tcW w:w="5670" w:type="dxa"/>
            <w:vAlign w:val="center"/>
          </w:tcPr>
          <w:p>
            <w:pPr>
              <w:pStyle w:val="246"/>
              <w:rPr>
                <w:rFonts w:eastAsiaTheme="minorEastAsia"/>
                <w:color w:val="auto"/>
              </w:rPr>
            </w:pPr>
            <w:r>
              <w:rPr>
                <w:rFonts w:eastAsiaTheme="minorEastAsia"/>
                <w:color w:val="auto"/>
              </w:rPr>
              <w:t>采矿工作面、临时堆土场、危险废物暂存间、环境保护目标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350" w:hRule="atLeast"/>
          <w:jc w:val="center"/>
        </w:trPr>
        <w:tc>
          <w:tcPr>
            <w:tcW w:w="813" w:type="dxa"/>
            <w:vAlign w:val="center"/>
          </w:tcPr>
          <w:p>
            <w:pPr>
              <w:pStyle w:val="246"/>
              <w:rPr>
                <w:rFonts w:eastAsiaTheme="minorEastAsia"/>
                <w:color w:val="auto"/>
              </w:rPr>
            </w:pPr>
            <w:r>
              <w:rPr>
                <w:rFonts w:eastAsiaTheme="minorEastAsia"/>
                <w:color w:val="auto"/>
              </w:rPr>
              <w:t>3</w:t>
            </w:r>
          </w:p>
        </w:tc>
        <w:tc>
          <w:tcPr>
            <w:tcW w:w="1701" w:type="dxa"/>
            <w:vAlign w:val="center"/>
          </w:tcPr>
          <w:p>
            <w:pPr>
              <w:pStyle w:val="246"/>
              <w:rPr>
                <w:rFonts w:eastAsiaTheme="minorEastAsia"/>
                <w:color w:val="auto"/>
              </w:rPr>
            </w:pPr>
            <w:r>
              <w:rPr>
                <w:rFonts w:eastAsiaTheme="minorEastAsia"/>
                <w:color w:val="auto"/>
              </w:rPr>
              <w:t>应急组织机构、人员</w:t>
            </w:r>
          </w:p>
        </w:tc>
        <w:tc>
          <w:tcPr>
            <w:tcW w:w="5670" w:type="dxa"/>
            <w:vAlign w:val="center"/>
          </w:tcPr>
          <w:p>
            <w:pPr>
              <w:pStyle w:val="246"/>
              <w:rPr>
                <w:rFonts w:eastAsiaTheme="minorEastAsia"/>
                <w:color w:val="auto"/>
              </w:rPr>
            </w:pPr>
            <w:r>
              <w:rPr>
                <w:rFonts w:eastAsiaTheme="minorEastAsia"/>
                <w:color w:val="auto"/>
              </w:rPr>
              <w:t>矿区设应急组织机构，矿区负责人负责现场全面指挥，专业救援队伍负责事故控制、救援和善后处理。</w:t>
            </w:r>
          </w:p>
          <w:p>
            <w:pPr>
              <w:pStyle w:val="246"/>
              <w:rPr>
                <w:rFonts w:eastAsiaTheme="minorEastAsia"/>
                <w:color w:val="auto"/>
              </w:rPr>
            </w:pPr>
            <w:r>
              <w:rPr>
                <w:rFonts w:eastAsiaTheme="minorEastAsia"/>
                <w:color w:val="auto"/>
              </w:rPr>
              <w:t>临近地区：由矿区专人负责矿区附近地区全面指挥，救援、管制和疏散</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40" w:hRule="atLeast"/>
          <w:jc w:val="center"/>
        </w:trPr>
        <w:tc>
          <w:tcPr>
            <w:tcW w:w="813" w:type="dxa"/>
            <w:vAlign w:val="center"/>
          </w:tcPr>
          <w:p>
            <w:pPr>
              <w:pStyle w:val="246"/>
              <w:rPr>
                <w:rFonts w:eastAsiaTheme="minorEastAsia"/>
                <w:color w:val="auto"/>
              </w:rPr>
            </w:pPr>
            <w:r>
              <w:rPr>
                <w:rFonts w:eastAsiaTheme="minorEastAsia"/>
                <w:color w:val="auto"/>
              </w:rPr>
              <w:t>4</w:t>
            </w:r>
          </w:p>
        </w:tc>
        <w:tc>
          <w:tcPr>
            <w:tcW w:w="1701" w:type="dxa"/>
            <w:vAlign w:val="center"/>
          </w:tcPr>
          <w:p>
            <w:pPr>
              <w:pStyle w:val="246"/>
              <w:rPr>
                <w:rFonts w:eastAsiaTheme="minorEastAsia"/>
                <w:color w:val="auto"/>
              </w:rPr>
            </w:pPr>
            <w:r>
              <w:rPr>
                <w:rFonts w:eastAsiaTheme="minorEastAsia"/>
                <w:color w:val="auto"/>
              </w:rPr>
              <w:t>预案分级响应条件</w:t>
            </w:r>
          </w:p>
        </w:tc>
        <w:tc>
          <w:tcPr>
            <w:tcW w:w="5670" w:type="dxa"/>
            <w:vAlign w:val="center"/>
          </w:tcPr>
          <w:p>
            <w:pPr>
              <w:pStyle w:val="246"/>
              <w:rPr>
                <w:rFonts w:eastAsiaTheme="minorEastAsia"/>
                <w:color w:val="auto"/>
              </w:rPr>
            </w:pPr>
            <w:r>
              <w:rPr>
                <w:rFonts w:eastAsiaTheme="minorEastAsia"/>
                <w:color w:val="auto"/>
              </w:rPr>
              <w:t xml:space="preserve">厂区响应，厂区人员撤到安全区域，由专业人员进行应急处理 </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40" w:hRule="atLeast"/>
          <w:jc w:val="center"/>
        </w:trPr>
        <w:tc>
          <w:tcPr>
            <w:tcW w:w="813" w:type="dxa"/>
            <w:vAlign w:val="center"/>
          </w:tcPr>
          <w:p>
            <w:pPr>
              <w:pStyle w:val="246"/>
              <w:rPr>
                <w:rFonts w:eastAsiaTheme="minorEastAsia"/>
                <w:color w:val="auto"/>
              </w:rPr>
            </w:pPr>
            <w:r>
              <w:rPr>
                <w:rFonts w:eastAsiaTheme="minorEastAsia"/>
                <w:color w:val="auto"/>
              </w:rPr>
              <w:t>5</w:t>
            </w:r>
          </w:p>
        </w:tc>
        <w:tc>
          <w:tcPr>
            <w:tcW w:w="1701" w:type="dxa"/>
            <w:vAlign w:val="center"/>
          </w:tcPr>
          <w:p>
            <w:pPr>
              <w:pStyle w:val="246"/>
              <w:rPr>
                <w:rFonts w:eastAsiaTheme="minorEastAsia"/>
                <w:color w:val="auto"/>
              </w:rPr>
            </w:pPr>
            <w:r>
              <w:rPr>
                <w:rFonts w:eastAsiaTheme="minorEastAsia"/>
                <w:color w:val="auto"/>
              </w:rPr>
              <w:t>应急救援保障</w:t>
            </w:r>
          </w:p>
        </w:tc>
        <w:tc>
          <w:tcPr>
            <w:tcW w:w="5670" w:type="dxa"/>
            <w:vAlign w:val="center"/>
          </w:tcPr>
          <w:p>
            <w:pPr>
              <w:pStyle w:val="246"/>
              <w:rPr>
                <w:rFonts w:eastAsiaTheme="minorEastAsia"/>
                <w:color w:val="auto"/>
              </w:rPr>
            </w:pPr>
            <w:r>
              <w:rPr>
                <w:rFonts w:eastAsiaTheme="minorEastAsia"/>
                <w:color w:val="auto"/>
              </w:rPr>
              <w:t>厂区各级组织保持通迅畅通，并有应急的交通工具</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262" w:hRule="atLeast"/>
          <w:jc w:val="center"/>
        </w:trPr>
        <w:tc>
          <w:tcPr>
            <w:tcW w:w="813" w:type="dxa"/>
            <w:vAlign w:val="center"/>
          </w:tcPr>
          <w:p>
            <w:pPr>
              <w:pStyle w:val="246"/>
              <w:rPr>
                <w:rFonts w:eastAsiaTheme="minorEastAsia"/>
                <w:color w:val="auto"/>
              </w:rPr>
            </w:pPr>
            <w:r>
              <w:rPr>
                <w:rFonts w:eastAsiaTheme="minorEastAsia"/>
                <w:color w:val="auto"/>
              </w:rPr>
              <w:t>6</w:t>
            </w:r>
          </w:p>
        </w:tc>
        <w:tc>
          <w:tcPr>
            <w:tcW w:w="1701" w:type="dxa"/>
            <w:vAlign w:val="center"/>
          </w:tcPr>
          <w:p>
            <w:pPr>
              <w:pStyle w:val="246"/>
              <w:rPr>
                <w:rFonts w:eastAsiaTheme="minorEastAsia"/>
                <w:color w:val="auto"/>
              </w:rPr>
            </w:pPr>
            <w:r>
              <w:rPr>
                <w:rFonts w:eastAsiaTheme="minorEastAsia"/>
                <w:color w:val="auto"/>
              </w:rPr>
              <w:t>应急环境监测、抢险、救援及控制措施</w:t>
            </w:r>
          </w:p>
        </w:tc>
        <w:tc>
          <w:tcPr>
            <w:tcW w:w="5670" w:type="dxa"/>
            <w:vAlign w:val="center"/>
          </w:tcPr>
          <w:p>
            <w:pPr>
              <w:pStyle w:val="246"/>
              <w:rPr>
                <w:rFonts w:eastAsiaTheme="minorEastAsia"/>
                <w:color w:val="auto"/>
              </w:rPr>
            </w:pPr>
            <w:r>
              <w:rPr>
                <w:rFonts w:eastAsiaTheme="minorEastAsia"/>
                <w:color w:val="auto"/>
              </w:rPr>
              <w:t>由专业人员对事故性质、严重程度等所造成的环境危害后果进行评估，吸取经验教训以免再次发生事故，为指挥部门提供决策依据为指挥部门提供决策依据</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40" w:hRule="atLeast"/>
          <w:jc w:val="center"/>
        </w:trPr>
        <w:tc>
          <w:tcPr>
            <w:tcW w:w="813" w:type="dxa"/>
            <w:vAlign w:val="center"/>
          </w:tcPr>
          <w:p>
            <w:pPr>
              <w:pStyle w:val="246"/>
              <w:rPr>
                <w:rFonts w:eastAsiaTheme="minorEastAsia"/>
                <w:color w:val="auto"/>
              </w:rPr>
            </w:pPr>
            <w:r>
              <w:rPr>
                <w:rFonts w:eastAsiaTheme="minorEastAsia"/>
                <w:color w:val="auto"/>
              </w:rPr>
              <w:t>7</w:t>
            </w:r>
          </w:p>
        </w:tc>
        <w:tc>
          <w:tcPr>
            <w:tcW w:w="1701" w:type="dxa"/>
            <w:vAlign w:val="center"/>
          </w:tcPr>
          <w:p>
            <w:pPr>
              <w:pStyle w:val="246"/>
              <w:rPr>
                <w:rFonts w:eastAsiaTheme="minorEastAsia"/>
                <w:color w:val="auto"/>
              </w:rPr>
            </w:pPr>
            <w:r>
              <w:rPr>
                <w:rFonts w:eastAsiaTheme="minorEastAsia"/>
                <w:color w:val="auto"/>
              </w:rPr>
              <w:t>应急防护措施</w:t>
            </w:r>
          </w:p>
        </w:tc>
        <w:tc>
          <w:tcPr>
            <w:tcW w:w="5670" w:type="dxa"/>
            <w:vAlign w:val="center"/>
          </w:tcPr>
          <w:p>
            <w:pPr>
              <w:pStyle w:val="246"/>
              <w:rPr>
                <w:rFonts w:eastAsiaTheme="minorEastAsia"/>
                <w:color w:val="auto"/>
              </w:rPr>
            </w:pPr>
            <w:r>
              <w:rPr>
                <w:rFonts w:eastAsiaTheme="minorEastAsia"/>
                <w:color w:val="auto"/>
              </w:rPr>
              <w:t>控制事故发展，防止扩大、蔓延及连锁反应，配备应急车辆</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350" w:hRule="atLeast"/>
          <w:jc w:val="center"/>
        </w:trPr>
        <w:tc>
          <w:tcPr>
            <w:tcW w:w="813" w:type="dxa"/>
            <w:vAlign w:val="center"/>
          </w:tcPr>
          <w:p>
            <w:pPr>
              <w:pStyle w:val="246"/>
              <w:rPr>
                <w:rFonts w:eastAsiaTheme="minorEastAsia"/>
                <w:color w:val="auto"/>
              </w:rPr>
            </w:pPr>
            <w:r>
              <w:rPr>
                <w:rFonts w:eastAsiaTheme="minorEastAsia"/>
                <w:color w:val="auto"/>
              </w:rPr>
              <w:t>8</w:t>
            </w:r>
          </w:p>
        </w:tc>
        <w:tc>
          <w:tcPr>
            <w:tcW w:w="1701" w:type="dxa"/>
            <w:vAlign w:val="center"/>
          </w:tcPr>
          <w:p>
            <w:pPr>
              <w:pStyle w:val="246"/>
              <w:rPr>
                <w:rFonts w:eastAsiaTheme="minorEastAsia"/>
                <w:color w:val="auto"/>
              </w:rPr>
            </w:pPr>
            <w:r>
              <w:rPr>
                <w:rFonts w:eastAsiaTheme="minorEastAsia"/>
                <w:color w:val="auto"/>
              </w:rPr>
              <w:t>人员紧急撤离、疏散，应急剂量控制、撤离组织计划</w:t>
            </w:r>
          </w:p>
        </w:tc>
        <w:tc>
          <w:tcPr>
            <w:tcW w:w="5670" w:type="dxa"/>
            <w:vAlign w:val="center"/>
          </w:tcPr>
          <w:p>
            <w:pPr>
              <w:pStyle w:val="246"/>
              <w:rPr>
                <w:rFonts w:eastAsiaTheme="minorEastAsia"/>
                <w:color w:val="auto"/>
              </w:rPr>
            </w:pPr>
            <w:r>
              <w:rPr>
                <w:rFonts w:eastAsiaTheme="minorEastAsia"/>
                <w:color w:val="auto"/>
              </w:rPr>
              <w:t>撤离组织计划，医疗救护</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262" w:hRule="atLeast"/>
          <w:jc w:val="center"/>
        </w:trPr>
        <w:tc>
          <w:tcPr>
            <w:tcW w:w="813" w:type="dxa"/>
            <w:vAlign w:val="center"/>
          </w:tcPr>
          <w:p>
            <w:pPr>
              <w:pStyle w:val="246"/>
              <w:rPr>
                <w:rFonts w:eastAsiaTheme="minorEastAsia"/>
                <w:color w:val="auto"/>
              </w:rPr>
            </w:pPr>
            <w:r>
              <w:rPr>
                <w:rFonts w:eastAsiaTheme="minorEastAsia"/>
                <w:color w:val="auto"/>
              </w:rPr>
              <w:t>9</w:t>
            </w:r>
          </w:p>
        </w:tc>
        <w:tc>
          <w:tcPr>
            <w:tcW w:w="1701" w:type="dxa"/>
            <w:vAlign w:val="center"/>
          </w:tcPr>
          <w:p>
            <w:pPr>
              <w:pStyle w:val="246"/>
              <w:rPr>
                <w:rFonts w:eastAsiaTheme="minorEastAsia"/>
                <w:color w:val="auto"/>
              </w:rPr>
            </w:pPr>
            <w:r>
              <w:rPr>
                <w:rFonts w:eastAsiaTheme="minorEastAsia"/>
                <w:color w:val="auto"/>
              </w:rPr>
              <w:t>事故应急救援关闭程序与恢复措施</w:t>
            </w:r>
          </w:p>
        </w:tc>
        <w:tc>
          <w:tcPr>
            <w:tcW w:w="5670" w:type="dxa"/>
            <w:vAlign w:val="center"/>
          </w:tcPr>
          <w:p>
            <w:pPr>
              <w:pStyle w:val="246"/>
              <w:rPr>
                <w:rFonts w:eastAsiaTheme="minorEastAsia"/>
                <w:color w:val="auto"/>
              </w:rPr>
            </w:pPr>
            <w:r>
              <w:rPr>
                <w:rFonts w:eastAsiaTheme="minorEastAsia"/>
                <w:color w:val="auto"/>
              </w:rPr>
              <w:t>规定应急状态终止程序；事故现场善后处理，恢复措施；邻近区域解除事故警戒及善后恢复措施</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40" w:hRule="atLeast"/>
          <w:jc w:val="center"/>
        </w:trPr>
        <w:tc>
          <w:tcPr>
            <w:tcW w:w="813" w:type="dxa"/>
            <w:vAlign w:val="center"/>
          </w:tcPr>
          <w:p>
            <w:pPr>
              <w:pStyle w:val="246"/>
              <w:rPr>
                <w:rFonts w:eastAsiaTheme="minorEastAsia"/>
                <w:color w:val="auto"/>
              </w:rPr>
            </w:pPr>
            <w:r>
              <w:rPr>
                <w:rFonts w:eastAsiaTheme="minorEastAsia"/>
                <w:color w:val="auto"/>
              </w:rPr>
              <w:t>10</w:t>
            </w:r>
          </w:p>
        </w:tc>
        <w:tc>
          <w:tcPr>
            <w:tcW w:w="1701" w:type="dxa"/>
            <w:vAlign w:val="center"/>
          </w:tcPr>
          <w:p>
            <w:pPr>
              <w:pStyle w:val="246"/>
              <w:rPr>
                <w:rFonts w:eastAsiaTheme="minorEastAsia"/>
                <w:color w:val="auto"/>
              </w:rPr>
            </w:pPr>
            <w:r>
              <w:rPr>
                <w:rFonts w:eastAsiaTheme="minorEastAsia"/>
                <w:color w:val="auto"/>
              </w:rPr>
              <w:t>公众教育和信息</w:t>
            </w:r>
          </w:p>
        </w:tc>
        <w:tc>
          <w:tcPr>
            <w:tcW w:w="5670" w:type="dxa"/>
            <w:vAlign w:val="center"/>
          </w:tcPr>
          <w:p>
            <w:pPr>
              <w:pStyle w:val="246"/>
              <w:rPr>
                <w:rFonts w:eastAsiaTheme="minorEastAsia"/>
                <w:color w:val="auto"/>
              </w:rPr>
            </w:pPr>
            <w:r>
              <w:rPr>
                <w:rFonts w:eastAsiaTheme="minorEastAsia"/>
                <w:color w:val="auto"/>
              </w:rPr>
              <w:t>对矿区邻近地区公众开展环境风险事故预防教育、应急知识培训并定期发布相关信息</w:t>
            </w:r>
          </w:p>
        </w:tc>
      </w:tr>
    </w:tbl>
    <w:p>
      <w:pPr>
        <w:rPr>
          <w:rFonts w:eastAsiaTheme="minorEastAsia"/>
          <w:color w:val="auto"/>
          <w:sz w:val="18"/>
          <w:szCs w:val="18"/>
        </w:rPr>
      </w:pPr>
      <w:r>
        <w:rPr>
          <w:rFonts w:eastAsiaTheme="minorEastAsia"/>
          <w:color w:val="auto"/>
          <w:sz w:val="18"/>
          <w:szCs w:val="18"/>
        </w:rPr>
        <w:t>注：其他未尽事宜按照安全管理部门的要求执行。</w:t>
      </w:r>
    </w:p>
    <w:p>
      <w:pPr>
        <w:pStyle w:val="276"/>
        <w:rPr>
          <w:rFonts w:eastAsiaTheme="minorEastAsia"/>
          <w:color w:val="auto"/>
        </w:rPr>
      </w:pPr>
      <w:r>
        <w:rPr>
          <w:rFonts w:eastAsiaTheme="minorEastAsia"/>
          <w:color w:val="auto"/>
        </w:rPr>
        <w:t>完善风险应急预案，强化安全管理。在严格落实风险管理及应急措施后，可将风险发生的概率和影响后果降到最低限度。</w:t>
      </w:r>
    </w:p>
    <w:p>
      <w:pPr>
        <w:pStyle w:val="238"/>
        <w:rPr>
          <w:rFonts w:hAnsi="Times New Roman" w:eastAsiaTheme="minorEastAsia"/>
          <w:color w:val="auto"/>
        </w:rPr>
      </w:pPr>
      <w:bookmarkStart w:id="248" w:name="_Toc437783988"/>
      <w:bookmarkStart w:id="249" w:name="_Toc392154079"/>
      <w:bookmarkStart w:id="250" w:name="_Toc440973843"/>
      <w:bookmarkStart w:id="251" w:name="_Toc440973577"/>
      <w:bookmarkStart w:id="252" w:name="_Toc519693585"/>
      <w:r>
        <w:rPr>
          <w:rFonts w:hAnsi="Times New Roman" w:eastAsiaTheme="minorEastAsia"/>
          <w:color w:val="auto"/>
        </w:rPr>
        <w:t>6.3服务期满后生态恢复措施</w:t>
      </w:r>
      <w:bookmarkEnd w:id="248"/>
      <w:bookmarkEnd w:id="249"/>
      <w:bookmarkEnd w:id="250"/>
      <w:bookmarkEnd w:id="251"/>
      <w:r>
        <w:rPr>
          <w:rFonts w:hAnsi="Times New Roman" w:eastAsiaTheme="minorEastAsia"/>
          <w:color w:val="auto"/>
        </w:rPr>
        <w:t>及其可行性分析</w:t>
      </w:r>
      <w:bookmarkEnd w:id="252"/>
    </w:p>
    <w:p>
      <w:pPr>
        <w:pStyle w:val="240"/>
        <w:rPr>
          <w:rFonts w:ascii="Times New Roman" w:hAnsi="Times New Roman" w:cs="Times New Roman" w:eastAsiaTheme="minorEastAsia"/>
          <w:color w:val="auto"/>
        </w:rPr>
      </w:pPr>
      <w:bookmarkStart w:id="253" w:name="_Toc22928"/>
      <w:r>
        <w:rPr>
          <w:rFonts w:ascii="Times New Roman" w:hAnsi="Times New Roman" w:cs="Times New Roman" w:eastAsiaTheme="minorEastAsia"/>
          <w:color w:val="auto"/>
        </w:rPr>
        <w:t>6.3.1</w:t>
      </w:r>
      <w:bookmarkEnd w:id="253"/>
      <w:r>
        <w:rPr>
          <w:rFonts w:ascii="Times New Roman" w:hAnsi="Times New Roman" w:cs="Times New Roman" w:eastAsiaTheme="minorEastAsia"/>
          <w:color w:val="auto"/>
        </w:rPr>
        <w:t xml:space="preserve"> 矿山地质环境保护与恢复治理目标和任务</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6.3.1.1目标</w:t>
      </w:r>
    </w:p>
    <w:p>
      <w:pPr>
        <w:spacing w:line="500" w:lineRule="exact"/>
        <w:ind w:firstLine="480" w:firstLineChars="200"/>
        <w:rPr>
          <w:rFonts w:eastAsiaTheme="minorEastAsia"/>
          <w:color w:val="auto"/>
        </w:rPr>
      </w:pPr>
      <w:r>
        <w:rPr>
          <w:rFonts w:eastAsiaTheme="minorEastAsia"/>
          <w:color w:val="auto"/>
        </w:rPr>
        <w:t>（1）在矿山生产期间，严格控制矿产资源开发对矿山环境的扰动和破坏，选择合理的开采工艺和方法，最大限度地减少或避免矿山环境问题的发生。</w:t>
      </w:r>
    </w:p>
    <w:p>
      <w:pPr>
        <w:spacing w:line="500" w:lineRule="exact"/>
        <w:ind w:firstLine="480" w:firstLineChars="200"/>
        <w:rPr>
          <w:rFonts w:eastAsiaTheme="minorEastAsia"/>
          <w:color w:val="auto"/>
        </w:rPr>
      </w:pPr>
      <w:r>
        <w:rPr>
          <w:rFonts w:eastAsiaTheme="minorEastAsia"/>
          <w:color w:val="auto"/>
        </w:rPr>
        <w:t>（2）在矿山闭坑或确定停采后，1年以内，被破坏土地的绿化、矿山生产废弃物的处理基本达到国家相关规定的标准。</w:t>
      </w:r>
    </w:p>
    <w:p>
      <w:pPr>
        <w:pStyle w:val="242"/>
        <w:rPr>
          <w:rFonts w:ascii="Times New Roman" w:hAnsi="Times New Roman" w:cs="Times New Roman" w:eastAsiaTheme="minorEastAsia"/>
          <w:color w:val="auto"/>
        </w:rPr>
      </w:pPr>
      <w:r>
        <w:rPr>
          <w:rFonts w:ascii="Times New Roman" w:hAnsi="Times New Roman" w:cs="Times New Roman" w:eastAsiaTheme="minorEastAsia"/>
          <w:color w:val="auto"/>
        </w:rPr>
        <w:t>6.3.1.2任务</w:t>
      </w:r>
    </w:p>
    <w:p>
      <w:pPr>
        <w:spacing w:line="500" w:lineRule="exact"/>
        <w:ind w:firstLine="480" w:firstLineChars="200"/>
        <w:rPr>
          <w:rFonts w:eastAsiaTheme="minorEastAsia"/>
          <w:color w:val="auto"/>
        </w:rPr>
      </w:pPr>
      <w:r>
        <w:rPr>
          <w:rFonts w:eastAsiaTheme="minorEastAsia"/>
          <w:color w:val="auto"/>
        </w:rPr>
        <w:t>（1）对矿山采矿形成的废弃物排放、堆存造成的矿山环境问题与矿山地质灾害，提出预防性环境保护与综合治理措施，以便矿主及时开展矿山环境治理恢复工作。</w:t>
      </w:r>
    </w:p>
    <w:p>
      <w:pPr>
        <w:spacing w:line="500" w:lineRule="exact"/>
        <w:ind w:firstLine="480" w:firstLineChars="200"/>
        <w:rPr>
          <w:rFonts w:eastAsiaTheme="minorEastAsia"/>
          <w:color w:val="auto"/>
        </w:rPr>
      </w:pPr>
      <w:r>
        <w:rPr>
          <w:rFonts w:eastAsiaTheme="minorEastAsia"/>
          <w:color w:val="auto"/>
        </w:rPr>
        <w:t>（2）提出矿山环境问题监测方案，实施对矿山环境问题与矿山地质灾害进行动态监测，为矿山环境保护与综合治理提供技术依据。</w:t>
      </w:r>
    </w:p>
    <w:p>
      <w:pPr>
        <w:ind w:firstLine="480" w:firstLineChars="200"/>
        <w:rPr>
          <w:rFonts w:eastAsiaTheme="minorEastAsia"/>
          <w:color w:val="auto"/>
        </w:rPr>
      </w:pPr>
      <w:r>
        <w:rPr>
          <w:rFonts w:eastAsiaTheme="minorEastAsia"/>
          <w:color w:val="auto"/>
        </w:rPr>
        <w:t>（3）根据采矿后形成废弃地、占用破坏地的地形、地貌现状，对破坏土地进行顺序回填、平整、覆土及综合整治，其核心是实施工程整治与绿化改善矿山生态环境。矿山服务期满后，对工业厂区、生活区的设备、建筑物拆除，进行场地平整后覆土，并栽种植物。</w:t>
      </w:r>
    </w:p>
    <w:p>
      <w:pPr>
        <w:pStyle w:val="242"/>
        <w:rPr>
          <w:rFonts w:ascii="Times New Roman" w:hAnsi="Times New Roman" w:cs="Times New Roman" w:eastAsiaTheme="minorEastAsia"/>
          <w:color w:val="auto"/>
        </w:rPr>
      </w:pPr>
      <w:r>
        <w:rPr>
          <w:rFonts w:ascii="Times New Roman" w:hAnsi="Times New Roman" w:cs="Times New Roman" w:eastAsiaTheme="minorEastAsia"/>
          <w:color w:val="auto"/>
        </w:rPr>
        <w:t>6.3.1.3防治措施</w:t>
      </w:r>
    </w:p>
    <w:p>
      <w:pPr>
        <w:spacing w:line="500" w:lineRule="exact"/>
        <w:ind w:firstLine="480" w:firstLineChars="200"/>
        <w:rPr>
          <w:rFonts w:eastAsiaTheme="minorEastAsia"/>
          <w:color w:val="auto"/>
        </w:rPr>
      </w:pPr>
      <w:r>
        <w:rPr>
          <w:rFonts w:eastAsiaTheme="minorEastAsia"/>
          <w:color w:val="auto"/>
        </w:rPr>
        <w:t>露天矿采场开采后，对工业厂区、生活区的设备、建筑物拆除，进行场地平整后覆土，并栽种植物。</w:t>
      </w:r>
    </w:p>
    <w:p>
      <w:pPr>
        <w:spacing w:line="500" w:lineRule="exact"/>
        <w:ind w:firstLine="480" w:firstLineChars="200"/>
        <w:rPr>
          <w:rFonts w:eastAsiaTheme="minorEastAsia"/>
          <w:color w:val="auto"/>
        </w:rPr>
      </w:pPr>
      <w:r>
        <w:rPr>
          <w:rFonts w:eastAsiaTheme="minorEastAsia"/>
          <w:color w:val="auto"/>
        </w:rPr>
        <w:t>（1）土地恢复工程</w:t>
      </w:r>
    </w:p>
    <w:p>
      <w:pPr>
        <w:spacing w:line="500" w:lineRule="exact"/>
        <w:ind w:firstLine="480" w:firstLineChars="200"/>
        <w:rPr>
          <w:rFonts w:eastAsiaTheme="minorEastAsia"/>
          <w:color w:val="auto"/>
        </w:rPr>
      </w:pPr>
      <w:r>
        <w:rPr>
          <w:rFonts w:eastAsiaTheme="minorEastAsia"/>
          <w:color w:val="auto"/>
        </w:rPr>
        <w:t>对建筑物进行拆除，对压占区由废石料及建筑垃圾形成的残（坡）积土层进行清理并回填至挖损区。将采坑底部及较大的凹坑地带采用人工、机械方式进行回填，回填时将大块岩土堆放在深部，分层回填，然后回填废弃土夹碎石，回填过程中，使用推土机边推平便碾压，最后将</w:t>
      </w:r>
      <w:r>
        <w:rPr>
          <w:rFonts w:hint="eastAsia" w:eastAsiaTheme="minorEastAsia"/>
          <w:color w:val="auto"/>
          <w:lang w:eastAsia="zh-CN"/>
        </w:rPr>
        <w:t>外购的</w:t>
      </w:r>
      <w:r>
        <w:rPr>
          <w:rFonts w:eastAsiaTheme="minorEastAsia"/>
          <w:color w:val="auto"/>
        </w:rPr>
        <w:t>品质适宜的土层和富含养分的土层安排在顶部，表层土厚度应不小于0.3m。用推土机对复垦区进行土地平整，平整后坡度应控制在15°以下。清理场地后，对复垦区进行表土覆盖，形成种植层。</w:t>
      </w:r>
    </w:p>
    <w:p>
      <w:pPr>
        <w:spacing w:line="500" w:lineRule="exact"/>
        <w:ind w:firstLine="480" w:firstLineChars="200"/>
        <w:rPr>
          <w:rFonts w:eastAsiaTheme="minorEastAsia"/>
          <w:color w:val="auto"/>
        </w:rPr>
      </w:pPr>
      <w:r>
        <w:rPr>
          <w:rFonts w:eastAsiaTheme="minorEastAsia"/>
          <w:color w:val="auto"/>
        </w:rPr>
        <w:t>（2）植被恢复工程</w:t>
      </w:r>
    </w:p>
    <w:p>
      <w:pPr>
        <w:spacing w:line="500" w:lineRule="exact"/>
        <w:ind w:firstLine="480" w:firstLineChars="200"/>
        <w:rPr>
          <w:rFonts w:eastAsiaTheme="minorEastAsia"/>
          <w:color w:val="auto"/>
        </w:rPr>
      </w:pPr>
      <w:r>
        <w:rPr>
          <w:rFonts w:eastAsiaTheme="minorEastAsia"/>
          <w:color w:val="auto"/>
        </w:rPr>
        <w:t>依据复垦土地的现状及矿区生态条件，选择对各种限制生长的因素有耐力的植物种植，以本地物种为宜。在工业生产区栽植乔木。利用树体高大浓荫遮挡裸露土体，不仅具有较好的视觉效果，同时为耐荫等爬藤植物提供良好的生态环境。根据当地地区气候特点，苗木可选用1—2年生树苗，种植方式以人工穴植为主，种植树木13425株、藤木500丛。</w:t>
      </w:r>
    </w:p>
    <w:p>
      <w:pPr>
        <w:pStyle w:val="240"/>
        <w:rPr>
          <w:rFonts w:ascii="Times New Roman" w:hAnsi="Times New Roman" w:cs="Times New Roman" w:eastAsiaTheme="minorEastAsia"/>
          <w:color w:val="auto"/>
        </w:rPr>
      </w:pPr>
      <w:bookmarkStart w:id="254" w:name="_Toc15741"/>
      <w:r>
        <w:rPr>
          <w:rFonts w:ascii="Times New Roman" w:hAnsi="Times New Roman" w:cs="Times New Roman" w:eastAsiaTheme="minorEastAsia"/>
          <w:color w:val="auto"/>
        </w:rPr>
        <w:t>6.3.2矿山地质环境保护与恢复治理分区</w:t>
      </w:r>
      <w:bookmarkEnd w:id="254"/>
    </w:p>
    <w:p>
      <w:pPr>
        <w:spacing w:line="500" w:lineRule="exact"/>
        <w:ind w:firstLine="480" w:firstLineChars="200"/>
        <w:rPr>
          <w:rFonts w:eastAsiaTheme="minorEastAsia"/>
          <w:color w:val="auto"/>
        </w:rPr>
      </w:pPr>
      <w:r>
        <w:rPr>
          <w:rFonts w:eastAsiaTheme="minorEastAsia"/>
          <w:color w:val="auto"/>
        </w:rPr>
        <w:t>（1）矿山地质环境重点保护区</w:t>
      </w:r>
    </w:p>
    <w:p>
      <w:pPr>
        <w:spacing w:line="500" w:lineRule="exact"/>
        <w:ind w:firstLine="480" w:firstLineChars="200"/>
        <w:rPr>
          <w:rFonts w:eastAsiaTheme="minorEastAsia"/>
          <w:color w:val="auto"/>
        </w:rPr>
      </w:pPr>
      <w:r>
        <w:rPr>
          <w:rFonts w:eastAsiaTheme="minorEastAsia"/>
          <w:color w:val="auto"/>
        </w:rPr>
        <w:t>本着以人为本的思想，首先将矿区内与人类生存息息相关的场地或人口相对集中的场所确定为需要保护的重点区域；其次将维系人类赖以生存的水资源、生态资源或耕地面积所占比例较大分布区确定为重点保护区。矿山所存在或面临的主要地质环境问题为矿山弃渣问题，应重点加强工程防治。</w:t>
      </w:r>
    </w:p>
    <w:p>
      <w:pPr>
        <w:spacing w:line="500" w:lineRule="exact"/>
        <w:ind w:firstLine="480" w:firstLineChars="200"/>
        <w:rPr>
          <w:rFonts w:eastAsiaTheme="minorEastAsia"/>
          <w:color w:val="auto"/>
        </w:rPr>
      </w:pPr>
      <w:r>
        <w:rPr>
          <w:rFonts w:eastAsiaTheme="minorEastAsia"/>
          <w:color w:val="auto"/>
        </w:rPr>
        <w:t>（2）矿山地质环境次重点保护区</w:t>
      </w:r>
    </w:p>
    <w:p>
      <w:pPr>
        <w:spacing w:line="500" w:lineRule="exact"/>
        <w:ind w:firstLine="480" w:firstLineChars="200"/>
        <w:rPr>
          <w:rFonts w:eastAsiaTheme="minorEastAsia"/>
          <w:color w:val="auto"/>
        </w:rPr>
      </w:pPr>
      <w:r>
        <w:rPr>
          <w:rFonts w:eastAsiaTheme="minorEastAsia"/>
          <w:color w:val="auto"/>
        </w:rPr>
        <w:t>将矿区人口相对稀少的矿山地质环境影响较严重的区域划定为矿山地质环境次重点保护区。</w:t>
      </w:r>
    </w:p>
    <w:p>
      <w:pPr>
        <w:spacing w:line="500" w:lineRule="exact"/>
        <w:ind w:firstLine="480" w:firstLineChars="200"/>
        <w:rPr>
          <w:rFonts w:eastAsiaTheme="minorEastAsia"/>
          <w:color w:val="auto"/>
        </w:rPr>
      </w:pPr>
      <w:r>
        <w:rPr>
          <w:rFonts w:eastAsiaTheme="minorEastAsia"/>
          <w:color w:val="auto"/>
        </w:rPr>
        <w:t>该矿山地质环境次重点保护区主要分布于矿区内设计开采范围内。</w:t>
      </w:r>
    </w:p>
    <w:p>
      <w:pPr>
        <w:spacing w:line="500" w:lineRule="exact"/>
        <w:ind w:firstLine="480" w:firstLineChars="200"/>
        <w:rPr>
          <w:rFonts w:eastAsiaTheme="minorEastAsia"/>
          <w:color w:val="auto"/>
        </w:rPr>
      </w:pPr>
      <w:r>
        <w:rPr>
          <w:rFonts w:eastAsiaTheme="minorEastAsia"/>
          <w:color w:val="auto"/>
        </w:rPr>
        <w:t>矿山所存在或面临的主要地质环境问题包括：地表变形与山体开裂，地面塌（沉）陷等。</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6.3.3矿山地质环境保护与恢复治理工程</w:t>
      </w:r>
    </w:p>
    <w:p>
      <w:pPr>
        <w:pStyle w:val="242"/>
        <w:rPr>
          <w:rFonts w:ascii="Times New Roman" w:hAnsi="Times New Roman" w:cs="Times New Roman" w:eastAsiaTheme="minorEastAsia"/>
          <w:color w:val="auto"/>
        </w:rPr>
      </w:pPr>
      <w:r>
        <w:rPr>
          <w:rFonts w:ascii="Times New Roman" w:hAnsi="Times New Roman" w:cs="Times New Roman" w:eastAsiaTheme="minorEastAsia"/>
          <w:color w:val="auto"/>
        </w:rPr>
        <w:t>6.3.3.1露天采坑治理方案</w:t>
      </w:r>
    </w:p>
    <w:p>
      <w:pPr>
        <w:spacing w:line="500" w:lineRule="exact"/>
        <w:ind w:firstLine="480" w:firstLineChars="200"/>
        <w:rPr>
          <w:rFonts w:eastAsiaTheme="minorEastAsia"/>
          <w:color w:val="auto"/>
        </w:rPr>
      </w:pPr>
      <w:r>
        <w:rPr>
          <w:rFonts w:eastAsiaTheme="minorEastAsia"/>
          <w:color w:val="auto"/>
        </w:rPr>
        <w:t>露天采场在矿山生产过程中，采取阶梯式开采方式，并在采坑边缘预留坡面角为60°的稳定边坡角，预防边坡失稳的产生。故矿山闭坑后，不需要对采矿场边坡实施治理工程。矿山继续开采时所产生的废石渣应尽量堆积在露天采场内，以减少后期的治理费用，临时堆土场</w:t>
      </w:r>
      <w:r>
        <w:rPr>
          <w:rFonts w:hint="eastAsia" w:eastAsiaTheme="minorEastAsia"/>
          <w:color w:val="auto"/>
          <w:lang w:eastAsia="zh-CN"/>
        </w:rPr>
        <w:t>设置在工业场地内偏西侧</w:t>
      </w:r>
      <w:r>
        <w:rPr>
          <w:rFonts w:eastAsiaTheme="minorEastAsia"/>
          <w:color w:val="auto"/>
        </w:rPr>
        <w:t>。</w:t>
      </w:r>
    </w:p>
    <w:p>
      <w:pPr>
        <w:spacing w:line="500" w:lineRule="exact"/>
        <w:ind w:firstLine="480" w:firstLineChars="200"/>
        <w:rPr>
          <w:rFonts w:eastAsiaTheme="minorEastAsia"/>
          <w:color w:val="auto"/>
        </w:rPr>
      </w:pPr>
      <w:r>
        <w:rPr>
          <w:rFonts w:eastAsiaTheme="minorEastAsia"/>
          <w:color w:val="auto"/>
        </w:rPr>
        <w:t>矿山生产活动结束后，需对露天采坑实施恢复生态环境治理工程，首先将采坑底部及较大的凹坑地带采用人工、机械方式进行回填，回填时将大块岩土堆放在深部，分层回填，然后回填废弃土夹碎石，回填过程中，使用推土机边推平便碾压，最后将</w:t>
      </w:r>
      <w:r>
        <w:rPr>
          <w:rFonts w:hint="eastAsia" w:eastAsiaTheme="minorEastAsia"/>
          <w:color w:val="auto"/>
          <w:lang w:eastAsia="zh-CN"/>
        </w:rPr>
        <w:t>外购的</w:t>
      </w:r>
      <w:r>
        <w:rPr>
          <w:rFonts w:eastAsiaTheme="minorEastAsia"/>
          <w:color w:val="auto"/>
        </w:rPr>
        <w:t>品质适宜的土层和富含养分的土层安排在顶部，表层土厚度应不小于0.3m。</w:t>
      </w:r>
    </w:p>
    <w:p>
      <w:pPr>
        <w:spacing w:line="500" w:lineRule="exact"/>
        <w:ind w:firstLine="480" w:firstLineChars="200"/>
        <w:rPr>
          <w:rFonts w:eastAsiaTheme="minorEastAsia"/>
          <w:color w:val="auto"/>
        </w:rPr>
      </w:pPr>
      <w:r>
        <w:rPr>
          <w:rFonts w:eastAsiaTheme="minorEastAsia"/>
          <w:color w:val="auto"/>
        </w:rPr>
        <w:t>根据地形情况将采坑平整成舒缓状，回填后采坑标高做到里高外低，形成西侧高东侧低，场地坡度在2°—5°之间，以利于自然排水，便于植物生长。</w:t>
      </w:r>
    </w:p>
    <w:p>
      <w:pPr>
        <w:pStyle w:val="242"/>
        <w:rPr>
          <w:rFonts w:ascii="Times New Roman" w:hAnsi="Times New Roman" w:cs="Times New Roman" w:eastAsiaTheme="minorEastAsia"/>
          <w:color w:val="auto"/>
        </w:rPr>
      </w:pPr>
      <w:r>
        <w:rPr>
          <w:rFonts w:ascii="Times New Roman" w:hAnsi="Times New Roman" w:cs="Times New Roman" w:eastAsiaTheme="minorEastAsia"/>
          <w:color w:val="auto"/>
        </w:rPr>
        <w:t>6.3.3.2临时堆土场、成品料场治理方案</w:t>
      </w:r>
    </w:p>
    <w:p>
      <w:pPr>
        <w:spacing w:line="500" w:lineRule="exact"/>
        <w:ind w:firstLine="480" w:firstLineChars="200"/>
        <w:rPr>
          <w:rFonts w:eastAsiaTheme="minorEastAsia"/>
          <w:color w:val="auto"/>
        </w:rPr>
      </w:pPr>
      <w:r>
        <w:rPr>
          <w:rFonts w:eastAsiaTheme="minorEastAsia"/>
          <w:color w:val="auto"/>
        </w:rPr>
        <w:t>矿山停采后将临时堆土场及时清运，将其清理至原有地质形态。由于原有土体长期处于废石堆积压状态，土壤层已经硬化，所以待场地废土石清运完毕后，将进行土地翻松，利用人工配合推土机将整个治理区地表硬土层进行翻松处理，以利于后续工程施工。具体作法是：在推土机尾部增加一可调式松土犁，推土机推平后的土地经松土犁疏松后人工整平，节约了大量时间和人工费用，平整后的土壤体积密度小于1.5g/cm</w:t>
      </w:r>
      <w:r>
        <w:rPr>
          <w:rFonts w:eastAsiaTheme="minorEastAsia"/>
          <w:color w:val="auto"/>
          <w:vertAlign w:val="superscript"/>
        </w:rPr>
        <w:t>3</w:t>
      </w:r>
      <w:r>
        <w:rPr>
          <w:rFonts w:eastAsiaTheme="minorEastAsia"/>
          <w:color w:val="auto"/>
        </w:rPr>
        <w:t>，土地翻松深度0.50m。</w:t>
      </w:r>
    </w:p>
    <w:p>
      <w:pPr>
        <w:pStyle w:val="242"/>
        <w:rPr>
          <w:rFonts w:ascii="Times New Roman" w:hAnsi="Times New Roman" w:cs="Times New Roman" w:eastAsiaTheme="minorEastAsia"/>
          <w:color w:val="auto"/>
        </w:rPr>
      </w:pPr>
      <w:r>
        <w:rPr>
          <w:rFonts w:ascii="Times New Roman" w:hAnsi="Times New Roman" w:cs="Times New Roman" w:eastAsiaTheme="minorEastAsia"/>
          <w:color w:val="auto"/>
        </w:rPr>
        <w:t>6.3.3.3植被恢复方案</w:t>
      </w:r>
    </w:p>
    <w:p>
      <w:pPr>
        <w:spacing w:line="500" w:lineRule="exact"/>
        <w:ind w:firstLine="480" w:firstLineChars="200"/>
        <w:rPr>
          <w:rFonts w:eastAsiaTheme="minorEastAsia"/>
          <w:color w:val="auto"/>
        </w:rPr>
      </w:pPr>
      <w:r>
        <w:rPr>
          <w:rFonts w:eastAsiaTheme="minorEastAsia"/>
          <w:color w:val="auto"/>
        </w:rPr>
        <w:t>依据复垦土地的现状及矿区生态条件，选择对各种限制生长的因素有耐力的植物种植，以本地物种为宜。在工业生产区栽植乔木。利用树体高大浓荫遮挡裸露土体，不仅具有较好的视觉效果，同时为耐荫等爬藤植物提供良好的生态环境。根据当地地区气候特点，苗木可选用1—2年生树苗，种植方式以人工穴植为主，株距2.0 m×2.0m，树穴规格0.5×0.5×0.5 m，露天采场区每个穴坑需客种植土。</w:t>
      </w:r>
    </w:p>
    <w:p>
      <w:pPr>
        <w:spacing w:line="500" w:lineRule="exact"/>
        <w:ind w:firstLine="480" w:firstLineChars="200"/>
        <w:rPr>
          <w:rFonts w:eastAsiaTheme="minorEastAsia"/>
          <w:color w:val="auto"/>
        </w:rPr>
      </w:pPr>
      <w:r>
        <w:rPr>
          <w:rFonts w:eastAsiaTheme="minorEastAsia"/>
          <w:color w:val="auto"/>
        </w:rPr>
        <w:t>另外，在采坑四周边坡底部种植藤蔓植物，利用藤蔓植物攀爬特性对采场边坡坡面绿化，最后以浓密的枝叶覆盖坡面达到遮盖坡面的效果、绿化的目的。藤木延采坑周围单排排列，丛距2m（每丛3株）。</w:t>
      </w:r>
    </w:p>
    <w:p>
      <w:pPr>
        <w:spacing w:line="500" w:lineRule="exact"/>
        <w:ind w:firstLine="480" w:firstLineChars="200"/>
        <w:rPr>
          <w:rFonts w:eastAsiaTheme="minorEastAsia"/>
          <w:color w:val="auto"/>
        </w:rPr>
      </w:pPr>
      <w:r>
        <w:rPr>
          <w:rFonts w:eastAsiaTheme="minorEastAsia"/>
          <w:color w:val="auto"/>
        </w:rPr>
        <w:t>树木种植首先在种植区按株行距布线，确定树穴位置，然后挖树穴，树穴应上下口径一致，苗木栽入树穴前应检查穴的大小及深度，不符合要求的要修整树穴。种植苗木时，应将种植穴底填土呈半圆土堆，置入树木填土至l/2时，应轻提树干使根系舒展，并充分接触土壤。为增加耕作层的水分保持和保证树木根系生长的需要，穴坑内回填种植土，可选用附近河道清淤的淤泥质粘土及周边废弃地壤土。应做到随挖、随运、随种，并充分浇水，以提高苗木存活率。植树时应保证肥料且栽后做好抚育管理工作，确保植树质量。</w:t>
      </w:r>
    </w:p>
    <w:p>
      <w:pPr>
        <w:spacing w:line="500" w:lineRule="exact"/>
        <w:ind w:firstLine="480" w:firstLineChars="200"/>
        <w:rPr>
          <w:rFonts w:eastAsiaTheme="minorEastAsia"/>
          <w:color w:val="auto"/>
        </w:rPr>
      </w:pPr>
      <w:r>
        <w:rPr>
          <w:rFonts w:eastAsiaTheme="minorEastAsia"/>
          <w:color w:val="auto"/>
        </w:rPr>
        <w:t>根据种植要求：恢复治理总面积</w:t>
      </w:r>
      <w:r>
        <w:rPr>
          <w:rFonts w:hint="eastAsia" w:eastAsiaTheme="minorEastAsia"/>
          <w:color w:val="auto"/>
          <w:lang w:eastAsia="zh-CN"/>
        </w:rPr>
        <w:t>14185</w:t>
      </w:r>
      <w:r>
        <w:rPr>
          <w:rFonts w:eastAsiaTheme="minorEastAsia"/>
          <w:color w:val="auto"/>
        </w:rPr>
        <w:t>m</w:t>
      </w:r>
      <w:r>
        <w:rPr>
          <w:rFonts w:eastAsiaTheme="minorEastAsia"/>
          <w:color w:val="auto"/>
          <w:vertAlign w:val="superscript"/>
        </w:rPr>
        <w:t>2</w:t>
      </w:r>
      <w:r>
        <w:rPr>
          <w:rFonts w:eastAsiaTheme="minorEastAsia"/>
          <w:color w:val="auto"/>
        </w:rPr>
        <w:t>，需植树</w:t>
      </w:r>
      <w:r>
        <w:rPr>
          <w:rFonts w:hint="eastAsia" w:eastAsiaTheme="minorEastAsia"/>
          <w:color w:val="auto"/>
          <w:lang w:val="en-US" w:eastAsia="zh-CN"/>
        </w:rPr>
        <w:t>3546</w:t>
      </w:r>
      <w:r>
        <w:rPr>
          <w:rFonts w:eastAsiaTheme="minorEastAsia"/>
          <w:color w:val="auto"/>
        </w:rPr>
        <w:t>株；开采区边坡沿线长1000m，种植藤木</w:t>
      </w:r>
      <w:r>
        <w:rPr>
          <w:rFonts w:hint="eastAsia" w:eastAsiaTheme="minorEastAsia"/>
          <w:color w:val="auto"/>
          <w:lang w:val="en-US" w:eastAsia="zh-CN"/>
        </w:rPr>
        <w:t>132</w:t>
      </w:r>
      <w:r>
        <w:rPr>
          <w:rFonts w:eastAsiaTheme="minorEastAsia"/>
          <w:color w:val="auto"/>
        </w:rPr>
        <w:t>丛。需客种植土</w:t>
      </w:r>
      <w:r>
        <w:rPr>
          <w:rFonts w:hint="eastAsia" w:eastAsiaTheme="minorEastAsia"/>
          <w:color w:val="auto"/>
          <w:lang w:val="en-US" w:eastAsia="zh-CN"/>
        </w:rPr>
        <w:t>729</w:t>
      </w:r>
      <w:r>
        <w:rPr>
          <w:rFonts w:eastAsiaTheme="minorEastAsia"/>
          <w:color w:val="auto"/>
        </w:rPr>
        <w:t>m</w:t>
      </w:r>
      <w:r>
        <w:rPr>
          <w:rFonts w:eastAsiaTheme="minorEastAsia"/>
          <w:color w:val="auto"/>
          <w:vertAlign w:val="superscript"/>
        </w:rPr>
        <w:t>3</w:t>
      </w:r>
      <w:r>
        <w:rPr>
          <w:rFonts w:eastAsiaTheme="minorEastAsia"/>
          <w:color w:val="auto"/>
        </w:rPr>
        <w:t>。</w:t>
      </w:r>
    </w:p>
    <w:p>
      <w:pPr>
        <w:pStyle w:val="242"/>
        <w:rPr>
          <w:rFonts w:ascii="Times New Roman" w:hAnsi="Times New Roman" w:cs="Times New Roman" w:eastAsiaTheme="minorEastAsia"/>
          <w:color w:val="auto"/>
        </w:rPr>
      </w:pPr>
      <w:r>
        <w:rPr>
          <w:rFonts w:ascii="Times New Roman" w:hAnsi="Times New Roman" w:cs="Times New Roman" w:eastAsiaTheme="minorEastAsia"/>
          <w:color w:val="auto"/>
        </w:rPr>
        <w:t>6.3.3.4矿山地质环境监测工程</w:t>
      </w:r>
    </w:p>
    <w:p>
      <w:pPr>
        <w:spacing w:line="500" w:lineRule="exact"/>
        <w:ind w:firstLine="480" w:firstLineChars="200"/>
        <w:rPr>
          <w:rFonts w:eastAsiaTheme="minorEastAsia"/>
          <w:color w:val="auto"/>
        </w:rPr>
      </w:pPr>
      <w:r>
        <w:rPr>
          <w:rFonts w:eastAsiaTheme="minorEastAsia"/>
          <w:color w:val="auto"/>
        </w:rPr>
        <w:t>虽然采石场规模较小，地质条件比较简单，对地质环境的影响也较小，但也要引起足够的重视。为保证矿山企业的安全，以及生产、生活的顺利进行，矿山企业应组织人员对地质环境进行监测。矿山环境监测建议以目视监测为主，由矿山企业负责人或管理人员兼职，费用极少。地质环境监测方案建议如下：</w:t>
      </w:r>
    </w:p>
    <w:p>
      <w:pPr>
        <w:spacing w:line="500" w:lineRule="exact"/>
        <w:ind w:firstLine="480" w:firstLineChars="200"/>
        <w:rPr>
          <w:rFonts w:eastAsiaTheme="minorEastAsia"/>
          <w:color w:val="auto"/>
        </w:rPr>
      </w:pPr>
      <w:r>
        <w:rPr>
          <w:rFonts w:eastAsiaTheme="minorEastAsia"/>
          <w:color w:val="auto"/>
        </w:rPr>
        <w:t>采坑边坡监测主要是对采石坑岩体边坡稳定性及岩体裂隙变化情况进行监测，可采用专人巡视的方法，可每天巡视一次，对不安全的边坡，及时采取有效方法，消除不安全隐患。</w:t>
      </w:r>
    </w:p>
    <w:p>
      <w:pPr>
        <w:pStyle w:val="238"/>
        <w:rPr>
          <w:rFonts w:hAnsi="Times New Roman" w:eastAsiaTheme="minorEastAsia"/>
          <w:color w:val="auto"/>
        </w:rPr>
      </w:pPr>
      <w:bookmarkStart w:id="255" w:name="_Toc519693586"/>
      <w:r>
        <w:rPr>
          <w:rFonts w:hAnsi="Times New Roman" w:eastAsiaTheme="minorEastAsia"/>
          <w:color w:val="auto"/>
        </w:rPr>
        <w:t>6.4污染防治措施汇总及环境保护投资</w:t>
      </w:r>
      <w:bookmarkEnd w:id="255"/>
    </w:p>
    <w:p>
      <w:pPr>
        <w:ind w:firstLine="480"/>
        <w:rPr>
          <w:rFonts w:eastAsiaTheme="minorEastAsia"/>
          <w:color w:val="auto"/>
        </w:rPr>
      </w:pPr>
      <w:r>
        <w:rPr>
          <w:rFonts w:eastAsiaTheme="minorEastAsia"/>
          <w:color w:val="auto"/>
        </w:rPr>
        <w:t>项目环保投资估算费用见表6-5-1。</w:t>
      </w:r>
    </w:p>
    <w:p>
      <w:pPr>
        <w:ind w:firstLine="480"/>
        <w:rPr>
          <w:rFonts w:eastAsiaTheme="minorEastAsia"/>
          <w:color w:val="auto"/>
        </w:rPr>
      </w:pPr>
      <w:r>
        <w:rPr>
          <w:rFonts w:eastAsiaTheme="minorEastAsia"/>
          <w:color w:val="auto"/>
        </w:rPr>
        <w:t>本项目的总投资是</w:t>
      </w:r>
      <w:r>
        <w:rPr>
          <w:rFonts w:hint="eastAsia" w:eastAsiaTheme="minorEastAsia"/>
          <w:color w:val="auto"/>
          <w:lang w:eastAsia="zh-CN"/>
        </w:rPr>
        <w:t>300万</w:t>
      </w:r>
      <w:r>
        <w:rPr>
          <w:rFonts w:eastAsiaTheme="minorEastAsia"/>
          <w:color w:val="auto"/>
        </w:rPr>
        <w:t>元，环保投资为</w:t>
      </w:r>
      <w:r>
        <w:rPr>
          <w:rFonts w:hint="eastAsia" w:eastAsiaTheme="minorEastAsia"/>
          <w:color w:val="auto"/>
          <w:lang w:val="en-US" w:eastAsia="zh-CN"/>
        </w:rPr>
        <w:t>97</w:t>
      </w:r>
      <w:r>
        <w:rPr>
          <w:rFonts w:eastAsiaTheme="minorEastAsia"/>
          <w:color w:val="auto"/>
        </w:rPr>
        <w:t>万元，环保投资比例为</w:t>
      </w:r>
      <w:r>
        <w:rPr>
          <w:rFonts w:hint="eastAsia" w:eastAsiaTheme="minorEastAsia"/>
          <w:color w:val="auto"/>
          <w:lang w:val="en-US" w:eastAsia="zh-CN"/>
        </w:rPr>
        <w:t>32.3</w:t>
      </w:r>
      <w:r>
        <w:rPr>
          <w:rFonts w:eastAsiaTheme="minorEastAsia"/>
          <w:color w:val="auto"/>
        </w:rPr>
        <w:t>%，本项目的环保投资还是可以接受。</w:t>
      </w:r>
    </w:p>
    <w:p>
      <w:pPr>
        <w:ind w:firstLine="480" w:firstLineChars="200"/>
        <w:jc w:val="center"/>
        <w:rPr>
          <w:rFonts w:eastAsiaTheme="minorEastAsia"/>
          <w:bCs/>
          <w:color w:val="auto"/>
          <w:szCs w:val="24"/>
        </w:rPr>
      </w:pPr>
      <w:r>
        <w:rPr>
          <w:rFonts w:eastAsiaTheme="minorEastAsia"/>
          <w:bCs/>
          <w:color w:val="auto"/>
          <w:szCs w:val="24"/>
        </w:rPr>
        <w:t>表6-5-1 环保投资估算费用</w:t>
      </w:r>
    </w:p>
    <w:tbl>
      <w:tblPr>
        <w:tblStyle w:val="53"/>
        <w:tblW w:w="9180"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89"/>
        <w:gridCol w:w="2988"/>
        <w:gridCol w:w="3967"/>
        <w:gridCol w:w="113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669" w:hRule="atLeast"/>
        </w:trPr>
        <w:tc>
          <w:tcPr>
            <w:tcW w:w="1089" w:type="dxa"/>
            <w:vAlign w:val="center"/>
          </w:tcPr>
          <w:p>
            <w:pPr>
              <w:spacing w:line="300" w:lineRule="exact"/>
              <w:jc w:val="center"/>
              <w:rPr>
                <w:rFonts w:eastAsiaTheme="minorEastAsia"/>
                <w:color w:val="auto"/>
                <w:sz w:val="21"/>
                <w:szCs w:val="21"/>
              </w:rPr>
            </w:pPr>
            <w:r>
              <w:rPr>
                <w:rFonts w:eastAsiaTheme="minorEastAsia"/>
                <w:color w:val="auto"/>
                <w:sz w:val="21"/>
                <w:szCs w:val="21"/>
              </w:rPr>
              <w:t>投资项目</w:t>
            </w:r>
          </w:p>
        </w:tc>
        <w:tc>
          <w:tcPr>
            <w:tcW w:w="2988" w:type="dxa"/>
            <w:vAlign w:val="center"/>
          </w:tcPr>
          <w:p>
            <w:pPr>
              <w:spacing w:line="300" w:lineRule="exact"/>
              <w:jc w:val="center"/>
              <w:rPr>
                <w:rFonts w:eastAsiaTheme="minorEastAsia"/>
                <w:color w:val="auto"/>
                <w:sz w:val="21"/>
                <w:szCs w:val="21"/>
              </w:rPr>
            </w:pPr>
            <w:r>
              <w:rPr>
                <w:rFonts w:eastAsiaTheme="minorEastAsia"/>
                <w:color w:val="auto"/>
                <w:sz w:val="21"/>
                <w:szCs w:val="21"/>
              </w:rPr>
              <w:t>措施名称</w:t>
            </w:r>
          </w:p>
        </w:tc>
        <w:tc>
          <w:tcPr>
            <w:tcW w:w="3967" w:type="dxa"/>
            <w:vAlign w:val="center"/>
          </w:tcPr>
          <w:p>
            <w:pPr>
              <w:spacing w:line="300" w:lineRule="exact"/>
              <w:jc w:val="center"/>
              <w:rPr>
                <w:rFonts w:eastAsiaTheme="minorEastAsia"/>
                <w:color w:val="auto"/>
                <w:sz w:val="21"/>
                <w:szCs w:val="21"/>
              </w:rPr>
            </w:pPr>
            <w:r>
              <w:rPr>
                <w:rFonts w:eastAsiaTheme="minorEastAsia"/>
                <w:color w:val="auto"/>
                <w:sz w:val="21"/>
                <w:szCs w:val="21"/>
              </w:rPr>
              <w:t>规模</w:t>
            </w:r>
          </w:p>
        </w:tc>
        <w:tc>
          <w:tcPr>
            <w:tcW w:w="1136" w:type="dxa"/>
            <w:vAlign w:val="center"/>
          </w:tcPr>
          <w:p>
            <w:pPr>
              <w:spacing w:line="300" w:lineRule="exact"/>
              <w:jc w:val="center"/>
              <w:rPr>
                <w:rFonts w:eastAsiaTheme="minorEastAsia"/>
                <w:color w:val="auto"/>
                <w:sz w:val="21"/>
                <w:szCs w:val="21"/>
              </w:rPr>
            </w:pPr>
            <w:r>
              <w:rPr>
                <w:rFonts w:eastAsiaTheme="minorEastAsia"/>
                <w:color w:val="auto"/>
                <w:sz w:val="21"/>
                <w:szCs w:val="21"/>
              </w:rPr>
              <w:t>投资</w:t>
            </w:r>
          </w:p>
          <w:p>
            <w:pPr>
              <w:spacing w:line="300" w:lineRule="exact"/>
              <w:jc w:val="center"/>
              <w:rPr>
                <w:rFonts w:eastAsiaTheme="minorEastAsia"/>
                <w:color w:val="auto"/>
                <w:sz w:val="21"/>
                <w:szCs w:val="21"/>
              </w:rPr>
            </w:pPr>
            <w:r>
              <w:rPr>
                <w:rFonts w:eastAsiaTheme="minorEastAsia"/>
                <w:color w:val="auto"/>
                <w:sz w:val="21"/>
                <w:szCs w:val="21"/>
              </w:rPr>
              <w:t>（万元）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629" w:hRule="atLeast"/>
        </w:trPr>
        <w:tc>
          <w:tcPr>
            <w:tcW w:w="1089" w:type="dxa"/>
            <w:vAlign w:val="center"/>
          </w:tcPr>
          <w:p>
            <w:pPr>
              <w:spacing w:line="300" w:lineRule="exact"/>
              <w:jc w:val="center"/>
              <w:rPr>
                <w:rFonts w:eastAsiaTheme="minorEastAsia"/>
                <w:color w:val="auto"/>
                <w:sz w:val="21"/>
                <w:szCs w:val="21"/>
              </w:rPr>
            </w:pPr>
            <w:r>
              <w:rPr>
                <w:rFonts w:eastAsiaTheme="minorEastAsia"/>
                <w:color w:val="auto"/>
                <w:sz w:val="21"/>
                <w:szCs w:val="21"/>
              </w:rPr>
              <w:t>施工期</w:t>
            </w:r>
          </w:p>
        </w:tc>
        <w:tc>
          <w:tcPr>
            <w:tcW w:w="2988" w:type="dxa"/>
            <w:vAlign w:val="center"/>
          </w:tcPr>
          <w:p>
            <w:pPr>
              <w:spacing w:line="300" w:lineRule="exact"/>
              <w:jc w:val="center"/>
              <w:rPr>
                <w:rFonts w:eastAsiaTheme="minorEastAsia"/>
                <w:color w:val="auto"/>
                <w:sz w:val="21"/>
                <w:szCs w:val="21"/>
              </w:rPr>
            </w:pPr>
            <w:r>
              <w:rPr>
                <w:rFonts w:eastAsiaTheme="minorEastAsia"/>
                <w:color w:val="auto"/>
                <w:sz w:val="21"/>
                <w:szCs w:val="21"/>
              </w:rPr>
              <w:t>洒水降尘、防渗旱厕、临时沉沙池、消音装置</w:t>
            </w:r>
          </w:p>
        </w:tc>
        <w:tc>
          <w:tcPr>
            <w:tcW w:w="3967" w:type="dxa"/>
            <w:vAlign w:val="center"/>
          </w:tcPr>
          <w:p>
            <w:pPr>
              <w:spacing w:line="300" w:lineRule="exact"/>
              <w:jc w:val="center"/>
              <w:rPr>
                <w:rFonts w:eastAsiaTheme="minorEastAsia"/>
                <w:color w:val="auto"/>
                <w:sz w:val="21"/>
                <w:szCs w:val="21"/>
              </w:rPr>
            </w:pPr>
            <w:r>
              <w:rPr>
                <w:rFonts w:eastAsiaTheme="minorEastAsia"/>
                <w:color w:val="auto"/>
                <w:sz w:val="21"/>
                <w:szCs w:val="21"/>
              </w:rPr>
              <w:t>洒水降尘、防渗旱厕、临时沉沙池、消音装置</w:t>
            </w:r>
          </w:p>
        </w:tc>
        <w:tc>
          <w:tcPr>
            <w:tcW w:w="1136" w:type="dxa"/>
            <w:vAlign w:val="center"/>
          </w:tcPr>
          <w:p>
            <w:pPr>
              <w:keepNext w:val="0"/>
              <w:keepLines w:val="0"/>
              <w:widowControl/>
              <w:suppressLineNumbers w:val="0"/>
              <w:jc w:val="center"/>
              <w:textAlignment w:val="center"/>
              <w:rPr>
                <w:rFonts w:eastAsiaTheme="minorEastAsia"/>
                <w:color w:val="auto"/>
                <w:sz w:val="21"/>
                <w:szCs w:val="21"/>
              </w:rPr>
            </w:pPr>
            <w:r>
              <w:rPr>
                <w:rFonts w:hint="default" w:ascii="Times New Roman" w:hAnsi="Times New Roman" w:eastAsia="宋体" w:cs="Times New Roman"/>
                <w:i w:val="0"/>
                <w:color w:val="auto"/>
                <w:kern w:val="0"/>
                <w:sz w:val="21"/>
                <w:szCs w:val="21"/>
                <w:u w:val="none"/>
                <w:lang w:val="en-US" w:eastAsia="zh-CN" w:bidi="ar"/>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629" w:hRule="atLeast"/>
        </w:trPr>
        <w:tc>
          <w:tcPr>
            <w:tcW w:w="1089" w:type="dxa"/>
            <w:vAlign w:val="center"/>
          </w:tcPr>
          <w:p>
            <w:pPr>
              <w:spacing w:line="300" w:lineRule="exact"/>
              <w:jc w:val="center"/>
              <w:rPr>
                <w:rFonts w:eastAsiaTheme="minorEastAsia"/>
                <w:color w:val="auto"/>
                <w:sz w:val="21"/>
                <w:szCs w:val="21"/>
              </w:rPr>
            </w:pPr>
            <w:r>
              <w:rPr>
                <w:rFonts w:eastAsiaTheme="minorEastAsia"/>
                <w:color w:val="auto"/>
                <w:sz w:val="21"/>
                <w:szCs w:val="21"/>
              </w:rPr>
              <w:t>废气</w:t>
            </w:r>
          </w:p>
        </w:tc>
        <w:tc>
          <w:tcPr>
            <w:tcW w:w="2988" w:type="dxa"/>
            <w:vAlign w:val="center"/>
          </w:tcPr>
          <w:p>
            <w:pPr>
              <w:spacing w:line="300" w:lineRule="exact"/>
              <w:jc w:val="center"/>
              <w:rPr>
                <w:rFonts w:eastAsiaTheme="minorEastAsia"/>
                <w:color w:val="auto"/>
                <w:sz w:val="21"/>
                <w:szCs w:val="21"/>
              </w:rPr>
            </w:pPr>
            <w:r>
              <w:rPr>
                <w:rFonts w:eastAsiaTheme="minorEastAsia"/>
                <w:color w:val="auto"/>
                <w:sz w:val="21"/>
                <w:szCs w:val="21"/>
              </w:rPr>
              <w:t>爆破后通过洒水加湿处理、矿场、道路、临时堆土场采用洒水降尘、移动式洒水抑尘装置、加盖苫布、植草绿化；布袋除尘器</w:t>
            </w:r>
          </w:p>
        </w:tc>
        <w:tc>
          <w:tcPr>
            <w:tcW w:w="3967" w:type="dxa"/>
            <w:vAlign w:val="center"/>
          </w:tcPr>
          <w:p>
            <w:pPr>
              <w:spacing w:line="300" w:lineRule="exact"/>
              <w:jc w:val="center"/>
              <w:rPr>
                <w:rFonts w:eastAsiaTheme="minorEastAsia"/>
                <w:color w:val="auto"/>
                <w:sz w:val="21"/>
                <w:szCs w:val="21"/>
              </w:rPr>
            </w:pPr>
            <w:r>
              <w:rPr>
                <w:rFonts w:eastAsiaTheme="minorEastAsia"/>
                <w:color w:val="auto"/>
                <w:sz w:val="21"/>
                <w:szCs w:val="21"/>
              </w:rPr>
              <w:t>移动式洒水抑尘装置、洒水车，喷淋及配套设备，布袋除尘器，15m高排气筒</w:t>
            </w:r>
          </w:p>
        </w:tc>
        <w:tc>
          <w:tcPr>
            <w:tcW w:w="1136" w:type="dxa"/>
            <w:vAlign w:val="center"/>
          </w:tcPr>
          <w:p>
            <w:pPr>
              <w:keepNext w:val="0"/>
              <w:keepLines w:val="0"/>
              <w:widowControl/>
              <w:suppressLineNumbers w:val="0"/>
              <w:jc w:val="center"/>
              <w:textAlignment w:val="center"/>
              <w:rPr>
                <w:rFonts w:eastAsiaTheme="minorEastAsia"/>
                <w:color w:val="auto"/>
                <w:sz w:val="21"/>
                <w:szCs w:val="21"/>
              </w:rPr>
            </w:pPr>
            <w:r>
              <w:rPr>
                <w:rFonts w:hint="default" w:ascii="Times New Roman" w:hAnsi="Times New Roman" w:eastAsia="宋体" w:cs="Times New Roman"/>
                <w:i w:val="0"/>
                <w:color w:val="auto"/>
                <w:kern w:val="0"/>
                <w:sz w:val="21"/>
                <w:szCs w:val="21"/>
                <w:u w:val="none"/>
                <w:lang w:val="en-US" w:eastAsia="zh-CN" w:bidi="ar"/>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933" w:hRule="atLeast"/>
        </w:trPr>
        <w:tc>
          <w:tcPr>
            <w:tcW w:w="1089" w:type="dxa"/>
            <w:vMerge w:val="restart"/>
            <w:vAlign w:val="center"/>
          </w:tcPr>
          <w:p>
            <w:pPr>
              <w:spacing w:line="300" w:lineRule="exact"/>
              <w:jc w:val="center"/>
              <w:rPr>
                <w:rFonts w:eastAsiaTheme="minorEastAsia"/>
                <w:color w:val="auto"/>
                <w:sz w:val="21"/>
                <w:szCs w:val="21"/>
              </w:rPr>
            </w:pPr>
            <w:r>
              <w:rPr>
                <w:rFonts w:eastAsiaTheme="minorEastAsia"/>
                <w:color w:val="auto"/>
                <w:sz w:val="21"/>
                <w:szCs w:val="21"/>
              </w:rPr>
              <w:t>废水</w:t>
            </w:r>
          </w:p>
        </w:tc>
        <w:tc>
          <w:tcPr>
            <w:tcW w:w="2988" w:type="dxa"/>
            <w:vAlign w:val="center"/>
          </w:tcPr>
          <w:p>
            <w:pPr>
              <w:spacing w:line="300" w:lineRule="exact"/>
              <w:jc w:val="center"/>
              <w:rPr>
                <w:rFonts w:eastAsiaTheme="minorEastAsia"/>
                <w:color w:val="auto"/>
                <w:sz w:val="21"/>
                <w:szCs w:val="21"/>
              </w:rPr>
            </w:pPr>
            <w:r>
              <w:rPr>
                <w:rFonts w:eastAsiaTheme="minorEastAsia"/>
                <w:color w:val="auto"/>
                <w:sz w:val="21"/>
                <w:szCs w:val="21"/>
              </w:rPr>
              <w:t>汇水治理措施</w:t>
            </w:r>
          </w:p>
        </w:tc>
        <w:tc>
          <w:tcPr>
            <w:tcW w:w="3967" w:type="dxa"/>
            <w:vAlign w:val="center"/>
          </w:tcPr>
          <w:p>
            <w:pPr>
              <w:spacing w:line="300" w:lineRule="exact"/>
              <w:jc w:val="center"/>
              <w:rPr>
                <w:rFonts w:eastAsiaTheme="minorEastAsia"/>
                <w:color w:val="auto"/>
                <w:sz w:val="21"/>
                <w:szCs w:val="21"/>
              </w:rPr>
            </w:pPr>
            <w:r>
              <w:rPr>
                <w:rFonts w:eastAsiaTheme="minorEastAsia"/>
                <w:color w:val="auto"/>
                <w:sz w:val="21"/>
                <w:szCs w:val="21"/>
              </w:rPr>
              <w:t>在临时堆土场周边布设浆砌石挡墙，浆砌石采用梯形断面，按工程设计要求。</w:t>
            </w:r>
          </w:p>
          <w:p>
            <w:pPr>
              <w:spacing w:line="300" w:lineRule="exact"/>
              <w:jc w:val="center"/>
              <w:rPr>
                <w:rFonts w:eastAsiaTheme="minorEastAsia"/>
                <w:color w:val="auto"/>
                <w:sz w:val="21"/>
                <w:szCs w:val="21"/>
              </w:rPr>
            </w:pPr>
            <w:r>
              <w:rPr>
                <w:rFonts w:eastAsiaTheme="minorEastAsia"/>
                <w:color w:val="auto"/>
                <w:sz w:val="21"/>
                <w:szCs w:val="21"/>
              </w:rPr>
              <w:t>采矿境界上方设置截流沟；矿区内设置导流渠；临时堆土场周围设置截排水沟</w:t>
            </w:r>
          </w:p>
        </w:tc>
        <w:tc>
          <w:tcPr>
            <w:tcW w:w="1136" w:type="dxa"/>
            <w:vAlign w:val="center"/>
          </w:tcPr>
          <w:p>
            <w:pPr>
              <w:keepNext w:val="0"/>
              <w:keepLines w:val="0"/>
              <w:widowControl/>
              <w:suppressLineNumbers w:val="0"/>
              <w:jc w:val="center"/>
              <w:textAlignment w:val="center"/>
              <w:rPr>
                <w:rFonts w:eastAsiaTheme="minorEastAsia"/>
                <w:color w:val="auto"/>
                <w:sz w:val="21"/>
                <w:szCs w:val="21"/>
              </w:rPr>
            </w:pPr>
            <w:r>
              <w:rPr>
                <w:rFonts w:hint="default" w:ascii="Times New Roman" w:hAnsi="Times New Roman" w:eastAsia="宋体" w:cs="Times New Roman"/>
                <w:i w:val="0"/>
                <w:color w:val="auto"/>
                <w:kern w:val="0"/>
                <w:sz w:val="21"/>
                <w:szCs w:val="21"/>
                <w:u w:val="none"/>
                <w:lang w:val="en-US" w:eastAsia="zh-CN" w:bidi="ar"/>
              </w:rPr>
              <w:t>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933" w:hRule="atLeast"/>
        </w:trPr>
        <w:tc>
          <w:tcPr>
            <w:tcW w:w="1089" w:type="dxa"/>
            <w:vMerge w:val="continue"/>
            <w:vAlign w:val="center"/>
          </w:tcPr>
          <w:p>
            <w:pPr>
              <w:spacing w:line="300" w:lineRule="exact"/>
              <w:jc w:val="center"/>
              <w:rPr>
                <w:rFonts w:eastAsiaTheme="minorEastAsia"/>
                <w:color w:val="auto"/>
                <w:sz w:val="21"/>
                <w:szCs w:val="21"/>
              </w:rPr>
            </w:pPr>
          </w:p>
        </w:tc>
        <w:tc>
          <w:tcPr>
            <w:tcW w:w="2988" w:type="dxa"/>
            <w:vAlign w:val="center"/>
          </w:tcPr>
          <w:p>
            <w:pPr>
              <w:spacing w:line="300" w:lineRule="exact"/>
              <w:jc w:val="center"/>
              <w:rPr>
                <w:rFonts w:eastAsiaTheme="minorEastAsia"/>
                <w:color w:val="auto"/>
                <w:sz w:val="21"/>
                <w:szCs w:val="21"/>
              </w:rPr>
            </w:pPr>
            <w:r>
              <w:rPr>
                <w:rFonts w:eastAsiaTheme="minorEastAsia"/>
                <w:color w:val="auto"/>
                <w:sz w:val="21"/>
                <w:szCs w:val="21"/>
              </w:rPr>
              <w:t>沉淀贮水池</w:t>
            </w:r>
          </w:p>
        </w:tc>
        <w:tc>
          <w:tcPr>
            <w:tcW w:w="3967" w:type="dxa"/>
            <w:vAlign w:val="center"/>
          </w:tcPr>
          <w:p>
            <w:pPr>
              <w:spacing w:line="300" w:lineRule="exact"/>
              <w:jc w:val="center"/>
              <w:rPr>
                <w:rFonts w:eastAsiaTheme="minorEastAsia"/>
                <w:color w:val="auto"/>
                <w:sz w:val="21"/>
                <w:szCs w:val="21"/>
              </w:rPr>
            </w:pPr>
            <w:r>
              <w:rPr>
                <w:rFonts w:eastAsiaTheme="minorEastAsia"/>
                <w:color w:val="auto"/>
                <w:sz w:val="21"/>
                <w:szCs w:val="21"/>
              </w:rPr>
              <w:t>矿区内，1座，</w:t>
            </w:r>
            <w:r>
              <w:rPr>
                <w:rFonts w:hint="eastAsia" w:eastAsiaTheme="minorEastAsia"/>
                <w:color w:val="auto"/>
                <w:sz w:val="21"/>
                <w:szCs w:val="21"/>
                <w:lang w:val="en-US" w:eastAsia="zh-CN"/>
              </w:rPr>
              <w:t>9</w:t>
            </w:r>
            <w:r>
              <w:rPr>
                <w:rFonts w:hint="eastAsia" w:eastAsiaTheme="minorEastAsia"/>
                <w:color w:val="auto"/>
                <w:sz w:val="21"/>
                <w:szCs w:val="21"/>
                <w:lang w:eastAsia="zh-CN"/>
              </w:rPr>
              <w:t>00m</w:t>
            </w:r>
            <w:r>
              <w:rPr>
                <w:rFonts w:eastAsiaTheme="minorEastAsia"/>
                <w:color w:val="auto"/>
                <w:sz w:val="21"/>
                <w:szCs w:val="21"/>
                <w:vertAlign w:val="superscript"/>
              </w:rPr>
              <w:t>3</w:t>
            </w:r>
          </w:p>
        </w:tc>
        <w:tc>
          <w:tcPr>
            <w:tcW w:w="1136" w:type="dxa"/>
            <w:vAlign w:val="center"/>
          </w:tcPr>
          <w:p>
            <w:pPr>
              <w:keepNext w:val="0"/>
              <w:keepLines w:val="0"/>
              <w:widowControl/>
              <w:suppressLineNumbers w:val="0"/>
              <w:jc w:val="center"/>
              <w:textAlignment w:val="center"/>
              <w:rPr>
                <w:rFonts w:eastAsiaTheme="minorEastAsia"/>
                <w:color w:val="auto"/>
                <w:sz w:val="21"/>
                <w:szCs w:val="21"/>
              </w:rPr>
            </w:pPr>
            <w:r>
              <w:rPr>
                <w:rFonts w:hint="default" w:ascii="Times New Roman" w:hAnsi="Times New Roman" w:eastAsia="宋体" w:cs="Times New Roman"/>
                <w:i w:val="0"/>
                <w:color w:val="auto"/>
                <w:kern w:val="0"/>
                <w:sz w:val="21"/>
                <w:szCs w:val="21"/>
                <w:u w:val="none"/>
                <w:lang w:val="en-US" w:eastAsia="zh-CN" w:bidi="ar"/>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933" w:hRule="atLeast"/>
        </w:trPr>
        <w:tc>
          <w:tcPr>
            <w:tcW w:w="1089" w:type="dxa"/>
            <w:vMerge w:val="continue"/>
            <w:vAlign w:val="center"/>
          </w:tcPr>
          <w:p>
            <w:pPr>
              <w:spacing w:line="300" w:lineRule="exact"/>
              <w:jc w:val="center"/>
              <w:rPr>
                <w:rFonts w:eastAsiaTheme="minorEastAsia"/>
                <w:color w:val="auto"/>
                <w:sz w:val="21"/>
                <w:szCs w:val="21"/>
              </w:rPr>
            </w:pPr>
          </w:p>
        </w:tc>
        <w:tc>
          <w:tcPr>
            <w:tcW w:w="2988" w:type="dxa"/>
            <w:vAlign w:val="center"/>
          </w:tcPr>
          <w:p>
            <w:pPr>
              <w:spacing w:line="300" w:lineRule="exact"/>
              <w:jc w:val="center"/>
              <w:rPr>
                <w:rFonts w:eastAsiaTheme="minorEastAsia"/>
                <w:color w:val="auto"/>
                <w:sz w:val="21"/>
                <w:szCs w:val="21"/>
              </w:rPr>
            </w:pPr>
            <w:r>
              <w:rPr>
                <w:rFonts w:eastAsiaTheme="minorEastAsia"/>
                <w:color w:val="auto"/>
                <w:sz w:val="21"/>
                <w:szCs w:val="21"/>
              </w:rPr>
              <w:t>旱厕的防渗措施</w:t>
            </w:r>
          </w:p>
          <w:p>
            <w:pPr>
              <w:spacing w:line="300" w:lineRule="exact"/>
              <w:jc w:val="center"/>
              <w:rPr>
                <w:rFonts w:eastAsiaTheme="minorEastAsia"/>
                <w:color w:val="auto"/>
                <w:sz w:val="21"/>
                <w:szCs w:val="21"/>
              </w:rPr>
            </w:pPr>
            <w:r>
              <w:rPr>
                <w:rFonts w:eastAsiaTheme="minorEastAsia"/>
                <w:color w:val="auto"/>
                <w:sz w:val="21"/>
                <w:szCs w:val="21"/>
              </w:rPr>
              <w:t>危险废物暂存间防渗</w:t>
            </w:r>
          </w:p>
        </w:tc>
        <w:tc>
          <w:tcPr>
            <w:tcW w:w="3967" w:type="dxa"/>
            <w:vAlign w:val="center"/>
          </w:tcPr>
          <w:p>
            <w:pPr>
              <w:spacing w:line="240" w:lineRule="auto"/>
              <w:jc w:val="center"/>
              <w:rPr>
                <w:rFonts w:eastAsiaTheme="minorEastAsia"/>
                <w:color w:val="auto"/>
                <w:sz w:val="21"/>
                <w:szCs w:val="21"/>
              </w:rPr>
            </w:pPr>
            <w:r>
              <w:rPr>
                <w:rFonts w:eastAsiaTheme="minorEastAsia"/>
                <w:color w:val="auto"/>
                <w:sz w:val="21"/>
                <w:szCs w:val="21"/>
              </w:rPr>
              <w:t>防渗旱厕需采取1.5m厚黏土基础层及水泥混凝土结构防渗措施，渗透系数≤1.0×10</w:t>
            </w:r>
            <w:r>
              <w:rPr>
                <w:rFonts w:eastAsiaTheme="minorEastAsia"/>
                <w:color w:val="auto"/>
                <w:sz w:val="21"/>
                <w:szCs w:val="21"/>
                <w:vertAlign w:val="superscript"/>
              </w:rPr>
              <w:t>-7</w:t>
            </w:r>
            <w:r>
              <w:rPr>
                <w:rFonts w:eastAsiaTheme="minorEastAsia"/>
                <w:color w:val="auto"/>
                <w:sz w:val="21"/>
                <w:szCs w:val="21"/>
              </w:rPr>
              <w:t>cm/s危险废物暂存间采用高密度聚乙烯土工膜（HDPE）进行防渗，其渗透系数不大于 1.0×10</w:t>
            </w:r>
            <w:r>
              <w:rPr>
                <w:rFonts w:eastAsiaTheme="minorEastAsia"/>
                <w:color w:val="auto"/>
                <w:sz w:val="21"/>
                <w:szCs w:val="21"/>
                <w:vertAlign w:val="superscript"/>
              </w:rPr>
              <w:t>-10</w:t>
            </w:r>
            <w:r>
              <w:rPr>
                <w:rFonts w:eastAsiaTheme="minorEastAsia"/>
                <w:color w:val="auto"/>
                <w:sz w:val="21"/>
                <w:szCs w:val="21"/>
              </w:rPr>
              <w:t>cm/s，厚度不小于 1.5mm。</w:t>
            </w:r>
          </w:p>
        </w:tc>
        <w:tc>
          <w:tcPr>
            <w:tcW w:w="1136" w:type="dxa"/>
            <w:vAlign w:val="center"/>
          </w:tcPr>
          <w:p>
            <w:pPr>
              <w:keepNext w:val="0"/>
              <w:keepLines w:val="0"/>
              <w:widowControl/>
              <w:suppressLineNumbers w:val="0"/>
              <w:jc w:val="center"/>
              <w:textAlignment w:val="center"/>
              <w:rPr>
                <w:rFonts w:eastAsiaTheme="minorEastAsia"/>
                <w:color w:val="auto"/>
                <w:sz w:val="21"/>
                <w:szCs w:val="21"/>
              </w:rPr>
            </w:pPr>
            <w:r>
              <w:rPr>
                <w:rFonts w:hint="default" w:ascii="Times New Roman" w:hAnsi="Times New Roman" w:eastAsia="宋体" w:cs="Times New Roman"/>
                <w:i w:val="0"/>
                <w:color w:val="auto"/>
                <w:kern w:val="0"/>
                <w:sz w:val="21"/>
                <w:szCs w:val="21"/>
                <w:u w:val="none"/>
                <w:lang w:val="en-US" w:eastAsia="zh-CN" w:bidi="ar"/>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332" w:hRule="atLeast"/>
        </w:trPr>
        <w:tc>
          <w:tcPr>
            <w:tcW w:w="1089" w:type="dxa"/>
            <w:vAlign w:val="center"/>
          </w:tcPr>
          <w:p>
            <w:pPr>
              <w:spacing w:line="300" w:lineRule="exact"/>
              <w:jc w:val="center"/>
              <w:rPr>
                <w:rFonts w:hint="eastAsia" w:eastAsiaTheme="minorEastAsia"/>
                <w:color w:val="auto"/>
                <w:sz w:val="21"/>
                <w:szCs w:val="21"/>
                <w:lang w:eastAsia="zh-CN"/>
              </w:rPr>
            </w:pPr>
            <w:r>
              <w:rPr>
                <w:rFonts w:hint="eastAsia" w:eastAsiaTheme="minorEastAsia"/>
                <w:color w:val="auto"/>
                <w:sz w:val="21"/>
                <w:szCs w:val="21"/>
                <w:lang w:eastAsia="zh-CN"/>
              </w:rPr>
              <w:t>噪声</w:t>
            </w:r>
          </w:p>
        </w:tc>
        <w:tc>
          <w:tcPr>
            <w:tcW w:w="2988" w:type="dxa"/>
            <w:vAlign w:val="center"/>
          </w:tcPr>
          <w:p>
            <w:pPr>
              <w:spacing w:line="300" w:lineRule="exact"/>
              <w:jc w:val="center"/>
              <w:rPr>
                <w:rFonts w:eastAsiaTheme="minorEastAsia"/>
                <w:color w:val="auto"/>
                <w:sz w:val="21"/>
                <w:szCs w:val="21"/>
              </w:rPr>
            </w:pPr>
            <w:r>
              <w:rPr>
                <w:rFonts w:eastAsiaTheme="minorEastAsia"/>
                <w:color w:val="auto"/>
                <w:sz w:val="21"/>
                <w:szCs w:val="21"/>
              </w:rPr>
              <w:t>设备降噪</w:t>
            </w:r>
          </w:p>
        </w:tc>
        <w:tc>
          <w:tcPr>
            <w:tcW w:w="3967" w:type="dxa"/>
            <w:vAlign w:val="center"/>
          </w:tcPr>
          <w:p>
            <w:pPr>
              <w:spacing w:line="300" w:lineRule="exact"/>
              <w:jc w:val="center"/>
              <w:rPr>
                <w:rFonts w:eastAsiaTheme="minorEastAsia"/>
                <w:color w:val="auto"/>
                <w:sz w:val="21"/>
                <w:szCs w:val="21"/>
              </w:rPr>
            </w:pPr>
            <w:r>
              <w:rPr>
                <w:rFonts w:eastAsiaTheme="minorEastAsia"/>
                <w:color w:val="auto"/>
                <w:sz w:val="21"/>
                <w:szCs w:val="21"/>
              </w:rPr>
              <w:t>泵类减震措施、空压机减震</w:t>
            </w:r>
          </w:p>
        </w:tc>
        <w:tc>
          <w:tcPr>
            <w:tcW w:w="1136" w:type="dxa"/>
            <w:vAlign w:val="center"/>
          </w:tcPr>
          <w:p>
            <w:pPr>
              <w:keepNext w:val="0"/>
              <w:keepLines w:val="0"/>
              <w:widowControl/>
              <w:suppressLineNumbers w:val="0"/>
              <w:jc w:val="center"/>
              <w:textAlignment w:val="center"/>
              <w:rPr>
                <w:rFonts w:eastAsiaTheme="minorEastAsia"/>
                <w:color w:val="auto"/>
                <w:sz w:val="21"/>
                <w:szCs w:val="21"/>
              </w:rPr>
            </w:pPr>
            <w:r>
              <w:rPr>
                <w:rFonts w:hint="default" w:ascii="Times New Roman" w:hAnsi="Times New Roman" w:eastAsia="宋体" w:cs="Times New Roman"/>
                <w:i w:val="0"/>
                <w:color w:val="auto"/>
                <w:kern w:val="0"/>
                <w:sz w:val="21"/>
                <w:szCs w:val="21"/>
                <w:u w:val="none"/>
                <w:lang w:val="en-US" w:eastAsia="zh-CN" w:bidi="ar"/>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629" w:hRule="atLeast"/>
        </w:trPr>
        <w:tc>
          <w:tcPr>
            <w:tcW w:w="1089" w:type="dxa"/>
            <w:vMerge w:val="restart"/>
            <w:vAlign w:val="center"/>
          </w:tcPr>
          <w:p>
            <w:pPr>
              <w:spacing w:line="300" w:lineRule="exact"/>
              <w:jc w:val="center"/>
              <w:rPr>
                <w:rFonts w:eastAsiaTheme="minorEastAsia"/>
                <w:color w:val="auto"/>
                <w:sz w:val="21"/>
                <w:szCs w:val="21"/>
              </w:rPr>
            </w:pPr>
            <w:r>
              <w:rPr>
                <w:rFonts w:eastAsiaTheme="minorEastAsia"/>
                <w:color w:val="auto"/>
                <w:sz w:val="21"/>
                <w:szCs w:val="21"/>
              </w:rPr>
              <w:t>固废</w:t>
            </w:r>
          </w:p>
        </w:tc>
        <w:tc>
          <w:tcPr>
            <w:tcW w:w="2988" w:type="dxa"/>
            <w:vAlign w:val="center"/>
          </w:tcPr>
          <w:p>
            <w:pPr>
              <w:spacing w:line="300" w:lineRule="exact"/>
              <w:jc w:val="center"/>
              <w:rPr>
                <w:rFonts w:eastAsiaTheme="minorEastAsia"/>
                <w:color w:val="auto"/>
                <w:sz w:val="21"/>
                <w:szCs w:val="21"/>
              </w:rPr>
            </w:pPr>
            <w:r>
              <w:rPr>
                <w:rFonts w:eastAsiaTheme="minorEastAsia"/>
                <w:color w:val="auto"/>
                <w:sz w:val="21"/>
                <w:szCs w:val="21"/>
              </w:rPr>
              <w:t>生活垃圾收集箱</w:t>
            </w:r>
          </w:p>
        </w:tc>
        <w:tc>
          <w:tcPr>
            <w:tcW w:w="3967" w:type="dxa"/>
            <w:vAlign w:val="center"/>
          </w:tcPr>
          <w:p>
            <w:pPr>
              <w:spacing w:line="300" w:lineRule="exact"/>
              <w:jc w:val="center"/>
              <w:rPr>
                <w:rFonts w:eastAsiaTheme="minorEastAsia"/>
                <w:color w:val="auto"/>
                <w:sz w:val="21"/>
                <w:szCs w:val="21"/>
              </w:rPr>
            </w:pPr>
            <w:r>
              <w:rPr>
                <w:rFonts w:eastAsiaTheme="minorEastAsia"/>
                <w:color w:val="auto"/>
                <w:sz w:val="21"/>
                <w:szCs w:val="21"/>
              </w:rPr>
              <w:t>1个，采矿区设置用于日常生活垃圾的暂存</w:t>
            </w:r>
          </w:p>
        </w:tc>
        <w:tc>
          <w:tcPr>
            <w:tcW w:w="1136" w:type="dxa"/>
            <w:vAlign w:val="center"/>
          </w:tcPr>
          <w:p>
            <w:pPr>
              <w:keepNext w:val="0"/>
              <w:keepLines w:val="0"/>
              <w:widowControl/>
              <w:suppressLineNumbers w:val="0"/>
              <w:jc w:val="center"/>
              <w:textAlignment w:val="center"/>
              <w:rPr>
                <w:rFonts w:eastAsiaTheme="minorEastAsia"/>
                <w:color w:val="auto"/>
                <w:sz w:val="21"/>
                <w:szCs w:val="21"/>
              </w:rPr>
            </w:pPr>
            <w:r>
              <w:rPr>
                <w:rFonts w:hint="default" w:ascii="Times New Roman" w:hAnsi="Times New Roman" w:eastAsia="宋体" w:cs="Times New Roman"/>
                <w:i w:val="0"/>
                <w:color w:val="auto"/>
                <w:kern w:val="0"/>
                <w:sz w:val="21"/>
                <w:szCs w:val="21"/>
                <w:u w:val="none"/>
                <w:lang w:val="en-US" w:eastAsia="zh-CN" w:bidi="ar"/>
              </w:rPr>
              <w:t>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629" w:hRule="atLeast"/>
        </w:trPr>
        <w:tc>
          <w:tcPr>
            <w:tcW w:w="1089" w:type="dxa"/>
            <w:vMerge w:val="continue"/>
            <w:vAlign w:val="center"/>
          </w:tcPr>
          <w:p>
            <w:pPr>
              <w:spacing w:line="300" w:lineRule="exact"/>
              <w:jc w:val="center"/>
              <w:rPr>
                <w:rFonts w:eastAsiaTheme="minorEastAsia"/>
                <w:color w:val="auto"/>
                <w:sz w:val="21"/>
                <w:szCs w:val="21"/>
              </w:rPr>
            </w:pPr>
          </w:p>
        </w:tc>
        <w:tc>
          <w:tcPr>
            <w:tcW w:w="2988" w:type="dxa"/>
            <w:vAlign w:val="center"/>
          </w:tcPr>
          <w:p>
            <w:pPr>
              <w:spacing w:line="300" w:lineRule="exact"/>
              <w:jc w:val="center"/>
              <w:rPr>
                <w:rFonts w:eastAsiaTheme="minorEastAsia"/>
                <w:color w:val="auto"/>
                <w:sz w:val="21"/>
                <w:szCs w:val="21"/>
              </w:rPr>
            </w:pPr>
            <w:r>
              <w:rPr>
                <w:rFonts w:eastAsiaTheme="minorEastAsia"/>
                <w:color w:val="auto"/>
                <w:sz w:val="21"/>
                <w:szCs w:val="21"/>
              </w:rPr>
              <w:t>危废暂存间</w:t>
            </w:r>
          </w:p>
        </w:tc>
        <w:tc>
          <w:tcPr>
            <w:tcW w:w="3967" w:type="dxa"/>
            <w:vAlign w:val="center"/>
          </w:tcPr>
          <w:p>
            <w:pPr>
              <w:spacing w:line="300" w:lineRule="exact"/>
              <w:jc w:val="center"/>
              <w:rPr>
                <w:rFonts w:eastAsiaTheme="minorEastAsia"/>
                <w:color w:val="auto"/>
                <w:sz w:val="21"/>
                <w:szCs w:val="21"/>
              </w:rPr>
            </w:pPr>
            <w:r>
              <w:rPr>
                <w:rFonts w:eastAsiaTheme="minorEastAsia"/>
                <w:color w:val="auto"/>
                <w:sz w:val="21"/>
                <w:szCs w:val="21"/>
              </w:rPr>
              <w:t>其渗透系数不大于1.0×10-10cm/s，厚度不小于1.5mm。HDPE材料必须是优质品</w:t>
            </w:r>
          </w:p>
        </w:tc>
        <w:tc>
          <w:tcPr>
            <w:tcW w:w="1136" w:type="dxa"/>
            <w:vAlign w:val="center"/>
          </w:tcPr>
          <w:p>
            <w:pPr>
              <w:keepNext w:val="0"/>
              <w:keepLines w:val="0"/>
              <w:widowControl/>
              <w:suppressLineNumbers w:val="0"/>
              <w:jc w:val="center"/>
              <w:textAlignment w:val="center"/>
              <w:rPr>
                <w:rFonts w:eastAsiaTheme="minorEastAsia"/>
                <w:color w:val="auto"/>
                <w:sz w:val="21"/>
                <w:szCs w:val="21"/>
              </w:rPr>
            </w:pPr>
            <w:r>
              <w:rPr>
                <w:rFonts w:hint="default" w:ascii="Times New Roman" w:hAnsi="Times New Roman" w:eastAsia="宋体" w:cs="Times New Roman"/>
                <w:i w:val="0"/>
                <w:color w:val="auto"/>
                <w:kern w:val="0"/>
                <w:sz w:val="21"/>
                <w:szCs w:val="21"/>
                <w:u w:val="none"/>
                <w:lang w:val="en-US" w:eastAsia="zh-CN" w:bidi="ar"/>
              </w:rPr>
              <w:t>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630" w:hRule="atLeast"/>
        </w:trPr>
        <w:tc>
          <w:tcPr>
            <w:tcW w:w="1089" w:type="dxa"/>
            <w:vAlign w:val="center"/>
          </w:tcPr>
          <w:p>
            <w:pPr>
              <w:spacing w:line="300" w:lineRule="exact"/>
              <w:jc w:val="center"/>
              <w:rPr>
                <w:rFonts w:eastAsiaTheme="minorEastAsia"/>
                <w:color w:val="auto"/>
                <w:sz w:val="21"/>
                <w:szCs w:val="21"/>
              </w:rPr>
            </w:pPr>
            <w:r>
              <w:rPr>
                <w:rFonts w:eastAsiaTheme="minorEastAsia"/>
                <w:color w:val="auto"/>
                <w:sz w:val="21"/>
                <w:szCs w:val="21"/>
              </w:rPr>
              <w:t>生态</w:t>
            </w:r>
          </w:p>
        </w:tc>
        <w:tc>
          <w:tcPr>
            <w:tcW w:w="2988" w:type="dxa"/>
            <w:vAlign w:val="center"/>
          </w:tcPr>
          <w:p>
            <w:pPr>
              <w:spacing w:line="300" w:lineRule="exact"/>
              <w:jc w:val="center"/>
              <w:rPr>
                <w:rFonts w:eastAsiaTheme="minorEastAsia"/>
                <w:color w:val="auto"/>
                <w:sz w:val="21"/>
                <w:szCs w:val="21"/>
              </w:rPr>
            </w:pPr>
            <w:r>
              <w:rPr>
                <w:rFonts w:eastAsiaTheme="minorEastAsia"/>
                <w:color w:val="auto"/>
                <w:sz w:val="21"/>
                <w:szCs w:val="21"/>
              </w:rPr>
              <w:t>矿山闭矿期生态恢复</w:t>
            </w:r>
          </w:p>
        </w:tc>
        <w:tc>
          <w:tcPr>
            <w:tcW w:w="3967" w:type="dxa"/>
            <w:vAlign w:val="center"/>
          </w:tcPr>
          <w:p>
            <w:pPr>
              <w:spacing w:line="300" w:lineRule="exact"/>
              <w:jc w:val="center"/>
              <w:rPr>
                <w:rFonts w:eastAsiaTheme="minorEastAsia"/>
                <w:color w:val="auto"/>
                <w:sz w:val="21"/>
                <w:szCs w:val="21"/>
              </w:rPr>
            </w:pPr>
            <w:r>
              <w:rPr>
                <w:rFonts w:eastAsiaTheme="minorEastAsia"/>
                <w:color w:val="auto"/>
                <w:sz w:val="21"/>
                <w:szCs w:val="21"/>
              </w:rPr>
              <w:t>客土回填、土地平整，覆土绿化，种植当地物种</w:t>
            </w:r>
          </w:p>
        </w:tc>
        <w:tc>
          <w:tcPr>
            <w:tcW w:w="1136" w:type="dxa"/>
            <w:vAlign w:val="center"/>
          </w:tcPr>
          <w:p>
            <w:pPr>
              <w:keepNext w:val="0"/>
              <w:keepLines w:val="0"/>
              <w:widowControl/>
              <w:suppressLineNumbers w:val="0"/>
              <w:jc w:val="center"/>
              <w:textAlignment w:val="center"/>
              <w:rPr>
                <w:rFonts w:eastAsiaTheme="minorEastAsia"/>
                <w:color w:val="auto"/>
                <w:sz w:val="21"/>
                <w:szCs w:val="21"/>
              </w:rPr>
            </w:pPr>
            <w:r>
              <w:rPr>
                <w:rFonts w:hint="default" w:ascii="Times New Roman" w:hAnsi="Times New Roman" w:eastAsia="宋体" w:cs="Times New Roman"/>
                <w:i w:val="0"/>
                <w:color w:val="auto"/>
                <w:kern w:val="0"/>
                <w:sz w:val="21"/>
                <w:szCs w:val="21"/>
                <w:u w:val="none"/>
                <w:lang w:val="en-US" w:eastAsia="zh-CN" w:bidi="ar"/>
              </w:rPr>
              <w:t>35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325" w:hRule="atLeast"/>
        </w:trPr>
        <w:tc>
          <w:tcPr>
            <w:tcW w:w="8044" w:type="dxa"/>
            <w:gridSpan w:val="3"/>
            <w:vAlign w:val="center"/>
          </w:tcPr>
          <w:p>
            <w:pPr>
              <w:spacing w:line="300" w:lineRule="exact"/>
              <w:jc w:val="center"/>
              <w:rPr>
                <w:rFonts w:eastAsiaTheme="minorEastAsia"/>
                <w:color w:val="auto"/>
                <w:sz w:val="21"/>
                <w:szCs w:val="21"/>
              </w:rPr>
            </w:pPr>
            <w:r>
              <w:rPr>
                <w:rFonts w:eastAsiaTheme="minorEastAsia"/>
                <w:color w:val="auto"/>
                <w:sz w:val="21"/>
                <w:szCs w:val="21"/>
              </w:rPr>
              <w:t>合计</w:t>
            </w:r>
          </w:p>
        </w:tc>
        <w:tc>
          <w:tcPr>
            <w:tcW w:w="1136" w:type="dxa"/>
            <w:vAlign w:val="center"/>
          </w:tcPr>
          <w:p>
            <w:pPr>
              <w:spacing w:line="300" w:lineRule="exact"/>
              <w:jc w:val="center"/>
              <w:rPr>
                <w:rFonts w:hint="eastAsia" w:eastAsiaTheme="minorEastAsia"/>
                <w:color w:val="auto"/>
                <w:sz w:val="21"/>
                <w:szCs w:val="21"/>
                <w:lang w:val="en-US" w:eastAsia="zh-CN"/>
              </w:rPr>
            </w:pPr>
            <w:r>
              <w:rPr>
                <w:rFonts w:hint="eastAsia" w:eastAsiaTheme="minorEastAsia"/>
                <w:color w:val="auto"/>
                <w:sz w:val="21"/>
                <w:szCs w:val="21"/>
                <w:lang w:val="en-US" w:eastAsia="zh-CN"/>
              </w:rPr>
              <w:t>97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386" w:hRule="atLeast"/>
        </w:trPr>
        <w:tc>
          <w:tcPr>
            <w:tcW w:w="8044" w:type="dxa"/>
            <w:gridSpan w:val="3"/>
            <w:vAlign w:val="center"/>
          </w:tcPr>
          <w:p>
            <w:pPr>
              <w:spacing w:line="300" w:lineRule="exact"/>
              <w:jc w:val="center"/>
              <w:rPr>
                <w:rFonts w:eastAsiaTheme="minorEastAsia"/>
                <w:color w:val="auto"/>
                <w:sz w:val="21"/>
                <w:szCs w:val="21"/>
              </w:rPr>
            </w:pPr>
            <w:r>
              <w:rPr>
                <w:rFonts w:eastAsiaTheme="minorEastAsia"/>
                <w:color w:val="auto"/>
                <w:sz w:val="21"/>
                <w:szCs w:val="21"/>
              </w:rPr>
              <w:t>占总投资比例（%）</w:t>
            </w:r>
          </w:p>
        </w:tc>
        <w:tc>
          <w:tcPr>
            <w:tcW w:w="1136" w:type="dxa"/>
            <w:vAlign w:val="center"/>
          </w:tcPr>
          <w:p>
            <w:pPr>
              <w:spacing w:line="300" w:lineRule="exact"/>
              <w:jc w:val="center"/>
              <w:rPr>
                <w:rFonts w:hint="eastAsia" w:eastAsiaTheme="minorEastAsia"/>
                <w:color w:val="auto"/>
                <w:sz w:val="21"/>
                <w:szCs w:val="21"/>
                <w:lang w:val="en-US" w:eastAsia="zh-CN"/>
              </w:rPr>
            </w:pPr>
            <w:r>
              <w:rPr>
                <w:rFonts w:hint="eastAsia" w:eastAsiaTheme="minorEastAsia"/>
                <w:color w:val="auto"/>
                <w:sz w:val="21"/>
                <w:szCs w:val="21"/>
                <w:lang w:val="en-US" w:eastAsia="zh-CN"/>
              </w:rPr>
              <w:t>32.3</w:t>
            </w:r>
          </w:p>
        </w:tc>
      </w:tr>
    </w:tbl>
    <w:p>
      <w:pPr>
        <w:adjustRightInd w:val="0"/>
        <w:snapToGrid w:val="0"/>
        <w:ind w:firstLine="436" w:firstLineChars="182"/>
        <w:rPr>
          <w:rFonts w:eastAsiaTheme="minorEastAsia"/>
          <w:bCs/>
          <w:snapToGrid w:val="0"/>
          <w:color w:val="auto"/>
          <w:kern w:val="0"/>
          <w:szCs w:val="28"/>
          <w:lang w:val="zh-CN"/>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pPr>
        <w:pStyle w:val="3"/>
        <w:spacing w:before="0" w:after="0" w:line="700" w:lineRule="exact"/>
        <w:rPr>
          <w:rFonts w:eastAsiaTheme="minorEastAsia"/>
          <w:b w:val="0"/>
          <w:color w:val="auto"/>
          <w:sz w:val="32"/>
          <w:szCs w:val="32"/>
        </w:rPr>
      </w:pPr>
      <w:bookmarkStart w:id="256" w:name="_Toc440973846"/>
      <w:bookmarkStart w:id="257" w:name="_Toc440973580"/>
      <w:bookmarkStart w:id="258" w:name="_Toc519693587"/>
      <w:r>
        <w:rPr>
          <w:rFonts w:eastAsiaTheme="minorEastAsia"/>
          <w:b w:val="0"/>
          <w:color w:val="auto"/>
          <w:sz w:val="32"/>
          <w:szCs w:val="32"/>
        </w:rPr>
        <w:t>7环境影响经济损益分析</w:t>
      </w:r>
      <w:bookmarkEnd w:id="256"/>
      <w:bookmarkEnd w:id="257"/>
      <w:bookmarkEnd w:id="258"/>
    </w:p>
    <w:p>
      <w:pPr>
        <w:spacing w:line="500" w:lineRule="exact"/>
        <w:ind w:firstLine="480" w:firstLineChars="200"/>
        <w:rPr>
          <w:rFonts w:eastAsiaTheme="minorEastAsia"/>
          <w:color w:val="auto"/>
        </w:rPr>
      </w:pPr>
      <w:r>
        <w:rPr>
          <w:rFonts w:eastAsiaTheme="minorEastAsia"/>
          <w:color w:val="auto"/>
        </w:rPr>
        <w:t>环境经济损益分析主要是评价建设项目实施后，对环境造成的损失费用和采取各种环保治理措施所能收到的环保效果及其带来的经济和社会效益，衡量建设项目的环保投资在经济上的合理水平。</w:t>
      </w:r>
    </w:p>
    <w:p>
      <w:pPr>
        <w:spacing w:line="500" w:lineRule="exact"/>
        <w:ind w:firstLine="480" w:firstLineChars="200"/>
        <w:rPr>
          <w:rFonts w:eastAsiaTheme="minorEastAsia"/>
          <w:color w:val="auto"/>
        </w:rPr>
      </w:pPr>
      <w:r>
        <w:rPr>
          <w:rFonts w:eastAsiaTheme="minorEastAsia"/>
          <w:color w:val="auto"/>
        </w:rPr>
        <w:t>一个项目的开发建设，除对国民经济的发展起着促进作用外，同时也在一定程度上影响着项目拟建地区环境的变化。社会影响、经济影响、环境影响是一个系统的三要素，最终以提高人类的生活质量为目的。它们之间既是互相促进，又互相制约，必须通过全面规划、综合平衡、正确地把全局利益和局部利益、长远利益和近期利益结合起来，对环境保护和经济发展进行协调，实现社会效益、经济效益、环境效益的三统一。通过对拟建项目的经济、社会和环境效益分析，为项目决策者更好地考虑环境、经济和社会效益的统一提供依据。</w:t>
      </w:r>
    </w:p>
    <w:p>
      <w:pPr>
        <w:pStyle w:val="238"/>
        <w:spacing w:before="163" w:after="163"/>
        <w:rPr>
          <w:rFonts w:hAnsi="Times New Roman" w:eastAsiaTheme="minorEastAsia"/>
          <w:color w:val="auto"/>
        </w:rPr>
      </w:pPr>
      <w:bookmarkStart w:id="259" w:name="_Toc519693588"/>
      <w:bookmarkStart w:id="260" w:name="_Toc17888"/>
      <w:r>
        <w:rPr>
          <w:rFonts w:hAnsi="Times New Roman" w:eastAsiaTheme="minorEastAsia"/>
          <w:color w:val="auto"/>
        </w:rPr>
        <w:t>7.1社会效益分析</w:t>
      </w:r>
      <w:bookmarkEnd w:id="259"/>
      <w:bookmarkEnd w:id="260"/>
    </w:p>
    <w:p>
      <w:pPr>
        <w:spacing w:line="500" w:lineRule="exact"/>
        <w:ind w:firstLine="480" w:firstLineChars="200"/>
        <w:rPr>
          <w:rFonts w:eastAsiaTheme="minorEastAsia"/>
          <w:color w:val="auto"/>
        </w:rPr>
      </w:pPr>
      <w:r>
        <w:rPr>
          <w:rFonts w:eastAsiaTheme="minorEastAsia"/>
          <w:color w:val="auto"/>
        </w:rPr>
        <w:t>（1）项目建设有利</w:t>
      </w:r>
      <w:r>
        <w:rPr>
          <w:rFonts w:hint="eastAsia" w:eastAsiaTheme="minorEastAsia"/>
          <w:color w:val="auto"/>
          <w:lang w:eastAsia="zh-CN"/>
        </w:rPr>
        <w:t>于佳木斯</w:t>
      </w:r>
      <w:r>
        <w:rPr>
          <w:rFonts w:eastAsiaTheme="minorEastAsia"/>
          <w:color w:val="auto"/>
        </w:rPr>
        <w:t>经济发展</w:t>
      </w:r>
    </w:p>
    <w:p>
      <w:pPr>
        <w:spacing w:line="500" w:lineRule="exact"/>
        <w:ind w:firstLine="480" w:firstLineChars="200"/>
        <w:rPr>
          <w:rFonts w:eastAsiaTheme="minorEastAsia"/>
          <w:color w:val="auto"/>
        </w:rPr>
      </w:pPr>
      <w:r>
        <w:rPr>
          <w:rFonts w:eastAsiaTheme="minorEastAsia"/>
          <w:color w:val="auto"/>
        </w:rPr>
        <w:t>本工程建设完成后，每年向</w:t>
      </w:r>
      <w:r>
        <w:rPr>
          <w:rFonts w:hint="eastAsia" w:eastAsiaTheme="minorEastAsia"/>
          <w:color w:val="auto"/>
          <w:lang w:eastAsia="zh-CN"/>
        </w:rPr>
        <w:t>佳木斯</w:t>
      </w:r>
      <w:r>
        <w:rPr>
          <w:rFonts w:eastAsiaTheme="minorEastAsia"/>
          <w:color w:val="auto"/>
        </w:rPr>
        <w:t>政府上缴利税增加，对</w:t>
      </w:r>
      <w:r>
        <w:rPr>
          <w:rFonts w:hint="eastAsia" w:eastAsiaTheme="minorEastAsia"/>
          <w:color w:val="auto"/>
          <w:lang w:eastAsia="zh-CN"/>
        </w:rPr>
        <w:t>佳木斯</w:t>
      </w:r>
      <w:r>
        <w:rPr>
          <w:rFonts w:eastAsiaTheme="minorEastAsia"/>
          <w:color w:val="auto"/>
        </w:rPr>
        <w:t>经济发展具有重要意义。</w:t>
      </w:r>
    </w:p>
    <w:p>
      <w:pPr>
        <w:spacing w:line="500" w:lineRule="exact"/>
        <w:ind w:firstLine="480"/>
        <w:rPr>
          <w:rFonts w:eastAsiaTheme="minorEastAsia"/>
          <w:color w:val="auto"/>
          <w:kern w:val="1"/>
          <w:szCs w:val="24"/>
        </w:rPr>
      </w:pPr>
      <w:r>
        <w:rPr>
          <w:rFonts w:eastAsiaTheme="minorEastAsia"/>
          <w:color w:val="auto"/>
          <w:kern w:val="1"/>
          <w:szCs w:val="24"/>
        </w:rPr>
        <w:t>（2）工程建成后，可充分利用当地矿物资源，有利于发展民营企业，符合国家的产业政策和环保政策，能促进地区经济的可持续发展。</w:t>
      </w:r>
    </w:p>
    <w:p>
      <w:pPr>
        <w:spacing w:line="500" w:lineRule="atLeast"/>
        <w:ind w:firstLine="480"/>
        <w:rPr>
          <w:rFonts w:eastAsiaTheme="minorEastAsia"/>
          <w:color w:val="auto"/>
          <w:kern w:val="1"/>
          <w:szCs w:val="24"/>
        </w:rPr>
      </w:pPr>
      <w:r>
        <w:rPr>
          <w:rFonts w:eastAsiaTheme="minorEastAsia"/>
          <w:color w:val="auto"/>
        </w:rPr>
        <w:t>（3）</w:t>
      </w:r>
      <w:r>
        <w:rPr>
          <w:rFonts w:eastAsiaTheme="minorEastAsia"/>
          <w:color w:val="auto"/>
          <w:kern w:val="1"/>
          <w:szCs w:val="24"/>
        </w:rPr>
        <w:t>工程投产后，对临时性劳动力的需求增加，为当地的村民就业提供了机会，大也为当地发展交通运输和第三产业提供了商机。总之，项目对改善投资环境，促进当地的可持续发展具有积极作用，社会效益明显。</w:t>
      </w:r>
    </w:p>
    <w:p>
      <w:pPr>
        <w:spacing w:line="500" w:lineRule="exact"/>
        <w:ind w:firstLine="480" w:firstLineChars="200"/>
        <w:rPr>
          <w:rFonts w:eastAsiaTheme="minorEastAsia"/>
          <w:color w:val="auto"/>
        </w:rPr>
      </w:pPr>
      <w:r>
        <w:rPr>
          <w:rFonts w:eastAsiaTheme="minorEastAsia"/>
          <w:color w:val="auto"/>
        </w:rPr>
        <w:t>综上所述，本工程的建设对于环境保护、拉动</w:t>
      </w:r>
      <w:r>
        <w:rPr>
          <w:rFonts w:hint="eastAsia" w:eastAsiaTheme="minorEastAsia"/>
          <w:color w:val="auto"/>
          <w:lang w:eastAsia="zh-CN"/>
        </w:rPr>
        <w:t>佳木斯</w:t>
      </w:r>
      <w:r>
        <w:rPr>
          <w:rFonts w:eastAsiaTheme="minorEastAsia"/>
          <w:color w:val="auto"/>
        </w:rPr>
        <w:t>的经济发展和带动地方就业情势方面都将起到一定的社会促进作用。</w:t>
      </w:r>
    </w:p>
    <w:p>
      <w:pPr>
        <w:pStyle w:val="238"/>
        <w:spacing w:before="163" w:after="163"/>
        <w:rPr>
          <w:rFonts w:hAnsi="Times New Roman" w:eastAsiaTheme="minorEastAsia"/>
          <w:color w:val="auto"/>
        </w:rPr>
      </w:pPr>
      <w:bookmarkStart w:id="261" w:name="_Toc15143"/>
      <w:bookmarkStart w:id="262" w:name="_Toc519693589"/>
      <w:r>
        <w:rPr>
          <w:rFonts w:hAnsi="Times New Roman" w:eastAsiaTheme="minorEastAsia"/>
          <w:color w:val="auto"/>
        </w:rPr>
        <w:t>7.2经济效益分析</w:t>
      </w:r>
      <w:bookmarkEnd w:id="261"/>
      <w:bookmarkEnd w:id="262"/>
    </w:p>
    <w:p>
      <w:pPr>
        <w:ind w:firstLine="480"/>
        <w:rPr>
          <w:rFonts w:eastAsiaTheme="minorEastAsia"/>
          <w:color w:val="auto"/>
        </w:rPr>
      </w:pPr>
      <w:r>
        <w:rPr>
          <w:rFonts w:eastAsiaTheme="minorEastAsia"/>
          <w:color w:val="auto"/>
        </w:rPr>
        <w:t>（1）工程投资</w:t>
      </w:r>
    </w:p>
    <w:p>
      <w:pPr>
        <w:ind w:firstLine="480"/>
        <w:rPr>
          <w:rFonts w:eastAsiaTheme="minorEastAsia"/>
          <w:color w:val="auto"/>
        </w:rPr>
      </w:pPr>
      <w:r>
        <w:rPr>
          <w:rFonts w:eastAsiaTheme="minorEastAsia"/>
          <w:color w:val="auto"/>
          <w:kern w:val="1"/>
          <w:szCs w:val="24"/>
        </w:rPr>
        <w:t>本工程总投资为</w:t>
      </w:r>
      <w:r>
        <w:rPr>
          <w:rFonts w:hint="eastAsia" w:eastAsiaTheme="minorEastAsia"/>
          <w:color w:val="auto"/>
          <w:lang w:eastAsia="zh-CN"/>
        </w:rPr>
        <w:t>300万</w:t>
      </w:r>
      <w:r>
        <w:rPr>
          <w:rFonts w:eastAsiaTheme="minorEastAsia"/>
          <w:color w:val="auto"/>
          <w:kern w:val="1"/>
          <w:szCs w:val="24"/>
        </w:rPr>
        <w:t>元。</w:t>
      </w:r>
    </w:p>
    <w:p>
      <w:pPr>
        <w:ind w:firstLine="480"/>
        <w:rPr>
          <w:rFonts w:eastAsiaTheme="minorEastAsia"/>
          <w:color w:val="auto"/>
        </w:rPr>
      </w:pPr>
      <w:r>
        <w:rPr>
          <w:rFonts w:eastAsiaTheme="minorEastAsia"/>
          <w:color w:val="auto"/>
        </w:rPr>
        <w:t>（2）项目回收期</w:t>
      </w:r>
    </w:p>
    <w:p>
      <w:pPr>
        <w:spacing w:line="500" w:lineRule="atLeast"/>
        <w:ind w:firstLine="480"/>
        <w:rPr>
          <w:rFonts w:eastAsiaTheme="minorEastAsia"/>
          <w:color w:val="auto"/>
        </w:rPr>
      </w:pPr>
      <w:r>
        <w:rPr>
          <w:rFonts w:eastAsiaTheme="minorEastAsia"/>
          <w:color w:val="auto"/>
        </w:rPr>
        <w:t>按现行市场计算，矿石销售价格为120元/t，年销售收入</w:t>
      </w:r>
      <w:r>
        <w:rPr>
          <w:rFonts w:hint="eastAsia" w:eastAsiaTheme="minorEastAsia"/>
          <w:color w:val="auto"/>
          <w:lang w:val="en-US" w:eastAsia="zh-CN"/>
        </w:rPr>
        <w:t>900</w:t>
      </w:r>
      <w:r>
        <w:rPr>
          <w:rFonts w:eastAsiaTheme="minorEastAsia"/>
          <w:color w:val="auto"/>
        </w:rPr>
        <w:t>万元，年销售成本为</w:t>
      </w:r>
      <w:r>
        <w:rPr>
          <w:rFonts w:hint="eastAsia" w:eastAsiaTheme="minorEastAsia"/>
          <w:color w:val="auto"/>
          <w:lang w:val="en-US" w:eastAsia="zh-CN"/>
        </w:rPr>
        <w:t>1</w:t>
      </w:r>
      <w:r>
        <w:rPr>
          <w:rFonts w:eastAsiaTheme="minorEastAsia"/>
          <w:color w:val="auto"/>
        </w:rPr>
        <w:t>00万元，各种税费</w:t>
      </w:r>
      <w:r>
        <w:rPr>
          <w:rFonts w:hint="eastAsia" w:eastAsiaTheme="minorEastAsia"/>
          <w:color w:val="auto"/>
          <w:lang w:val="en-US" w:eastAsia="zh-CN"/>
        </w:rPr>
        <w:t>20</w:t>
      </w:r>
      <w:r>
        <w:rPr>
          <w:rFonts w:eastAsiaTheme="minorEastAsia"/>
          <w:color w:val="auto"/>
        </w:rPr>
        <w:t>万元，年实现利润</w:t>
      </w:r>
      <w:r>
        <w:rPr>
          <w:rFonts w:hint="eastAsia" w:eastAsiaTheme="minorEastAsia"/>
          <w:color w:val="auto"/>
          <w:lang w:val="en-US" w:eastAsia="zh-CN"/>
        </w:rPr>
        <w:t>780</w:t>
      </w:r>
      <w:r>
        <w:rPr>
          <w:rFonts w:eastAsiaTheme="minorEastAsia"/>
          <w:color w:val="auto"/>
        </w:rPr>
        <w:t>万元，预计回收期约为</w:t>
      </w:r>
      <w:r>
        <w:rPr>
          <w:rFonts w:hint="eastAsia" w:eastAsiaTheme="minorEastAsia"/>
          <w:color w:val="auto"/>
          <w:lang w:val="en-US" w:eastAsia="zh-CN"/>
        </w:rPr>
        <w:t>0.38</w:t>
      </w:r>
      <w:r>
        <w:rPr>
          <w:rFonts w:eastAsiaTheme="minorEastAsia"/>
          <w:color w:val="auto"/>
        </w:rPr>
        <w:t>年。</w:t>
      </w:r>
    </w:p>
    <w:p>
      <w:pPr>
        <w:pStyle w:val="238"/>
        <w:spacing w:before="163" w:after="163"/>
        <w:rPr>
          <w:rFonts w:hAnsi="Times New Roman" w:eastAsiaTheme="minorEastAsia"/>
          <w:color w:val="auto"/>
        </w:rPr>
      </w:pPr>
      <w:bookmarkStart w:id="263" w:name="_Toc30861"/>
      <w:bookmarkStart w:id="264" w:name="_Toc519693590"/>
      <w:r>
        <w:rPr>
          <w:rFonts w:hAnsi="Times New Roman" w:eastAsiaTheme="minorEastAsia"/>
          <w:color w:val="auto"/>
        </w:rPr>
        <w:t>7.3环境效益分析</w:t>
      </w:r>
      <w:bookmarkEnd w:id="263"/>
      <w:bookmarkEnd w:id="264"/>
    </w:p>
    <w:p>
      <w:pPr>
        <w:pStyle w:val="240"/>
        <w:rPr>
          <w:rFonts w:ascii="Times New Roman" w:hAnsi="Times New Roman" w:cs="Times New Roman" w:eastAsiaTheme="minorEastAsia"/>
          <w:color w:val="auto"/>
        </w:rPr>
      </w:pPr>
      <w:bookmarkStart w:id="265" w:name="_Toc10729"/>
      <w:r>
        <w:rPr>
          <w:rFonts w:ascii="Times New Roman" w:hAnsi="Times New Roman" w:cs="Times New Roman" w:eastAsiaTheme="minorEastAsia"/>
          <w:color w:val="auto"/>
        </w:rPr>
        <w:t>7.3.1环境负效益分析</w:t>
      </w:r>
      <w:bookmarkEnd w:id="265"/>
    </w:p>
    <w:p>
      <w:pPr>
        <w:pStyle w:val="285"/>
        <w:spacing w:line="500" w:lineRule="exact"/>
        <w:ind w:firstLine="480" w:firstLineChars="200"/>
        <w:rPr>
          <w:rFonts w:eastAsiaTheme="minorEastAsia"/>
          <w:color w:val="auto"/>
        </w:rPr>
      </w:pPr>
      <w:r>
        <w:rPr>
          <w:rFonts w:eastAsiaTheme="minorEastAsia"/>
          <w:color w:val="auto"/>
        </w:rPr>
        <w:t>项目施工期产生的扬尘、施工机械噪声、施工废水、施工建筑垃圾以及施工人员产生的生活废水、生活垃圾对项目所在区域的大气环境质量、声环境质量、地表水环境均有一定的影响。</w:t>
      </w:r>
    </w:p>
    <w:p>
      <w:pPr>
        <w:pStyle w:val="285"/>
        <w:spacing w:line="500" w:lineRule="exact"/>
        <w:ind w:firstLine="480" w:firstLineChars="200"/>
        <w:rPr>
          <w:rFonts w:eastAsiaTheme="minorEastAsia"/>
          <w:color w:val="auto"/>
        </w:rPr>
      </w:pPr>
      <w:r>
        <w:rPr>
          <w:rFonts w:eastAsiaTheme="minorEastAsia"/>
          <w:color w:val="auto"/>
        </w:rPr>
        <w:t>本工程运营后，主要废气来源为开采过程中产生的扬尘对区域环境空气质量产生一定程度的影响。废水来源主要为生活污水，如若不处理，将会对地表水环境产生一定程度的影响。项目运营过程中的各种机械、泵类、空压机均会产生噪声，对区域的声环境产生影响。项目产生的废石及生活垃圾等若处理不当，将会影响周边的环境。</w:t>
      </w:r>
    </w:p>
    <w:p>
      <w:pPr>
        <w:pStyle w:val="240"/>
        <w:rPr>
          <w:rFonts w:ascii="Times New Roman" w:hAnsi="Times New Roman" w:cs="Times New Roman" w:eastAsiaTheme="minorEastAsia"/>
          <w:color w:val="auto"/>
        </w:rPr>
      </w:pPr>
      <w:bookmarkStart w:id="266" w:name="_Toc23836"/>
      <w:r>
        <w:rPr>
          <w:rFonts w:ascii="Times New Roman" w:hAnsi="Times New Roman" w:cs="Times New Roman" w:eastAsiaTheme="minorEastAsia"/>
          <w:color w:val="auto"/>
        </w:rPr>
        <w:t>7.3.2环境正效益分析</w:t>
      </w:r>
      <w:bookmarkEnd w:id="266"/>
    </w:p>
    <w:p>
      <w:pPr>
        <w:pStyle w:val="285"/>
        <w:spacing w:line="500" w:lineRule="exact"/>
        <w:ind w:firstLine="480" w:firstLineChars="200"/>
        <w:rPr>
          <w:rFonts w:eastAsiaTheme="minorEastAsia"/>
          <w:color w:val="auto"/>
        </w:rPr>
      </w:pPr>
      <w:r>
        <w:rPr>
          <w:rFonts w:eastAsiaTheme="minorEastAsia"/>
          <w:color w:val="auto"/>
        </w:rPr>
        <w:t>本工程在设计中充分考虑了环境保护的要求，严格执行各项环境保护标准。遵循清洁生产原则和循环经济理念，针对在生产过程中产生的污染物，从实际出发采取多种相应的治理措施，确保达标排放和总量控制要求。</w:t>
      </w:r>
    </w:p>
    <w:p>
      <w:pPr>
        <w:pStyle w:val="285"/>
        <w:spacing w:line="500" w:lineRule="exact"/>
        <w:ind w:firstLine="480" w:firstLineChars="200"/>
        <w:rPr>
          <w:rFonts w:eastAsiaTheme="minorEastAsia"/>
          <w:color w:val="auto"/>
        </w:rPr>
      </w:pPr>
      <w:r>
        <w:rPr>
          <w:rFonts w:eastAsiaTheme="minorEastAsia"/>
          <w:color w:val="auto"/>
        </w:rPr>
        <w:t>本工程采用先进的开采工艺技术和设备，最大限度地提高资源利用率，同时降低单位产品的污染物产生量。在设备选型时，选用低噪声设备，并采取了消声措施，减少噪声对环境的影响。生产过程中产生的各类污染物，均采用合理的环保措施，使其达标排放，对周围环境影响降到最低程度。</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7.3.3环保税</w:t>
      </w:r>
    </w:p>
    <w:p>
      <w:pPr>
        <w:pStyle w:val="276"/>
        <w:rPr>
          <w:rFonts w:eastAsiaTheme="minorEastAsia"/>
          <w:color w:val="auto"/>
        </w:rPr>
      </w:pPr>
      <w:r>
        <w:rPr>
          <w:rFonts w:eastAsiaTheme="minorEastAsia"/>
          <w:color w:val="auto"/>
        </w:rPr>
        <w:t>参照《中华人民共和国环境保护税法》，企业事业单位和其他生产经营者向依法设立的城镇污水处理厂、城镇生活垃圾处理场排放应税污染物的，不征收环境保护税。本项目不直接向水体排放生产废水和生活污水，厂界噪声不超标，危废按协议送往有资质单位，费用按合同协议金额缴纳。应税大气污染物以该污染物的排放量除以该污染物的污染当量值计算。每种应税大气污染物具体污染当量值依照本法所附《应税污染物和当量值表》执行。</w:t>
      </w:r>
    </w:p>
    <w:p>
      <w:pPr>
        <w:pStyle w:val="244"/>
        <w:rPr>
          <w:rFonts w:eastAsiaTheme="minorEastAsia"/>
          <w:color w:val="auto"/>
        </w:rPr>
      </w:pPr>
      <w:r>
        <w:rPr>
          <w:rFonts w:eastAsiaTheme="minorEastAsia"/>
          <w:color w:val="auto"/>
        </w:rPr>
        <w:t>表7-3-1  本项目污染物当量税额一览表</w:t>
      </w:r>
    </w:p>
    <w:tbl>
      <w:tblPr>
        <w:tblStyle w:val="54"/>
        <w:tblW w:w="8306" w:type="dxa"/>
        <w:jc w:val="center"/>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367"/>
        <w:gridCol w:w="1392"/>
        <w:gridCol w:w="1389"/>
        <w:gridCol w:w="1387"/>
        <w:gridCol w:w="1380"/>
        <w:gridCol w:w="1391"/>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367" w:type="dxa"/>
          </w:tcPr>
          <w:p>
            <w:pPr>
              <w:pStyle w:val="246"/>
              <w:rPr>
                <w:rFonts w:ascii="Times New Roman" w:hAnsi="Times New Roman" w:eastAsiaTheme="minorEastAsia"/>
                <w:color w:val="auto"/>
              </w:rPr>
            </w:pPr>
            <w:r>
              <w:rPr>
                <w:rFonts w:ascii="Times New Roman" w:hAnsi="Times New Roman" w:eastAsiaTheme="minorEastAsia"/>
                <w:color w:val="auto"/>
              </w:rPr>
              <w:t>污染物名称</w:t>
            </w:r>
          </w:p>
        </w:tc>
        <w:tc>
          <w:tcPr>
            <w:tcW w:w="1392" w:type="dxa"/>
          </w:tcPr>
          <w:p>
            <w:pPr>
              <w:pStyle w:val="246"/>
              <w:rPr>
                <w:rFonts w:ascii="Times New Roman" w:hAnsi="Times New Roman" w:eastAsiaTheme="minorEastAsia"/>
                <w:color w:val="auto"/>
              </w:rPr>
            </w:pPr>
            <w:r>
              <w:rPr>
                <w:rFonts w:ascii="Times New Roman" w:hAnsi="Times New Roman" w:eastAsiaTheme="minorEastAsia"/>
                <w:color w:val="auto"/>
              </w:rPr>
              <w:t>排放量（t/a）</w:t>
            </w:r>
          </w:p>
        </w:tc>
        <w:tc>
          <w:tcPr>
            <w:tcW w:w="1389" w:type="dxa"/>
          </w:tcPr>
          <w:p>
            <w:pPr>
              <w:pStyle w:val="246"/>
              <w:rPr>
                <w:rFonts w:ascii="Times New Roman" w:hAnsi="Times New Roman" w:eastAsiaTheme="minorEastAsia"/>
                <w:color w:val="auto"/>
              </w:rPr>
            </w:pPr>
            <w:r>
              <w:rPr>
                <w:rFonts w:ascii="Times New Roman" w:hAnsi="Times New Roman" w:eastAsiaTheme="minorEastAsia"/>
                <w:color w:val="auto"/>
              </w:rPr>
              <w:t>污染当量值（kg）</w:t>
            </w:r>
          </w:p>
        </w:tc>
        <w:tc>
          <w:tcPr>
            <w:tcW w:w="1387" w:type="dxa"/>
          </w:tcPr>
          <w:p>
            <w:pPr>
              <w:pStyle w:val="246"/>
              <w:rPr>
                <w:rFonts w:ascii="Times New Roman" w:hAnsi="Times New Roman" w:eastAsiaTheme="minorEastAsia"/>
                <w:color w:val="auto"/>
              </w:rPr>
            </w:pPr>
            <w:r>
              <w:rPr>
                <w:rFonts w:ascii="Times New Roman" w:hAnsi="Times New Roman" w:eastAsiaTheme="minorEastAsia"/>
                <w:color w:val="auto"/>
              </w:rPr>
              <w:t>污染物当量数</w:t>
            </w:r>
          </w:p>
        </w:tc>
        <w:tc>
          <w:tcPr>
            <w:tcW w:w="1380" w:type="dxa"/>
          </w:tcPr>
          <w:p>
            <w:pPr>
              <w:pStyle w:val="246"/>
              <w:rPr>
                <w:rFonts w:ascii="Times New Roman" w:hAnsi="Times New Roman" w:eastAsiaTheme="minorEastAsia"/>
                <w:color w:val="auto"/>
              </w:rPr>
            </w:pPr>
            <w:r>
              <w:rPr>
                <w:rFonts w:ascii="Times New Roman" w:hAnsi="Times New Roman" w:eastAsiaTheme="minorEastAsia"/>
                <w:color w:val="auto"/>
              </w:rPr>
              <w:t>税额（元/每污染当量）</w:t>
            </w:r>
          </w:p>
        </w:tc>
        <w:tc>
          <w:tcPr>
            <w:tcW w:w="1391" w:type="dxa"/>
          </w:tcPr>
          <w:p>
            <w:pPr>
              <w:pStyle w:val="246"/>
              <w:rPr>
                <w:rFonts w:ascii="Times New Roman" w:hAnsi="Times New Roman" w:eastAsiaTheme="minorEastAsia"/>
                <w:color w:val="auto"/>
              </w:rPr>
            </w:pPr>
            <w:r>
              <w:rPr>
                <w:rFonts w:ascii="Times New Roman" w:hAnsi="Times New Roman" w:eastAsiaTheme="minorEastAsia"/>
                <w:color w:val="auto"/>
              </w:rPr>
              <w:t>应纳税额（元）</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367" w:type="dxa"/>
          </w:tcPr>
          <w:p>
            <w:pPr>
              <w:pStyle w:val="246"/>
              <w:rPr>
                <w:rFonts w:ascii="Times New Roman" w:hAnsi="Times New Roman" w:eastAsiaTheme="minorEastAsia"/>
                <w:color w:val="auto"/>
              </w:rPr>
            </w:pPr>
            <w:r>
              <w:rPr>
                <w:rFonts w:ascii="Times New Roman" w:hAnsi="Times New Roman" w:eastAsiaTheme="minorEastAsia"/>
                <w:color w:val="auto"/>
              </w:rPr>
              <w:t>粉尘</w:t>
            </w:r>
          </w:p>
        </w:tc>
        <w:tc>
          <w:tcPr>
            <w:tcW w:w="1392" w:type="dxa"/>
            <w:vAlign w:val="center"/>
          </w:tcPr>
          <w:p>
            <w:pPr>
              <w:pStyle w:val="246"/>
              <w:rPr>
                <w:rFonts w:hint="eastAsia" w:ascii="Times New Roman" w:hAnsi="Times New Roman" w:eastAsiaTheme="minorEastAsia"/>
                <w:color w:val="auto"/>
                <w:lang w:val="en-US" w:eastAsia="zh-CN"/>
              </w:rPr>
            </w:pPr>
            <w:r>
              <w:rPr>
                <w:rFonts w:hint="eastAsia" w:ascii="Times New Roman" w:hAnsi="Times New Roman" w:eastAsiaTheme="minorEastAsia"/>
                <w:color w:val="auto"/>
                <w:lang w:val="en-US" w:eastAsia="zh-CN"/>
              </w:rPr>
              <w:t>0.742</w:t>
            </w:r>
          </w:p>
        </w:tc>
        <w:tc>
          <w:tcPr>
            <w:tcW w:w="1389" w:type="dxa"/>
            <w:vAlign w:val="top"/>
          </w:tcPr>
          <w:p>
            <w:pPr>
              <w:pStyle w:val="246"/>
              <w:rPr>
                <w:rFonts w:ascii="Times New Roman" w:hAnsi="Times New Roman" w:eastAsiaTheme="minorEastAsia"/>
                <w:color w:val="auto"/>
              </w:rPr>
            </w:pPr>
            <w:r>
              <w:rPr>
                <w:rFonts w:hint="default" w:ascii="Times New Roman" w:hAnsi="Times New Roman" w:eastAsiaTheme="minorEastAsia"/>
                <w:color w:val="auto"/>
                <w:lang w:val="en-US" w:eastAsia="zh-CN"/>
              </w:rPr>
              <w:t>4</w:t>
            </w:r>
          </w:p>
        </w:tc>
        <w:tc>
          <w:tcPr>
            <w:tcW w:w="1387" w:type="dxa"/>
            <w:vAlign w:val="top"/>
          </w:tcPr>
          <w:p>
            <w:pPr>
              <w:pStyle w:val="246"/>
              <w:rPr>
                <w:rFonts w:ascii="Times New Roman" w:hAnsi="Times New Roman" w:eastAsiaTheme="minorEastAsia"/>
                <w:color w:val="auto"/>
              </w:rPr>
            </w:pPr>
            <w:r>
              <w:rPr>
                <w:rFonts w:hint="default" w:ascii="Times New Roman" w:hAnsi="Times New Roman" w:eastAsiaTheme="minorEastAsia"/>
                <w:color w:val="auto"/>
                <w:lang w:val="en-US" w:eastAsia="zh-CN"/>
              </w:rPr>
              <w:t>185.5</w:t>
            </w:r>
          </w:p>
        </w:tc>
        <w:tc>
          <w:tcPr>
            <w:tcW w:w="1380" w:type="dxa"/>
            <w:vAlign w:val="top"/>
          </w:tcPr>
          <w:p>
            <w:pPr>
              <w:pStyle w:val="246"/>
              <w:rPr>
                <w:rFonts w:ascii="Times New Roman" w:hAnsi="Times New Roman" w:eastAsiaTheme="minorEastAsia"/>
                <w:color w:val="auto"/>
              </w:rPr>
            </w:pPr>
            <w:r>
              <w:rPr>
                <w:rFonts w:hint="default" w:ascii="Times New Roman" w:hAnsi="Times New Roman" w:eastAsiaTheme="minorEastAsia"/>
                <w:color w:val="auto"/>
                <w:lang w:val="en-US" w:eastAsia="zh-CN"/>
              </w:rPr>
              <w:t>1.2</w:t>
            </w:r>
          </w:p>
        </w:tc>
        <w:tc>
          <w:tcPr>
            <w:tcW w:w="1391" w:type="dxa"/>
            <w:vAlign w:val="top"/>
          </w:tcPr>
          <w:p>
            <w:pPr>
              <w:pStyle w:val="246"/>
              <w:rPr>
                <w:rFonts w:ascii="Times New Roman" w:hAnsi="Times New Roman" w:eastAsiaTheme="minorEastAsia"/>
                <w:color w:val="auto"/>
                <w:lang w:val="en-US"/>
              </w:rPr>
            </w:pPr>
            <w:r>
              <w:rPr>
                <w:rFonts w:hint="default" w:ascii="Times New Roman" w:hAnsi="Times New Roman" w:eastAsiaTheme="minorEastAsia"/>
                <w:color w:val="auto"/>
                <w:lang w:val="en-US" w:eastAsia="zh-CN"/>
              </w:rPr>
              <w:t>22</w:t>
            </w:r>
            <w:r>
              <w:rPr>
                <w:rFonts w:hint="eastAsia" w:eastAsiaTheme="minorEastAsia"/>
                <w:color w:val="auto"/>
                <w:lang w:val="en-US" w:eastAsia="zh-CN"/>
              </w:rPr>
              <w:t>3</w:t>
            </w:r>
          </w:p>
        </w:tc>
      </w:tr>
    </w:tbl>
    <w:p>
      <w:pPr>
        <w:ind w:firstLine="480" w:firstLineChars="200"/>
        <w:rPr>
          <w:rFonts w:eastAsiaTheme="minorEastAsia"/>
          <w:color w:val="auto"/>
        </w:rPr>
      </w:pPr>
      <w:r>
        <w:rPr>
          <w:rFonts w:eastAsiaTheme="minorEastAsia"/>
          <w:color w:val="auto"/>
        </w:rPr>
        <w:t>由表 7-3-1 计算结果可知，大气污染物环境保护税估算值为</w:t>
      </w:r>
      <w:r>
        <w:rPr>
          <w:rFonts w:hint="eastAsia" w:eastAsiaTheme="minorEastAsia"/>
          <w:color w:val="auto"/>
          <w:lang w:val="en-US" w:eastAsia="zh-CN"/>
        </w:rPr>
        <w:t>223</w:t>
      </w:r>
      <w:r>
        <w:rPr>
          <w:rFonts w:eastAsiaTheme="minorEastAsia"/>
          <w:color w:val="auto"/>
        </w:rPr>
        <w:t>元，虽然对环境属于负影响，但影响较小。</w:t>
      </w:r>
    </w:p>
    <w:p>
      <w:pPr>
        <w:pStyle w:val="238"/>
        <w:spacing w:before="163" w:after="163"/>
        <w:rPr>
          <w:rFonts w:hint="eastAsia" w:hAnsi="Times New Roman" w:eastAsiaTheme="minorEastAsia"/>
          <w:color w:val="auto"/>
          <w:lang w:eastAsia="zh-CN"/>
        </w:rPr>
      </w:pPr>
      <w:bookmarkStart w:id="267" w:name="_Toc519693591"/>
      <w:bookmarkStart w:id="268" w:name="_Toc31727"/>
      <w:r>
        <w:rPr>
          <w:rFonts w:hAnsi="Times New Roman" w:eastAsiaTheme="minorEastAsia"/>
          <w:color w:val="auto"/>
        </w:rPr>
        <w:t>7.4</w:t>
      </w:r>
      <w:r>
        <w:rPr>
          <w:rFonts w:hAnsi="Times New Roman" w:eastAsiaTheme="minorEastAsia"/>
          <w:color w:val="auto"/>
        </w:rPr>
        <w:t>结论</w:t>
      </w:r>
      <w:bookmarkEnd w:id="267"/>
      <w:bookmarkEnd w:id="268"/>
    </w:p>
    <w:p>
      <w:pPr>
        <w:pStyle w:val="285"/>
        <w:spacing w:line="500" w:lineRule="exact"/>
        <w:ind w:firstLine="480" w:firstLineChars="200"/>
        <w:rPr>
          <w:rFonts w:eastAsiaTheme="minorEastAsia"/>
          <w:color w:val="auto"/>
        </w:rPr>
      </w:pPr>
      <w:r>
        <w:rPr>
          <w:rFonts w:eastAsiaTheme="minorEastAsia"/>
          <w:color w:val="auto"/>
        </w:rPr>
        <w:t>本工程建设存在一定的环境效益负面影响，但是通过本报告中提出相应的环保措施，可以对该工程产生的环境负效益进行弥补。环保措施投资所产生的效益是巨大的、长远及潜在的。这些措施都是直接或间接地在一定程度保护了本工程拟建区域的环境质量，使本工程建设对环境的影响降到最低程度。</w:t>
      </w:r>
    </w:p>
    <w:p>
      <w:pPr>
        <w:pStyle w:val="285"/>
        <w:spacing w:line="500" w:lineRule="exact"/>
        <w:ind w:firstLine="480" w:firstLineChars="200"/>
        <w:rPr>
          <w:rFonts w:eastAsiaTheme="minorEastAsia"/>
          <w:color w:val="auto"/>
        </w:rPr>
        <w:sectPr>
          <w:pgSz w:w="11906" w:h="16838"/>
          <w:pgMar w:top="1440" w:right="1800" w:bottom="1440" w:left="1800" w:header="851" w:footer="992" w:gutter="0"/>
          <w:pgBorders>
            <w:top w:val="none" w:sz="0" w:space="0"/>
            <w:left w:val="none" w:sz="0" w:space="0"/>
            <w:bottom w:val="none" w:sz="0" w:space="0"/>
            <w:right w:val="none" w:sz="0" w:space="0"/>
          </w:pgBorders>
          <w:cols w:space="720" w:num="1"/>
          <w:titlePg/>
          <w:docGrid w:type="lines" w:linePitch="326" w:charSpace="0"/>
        </w:sectPr>
      </w:pPr>
      <w:r>
        <w:rPr>
          <w:rFonts w:eastAsiaTheme="minorEastAsia"/>
          <w:color w:val="auto"/>
        </w:rPr>
        <w:t>通过以上对本工程建设的经济、社会和环境效益分析可知，本工程的建设能够达到经济效益、社会效益和环境效益的统一。本工程符合</w:t>
      </w:r>
      <w:r>
        <w:rPr>
          <w:rFonts w:hint="eastAsia" w:eastAsiaTheme="minorEastAsia"/>
          <w:color w:val="auto"/>
          <w:lang w:eastAsia="zh-CN"/>
        </w:rPr>
        <w:t>佳木斯市</w:t>
      </w:r>
      <w:r>
        <w:rPr>
          <w:rFonts w:eastAsiaTheme="minorEastAsia"/>
          <w:color w:val="auto"/>
        </w:rPr>
        <w:t>总体规划和布局要求，该项目建成将会进一步推动项目所在区域的经济发展。因此，从环境经济的角度分析本工程是可行的。</w:t>
      </w:r>
    </w:p>
    <w:p>
      <w:pPr>
        <w:pStyle w:val="3"/>
        <w:spacing w:before="0" w:after="0" w:line="700" w:lineRule="exact"/>
        <w:rPr>
          <w:rFonts w:eastAsiaTheme="minorEastAsia"/>
          <w:b w:val="0"/>
          <w:color w:val="auto"/>
          <w:sz w:val="32"/>
          <w:szCs w:val="32"/>
        </w:rPr>
      </w:pPr>
      <w:bookmarkStart w:id="269" w:name="_Toc519693592"/>
      <w:bookmarkStart w:id="270" w:name="_Toc440973853"/>
      <w:bookmarkStart w:id="271" w:name="_Toc440973587"/>
      <w:r>
        <w:rPr>
          <w:rFonts w:eastAsiaTheme="minorEastAsia"/>
          <w:b w:val="0"/>
          <w:color w:val="auto"/>
          <w:sz w:val="32"/>
          <w:szCs w:val="32"/>
        </w:rPr>
        <w:t>8环境管理与监测计划</w:t>
      </w:r>
      <w:bookmarkEnd w:id="269"/>
      <w:bookmarkEnd w:id="270"/>
      <w:bookmarkEnd w:id="271"/>
    </w:p>
    <w:p>
      <w:pPr>
        <w:pStyle w:val="238"/>
        <w:rPr>
          <w:rFonts w:hAnsi="Times New Roman" w:eastAsiaTheme="minorEastAsia"/>
          <w:color w:val="auto"/>
        </w:rPr>
      </w:pPr>
      <w:bookmarkStart w:id="272" w:name="_Toc519693593"/>
      <w:bookmarkStart w:id="273" w:name="_Toc429169790"/>
      <w:bookmarkStart w:id="274" w:name="_Toc440973854"/>
      <w:bookmarkStart w:id="275" w:name="_Toc440973588"/>
      <w:bookmarkStart w:id="276" w:name="_Toc246334024"/>
      <w:bookmarkStart w:id="277" w:name="_Toc266448899"/>
      <w:r>
        <w:rPr>
          <w:rFonts w:hAnsi="Times New Roman" w:eastAsiaTheme="minorEastAsia"/>
          <w:color w:val="auto"/>
        </w:rPr>
        <w:t>8.1环境管理</w:t>
      </w:r>
      <w:bookmarkEnd w:id="272"/>
      <w:bookmarkEnd w:id="273"/>
      <w:bookmarkEnd w:id="274"/>
      <w:bookmarkEnd w:id="275"/>
    </w:p>
    <w:bookmarkEnd w:id="276"/>
    <w:bookmarkEnd w:id="277"/>
    <w:p>
      <w:pPr>
        <w:pStyle w:val="240"/>
        <w:rPr>
          <w:rFonts w:ascii="Times New Roman" w:hAnsi="Times New Roman" w:cs="Times New Roman" w:eastAsiaTheme="minorEastAsia"/>
          <w:color w:val="auto"/>
        </w:rPr>
      </w:pPr>
      <w:bookmarkStart w:id="278" w:name="_Toc440973219"/>
      <w:bookmarkStart w:id="279" w:name="_Toc440973855"/>
      <w:bookmarkStart w:id="280" w:name="_Toc440973589"/>
      <w:r>
        <w:rPr>
          <w:rFonts w:ascii="Times New Roman" w:hAnsi="Times New Roman" w:cs="Times New Roman" w:eastAsiaTheme="minorEastAsia"/>
          <w:color w:val="auto"/>
        </w:rPr>
        <w:t>8.1.1</w:t>
      </w:r>
      <w:bookmarkEnd w:id="278"/>
      <w:bookmarkEnd w:id="279"/>
      <w:bookmarkEnd w:id="280"/>
      <w:r>
        <w:rPr>
          <w:rFonts w:ascii="Times New Roman" w:hAnsi="Times New Roman" w:cs="Times New Roman" w:eastAsiaTheme="minorEastAsia"/>
          <w:color w:val="auto"/>
        </w:rPr>
        <w:t>环境管理意义</w:t>
      </w:r>
    </w:p>
    <w:p>
      <w:pPr>
        <w:ind w:firstLine="480"/>
        <w:rPr>
          <w:rFonts w:eastAsiaTheme="minorEastAsia"/>
          <w:color w:val="auto"/>
        </w:rPr>
      </w:pPr>
      <w:r>
        <w:rPr>
          <w:rFonts w:eastAsiaTheme="minorEastAsia"/>
          <w:color w:val="auto"/>
        </w:rPr>
        <w:t>环境管理是以环境科学理论为基础，运用经济、法律、技术、行政、教育等手段对经济、社会发展过程中施加给环境的污染和破坏影响进行调节控制，实现经济、社会和环境效益的和谐统一。通过加强环境管理，建立相应的环境管理计划与监测计划，可以促进企业预防和治理污染，确保企业环境设施正常运行、排污达标；可以与企业管理相结合，调动广大员工防治污染、保护环境的积极性；可以避免许多因管理不善而产生的环境风险和对人群健康造成的危害，使建设项目对环境的危害控制在最小范围内。本项目将环境管理工作纳入矿区范围的环境管理体系，实行统一管理。</w:t>
      </w:r>
    </w:p>
    <w:p>
      <w:pPr>
        <w:pStyle w:val="240"/>
        <w:rPr>
          <w:rFonts w:ascii="Times New Roman" w:hAnsi="Times New Roman" w:cs="Times New Roman" w:eastAsiaTheme="minorEastAsia"/>
          <w:color w:val="auto"/>
        </w:rPr>
      </w:pPr>
      <w:bookmarkStart w:id="281" w:name="_Toc440973856"/>
      <w:bookmarkStart w:id="282" w:name="_Toc440973590"/>
      <w:bookmarkStart w:id="283" w:name="_Toc440973220"/>
      <w:r>
        <w:rPr>
          <w:rFonts w:ascii="Times New Roman" w:hAnsi="Times New Roman" w:cs="Times New Roman" w:eastAsiaTheme="minorEastAsia"/>
          <w:color w:val="auto"/>
        </w:rPr>
        <w:t>8.1.2环境管理要求</w:t>
      </w:r>
    </w:p>
    <w:p>
      <w:pPr>
        <w:pStyle w:val="6"/>
        <w:spacing w:before="0" w:after="0" w:line="500" w:lineRule="exact"/>
        <w:rPr>
          <w:rFonts w:eastAsiaTheme="minorEastAsia"/>
          <w:b w:val="0"/>
          <w:bCs w:val="0"/>
          <w:color w:val="auto"/>
          <w:sz w:val="24"/>
          <w:szCs w:val="24"/>
        </w:rPr>
      </w:pPr>
      <w:r>
        <w:rPr>
          <w:rFonts w:eastAsiaTheme="minorEastAsia"/>
          <w:b w:val="0"/>
          <w:bCs w:val="0"/>
          <w:color w:val="auto"/>
          <w:sz w:val="24"/>
          <w:szCs w:val="24"/>
        </w:rPr>
        <w:t>8.1.2</w:t>
      </w:r>
      <w:bookmarkEnd w:id="281"/>
      <w:bookmarkEnd w:id="282"/>
      <w:bookmarkEnd w:id="283"/>
      <w:r>
        <w:rPr>
          <w:rFonts w:eastAsiaTheme="minorEastAsia"/>
          <w:b w:val="0"/>
          <w:bCs w:val="0"/>
          <w:color w:val="auto"/>
          <w:sz w:val="24"/>
          <w:szCs w:val="24"/>
          <w:lang w:val="en-US"/>
        </w:rPr>
        <w:t>.1</w:t>
      </w:r>
      <w:r>
        <w:rPr>
          <w:rFonts w:eastAsiaTheme="minorEastAsia"/>
          <w:b w:val="0"/>
          <w:bCs w:val="0"/>
          <w:color w:val="auto"/>
          <w:sz w:val="24"/>
          <w:szCs w:val="24"/>
        </w:rPr>
        <w:t>施工期环境管理要求</w:t>
      </w:r>
    </w:p>
    <w:p>
      <w:pPr>
        <w:ind w:firstLine="480"/>
        <w:rPr>
          <w:rFonts w:eastAsiaTheme="minorEastAsia"/>
          <w:color w:val="auto"/>
        </w:rPr>
      </w:pPr>
      <w:r>
        <w:rPr>
          <w:rFonts w:eastAsiaTheme="minorEastAsia"/>
          <w:color w:val="auto"/>
        </w:rPr>
        <w:t>鉴于施工期环境管理工作的重要性，同时根据国家的有关要求，本工程的施工将采取招投标制。施工招标中应对投标单位提出施工期间的环保要求，并应对监理单位提出环境保护人员资质要求。在施工设计文件中详细说明施工期应注意的环保问题，严格要求施工单位按设计文件施工，特别是按环保设计要求施工。环境监理人员对施工中的每一道工序都应严格检查是否满足环保要求，并不定期地对施工点进行抽查监督检查。施工期环境保护监理及环境管理的职责和任务如下：</w:t>
      </w:r>
    </w:p>
    <w:p>
      <w:pPr>
        <w:ind w:firstLine="480"/>
        <w:rPr>
          <w:rFonts w:eastAsiaTheme="minorEastAsia"/>
          <w:color w:val="auto"/>
        </w:rPr>
      </w:pPr>
      <w:r>
        <w:rPr>
          <w:rFonts w:eastAsiaTheme="minorEastAsia"/>
          <w:color w:val="auto"/>
        </w:rPr>
        <w:t>（1）贯彻执行国家的各项环境保护方针、政策、法规和各项规章制度。</w:t>
      </w:r>
    </w:p>
    <w:p>
      <w:pPr>
        <w:ind w:firstLine="480"/>
        <w:rPr>
          <w:rFonts w:eastAsiaTheme="minorEastAsia"/>
          <w:color w:val="auto"/>
        </w:rPr>
      </w:pPr>
      <w:r>
        <w:rPr>
          <w:rFonts w:eastAsiaTheme="minorEastAsia"/>
          <w:color w:val="auto"/>
        </w:rPr>
        <w:t>（2）制定本工程施工中的环境保护计划，负责工程施工过程中各项环境保护措施实施的监督和日常管理。</w:t>
      </w:r>
    </w:p>
    <w:p>
      <w:pPr>
        <w:ind w:firstLine="480"/>
        <w:rPr>
          <w:rFonts w:eastAsiaTheme="minorEastAsia"/>
          <w:color w:val="auto"/>
        </w:rPr>
      </w:pPr>
      <w:r>
        <w:rPr>
          <w:rFonts w:eastAsiaTheme="minorEastAsia"/>
          <w:color w:val="auto"/>
        </w:rPr>
        <w:t>（3）收集、整理、推广和实施工程建设中各项环境保护的先进工作经验和技术。</w:t>
      </w:r>
    </w:p>
    <w:p>
      <w:pPr>
        <w:ind w:firstLine="480"/>
        <w:rPr>
          <w:rFonts w:eastAsiaTheme="minorEastAsia"/>
          <w:color w:val="auto"/>
        </w:rPr>
      </w:pPr>
      <w:r>
        <w:rPr>
          <w:rFonts w:eastAsiaTheme="minorEastAsia"/>
          <w:color w:val="auto"/>
        </w:rPr>
        <w:t>（4）组织和开展对施工人员进行施工活动中应遵循的环保法规、知识的培训，提高全体员工文明施工的认识。</w:t>
      </w:r>
    </w:p>
    <w:p>
      <w:pPr>
        <w:ind w:firstLine="480"/>
        <w:rPr>
          <w:rFonts w:eastAsiaTheme="minorEastAsia"/>
          <w:color w:val="auto"/>
        </w:rPr>
      </w:pPr>
      <w:r>
        <w:rPr>
          <w:rFonts w:eastAsiaTheme="minorEastAsia"/>
          <w:color w:val="auto"/>
        </w:rPr>
        <w:t>（5）负责日常施工活动中的环境监理工作，做好工程用地区域的环境特征调查，对于环境保护目标要作到心中有数。</w:t>
      </w:r>
    </w:p>
    <w:p>
      <w:pPr>
        <w:ind w:firstLine="480"/>
        <w:rPr>
          <w:rFonts w:eastAsiaTheme="minorEastAsia"/>
          <w:color w:val="auto"/>
        </w:rPr>
      </w:pPr>
      <w:r>
        <w:rPr>
          <w:rFonts w:eastAsiaTheme="minorEastAsia"/>
          <w:color w:val="auto"/>
        </w:rPr>
        <w:t>（6）在施工计划中应适当计划设备运输道路，以避免影响当地居民生活，合理组织施工以减少占用临时施工用地。</w:t>
      </w:r>
    </w:p>
    <w:p>
      <w:pPr>
        <w:ind w:firstLine="480"/>
        <w:rPr>
          <w:rFonts w:eastAsiaTheme="minorEastAsia"/>
          <w:color w:val="auto"/>
        </w:rPr>
      </w:pPr>
      <w:r>
        <w:rPr>
          <w:rFonts w:eastAsiaTheme="minorEastAsia"/>
          <w:color w:val="auto"/>
        </w:rPr>
        <w:t>（7）做好施工中各种环境问题的收集、记录、建档和处理工作。</w:t>
      </w:r>
    </w:p>
    <w:p>
      <w:pPr>
        <w:ind w:firstLine="480"/>
        <w:rPr>
          <w:rFonts w:eastAsiaTheme="minorEastAsia"/>
          <w:color w:val="auto"/>
        </w:rPr>
      </w:pPr>
      <w:r>
        <w:rPr>
          <w:rFonts w:eastAsiaTheme="minorEastAsia"/>
          <w:color w:val="auto"/>
        </w:rPr>
        <w:t>（8）监督施工单位，使施工工作完成后的保护工程同时完成。</w:t>
      </w:r>
    </w:p>
    <w:p>
      <w:pPr>
        <w:ind w:firstLine="480"/>
        <w:rPr>
          <w:rFonts w:eastAsiaTheme="minorEastAsia"/>
          <w:color w:val="auto"/>
        </w:rPr>
      </w:pPr>
      <w:r>
        <w:rPr>
          <w:rFonts w:eastAsiaTheme="minorEastAsia"/>
          <w:color w:val="auto"/>
        </w:rPr>
        <w:t>（9）工程竣工后，将各项环保措施落实完成情况上报当地环境主管部门。</w:t>
      </w:r>
    </w:p>
    <w:p>
      <w:pPr>
        <w:pStyle w:val="6"/>
        <w:spacing w:before="0" w:after="0" w:line="500" w:lineRule="exact"/>
        <w:rPr>
          <w:rFonts w:eastAsiaTheme="minorEastAsia"/>
          <w:b w:val="0"/>
          <w:bCs w:val="0"/>
          <w:color w:val="auto"/>
          <w:sz w:val="24"/>
          <w:szCs w:val="24"/>
        </w:rPr>
      </w:pPr>
      <w:r>
        <w:rPr>
          <w:rFonts w:eastAsiaTheme="minorEastAsia"/>
          <w:b w:val="0"/>
          <w:bCs w:val="0"/>
          <w:color w:val="auto"/>
          <w:sz w:val="24"/>
          <w:szCs w:val="24"/>
        </w:rPr>
        <w:t>8.1.</w:t>
      </w:r>
      <w:r>
        <w:rPr>
          <w:rFonts w:eastAsiaTheme="minorEastAsia"/>
          <w:b w:val="0"/>
          <w:bCs w:val="0"/>
          <w:color w:val="auto"/>
          <w:sz w:val="24"/>
          <w:szCs w:val="24"/>
          <w:lang w:val="en-US"/>
        </w:rPr>
        <w:t>2.2</w:t>
      </w:r>
      <w:r>
        <w:rPr>
          <w:rFonts w:eastAsiaTheme="minorEastAsia"/>
          <w:b w:val="0"/>
          <w:bCs w:val="0"/>
          <w:color w:val="auto"/>
          <w:sz w:val="24"/>
          <w:szCs w:val="24"/>
        </w:rPr>
        <w:t>运行期环境管理要求</w:t>
      </w:r>
    </w:p>
    <w:p>
      <w:pPr>
        <w:ind w:firstLine="480" w:firstLineChars="200"/>
        <w:rPr>
          <w:rFonts w:eastAsiaTheme="minorEastAsia"/>
          <w:color w:val="auto"/>
        </w:rPr>
      </w:pPr>
      <w:r>
        <w:rPr>
          <w:rFonts w:eastAsiaTheme="minorEastAsia"/>
          <w:color w:val="auto"/>
        </w:rPr>
        <w:t>（1）根据国家环保政策、标准及环境监测要求，制定该项目运行期环境管理规章制度、各种污染物排放指标；</w:t>
      </w:r>
    </w:p>
    <w:p>
      <w:pPr>
        <w:ind w:firstLine="480" w:firstLineChars="200"/>
        <w:rPr>
          <w:rFonts w:eastAsiaTheme="minorEastAsia"/>
          <w:color w:val="auto"/>
        </w:rPr>
      </w:pPr>
      <w:r>
        <w:rPr>
          <w:rFonts w:eastAsiaTheme="minorEastAsia"/>
          <w:color w:val="auto"/>
        </w:rPr>
        <w:t>（2）严格落实本报告书提出的各项污染防治措施。</w:t>
      </w:r>
    </w:p>
    <w:p>
      <w:pPr>
        <w:ind w:firstLine="480" w:firstLineChars="200"/>
        <w:rPr>
          <w:rFonts w:eastAsiaTheme="minorEastAsia"/>
          <w:color w:val="auto"/>
        </w:rPr>
      </w:pPr>
      <w:r>
        <w:rPr>
          <w:rFonts w:eastAsiaTheme="minorEastAsia"/>
          <w:color w:val="auto"/>
        </w:rPr>
        <w:t>（3）制定风险应急预案，强化安全管理。</w:t>
      </w:r>
    </w:p>
    <w:p>
      <w:pPr>
        <w:ind w:firstLine="480" w:firstLineChars="200"/>
        <w:rPr>
          <w:rFonts w:eastAsiaTheme="minorEastAsia"/>
          <w:color w:val="auto"/>
          <w:kern w:val="0"/>
          <w:szCs w:val="24"/>
        </w:rPr>
      </w:pPr>
      <w:r>
        <w:rPr>
          <w:rFonts w:eastAsiaTheme="minorEastAsia"/>
          <w:color w:val="auto"/>
        </w:rPr>
        <w:t>（4）掌握项目所在地周围的环境特征和环境保护目标情况。建立环境管理和环境监测技术文件，做好记录、建档工作。技术文件包括：污染源的监测记录技术文件；污染控制、环境保护设施的设计和运行管理文件；导致严重环境影响事件的分析报告和监测数据资料</w:t>
      </w:r>
      <w:r>
        <w:rPr>
          <w:rFonts w:eastAsiaTheme="minorEastAsia"/>
          <w:color w:val="auto"/>
          <w:kern w:val="0"/>
          <w:szCs w:val="24"/>
        </w:rPr>
        <w:t>等；并定期向当地环保主管部门申报。</w:t>
      </w:r>
    </w:p>
    <w:p>
      <w:pPr>
        <w:pStyle w:val="6"/>
        <w:spacing w:before="0" w:after="0" w:line="500" w:lineRule="exact"/>
        <w:rPr>
          <w:rFonts w:eastAsiaTheme="minorEastAsia"/>
          <w:b w:val="0"/>
          <w:bCs w:val="0"/>
          <w:color w:val="auto"/>
          <w:sz w:val="24"/>
          <w:szCs w:val="24"/>
        </w:rPr>
      </w:pPr>
      <w:r>
        <w:rPr>
          <w:rFonts w:eastAsiaTheme="minorEastAsia"/>
          <w:b w:val="0"/>
          <w:bCs w:val="0"/>
          <w:color w:val="auto"/>
          <w:sz w:val="24"/>
          <w:szCs w:val="24"/>
        </w:rPr>
        <w:t>8.1.</w:t>
      </w:r>
      <w:r>
        <w:rPr>
          <w:rFonts w:eastAsiaTheme="minorEastAsia"/>
          <w:b w:val="0"/>
          <w:bCs w:val="0"/>
          <w:color w:val="auto"/>
          <w:sz w:val="24"/>
          <w:szCs w:val="24"/>
          <w:lang w:val="en-US"/>
        </w:rPr>
        <w:t>2.3</w:t>
      </w:r>
      <w:r>
        <w:rPr>
          <w:rFonts w:eastAsiaTheme="minorEastAsia"/>
          <w:b w:val="0"/>
          <w:bCs w:val="0"/>
          <w:color w:val="auto"/>
          <w:sz w:val="24"/>
          <w:szCs w:val="24"/>
        </w:rPr>
        <w:t>服务期满后环境管理要求</w:t>
      </w:r>
    </w:p>
    <w:p>
      <w:pPr>
        <w:ind w:firstLine="480" w:firstLineChars="200"/>
        <w:rPr>
          <w:rFonts w:eastAsiaTheme="minorEastAsia"/>
          <w:color w:val="auto"/>
        </w:rPr>
      </w:pPr>
      <w:r>
        <w:rPr>
          <w:rFonts w:eastAsiaTheme="minorEastAsia"/>
          <w:color w:val="auto"/>
        </w:rPr>
        <w:t>服务期满后矿山必须进行生态环境恢复工作。根据《土地复垦条例》，对矿区占地进行复垦，即对露天采场、临时堆土场等进行复垦。</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8.1.3环境管理内容</w:t>
      </w:r>
    </w:p>
    <w:p>
      <w:pPr>
        <w:spacing w:line="500" w:lineRule="exact"/>
        <w:ind w:firstLine="480" w:firstLineChars="200"/>
        <w:rPr>
          <w:rFonts w:eastAsiaTheme="minorEastAsia"/>
          <w:color w:val="auto"/>
        </w:rPr>
      </w:pPr>
      <w:r>
        <w:rPr>
          <w:rFonts w:eastAsiaTheme="minorEastAsia"/>
          <w:color w:val="auto"/>
        </w:rPr>
        <w:t>（1）建立环境管理体制，明确环境管理目的、任务、责任及应建立健全环境管理的规章制度，结合清洁生产，按ISO14000环境管理体系的要求提出环境管理方面的建议。该部分的内容包括以下几个方面：</w:t>
      </w:r>
    </w:p>
    <w:p>
      <w:pPr>
        <w:spacing w:line="500" w:lineRule="exact"/>
        <w:ind w:firstLine="480" w:firstLineChars="200"/>
        <w:rPr>
          <w:rFonts w:eastAsiaTheme="minorEastAsia"/>
          <w:color w:val="auto"/>
        </w:rPr>
      </w:pPr>
      <w:r>
        <w:rPr>
          <w:rFonts w:hint="eastAsia" w:ascii="宋体" w:hAnsi="宋体" w:cs="宋体"/>
          <w:color w:val="auto"/>
        </w:rPr>
        <w:t>①</w:t>
      </w:r>
      <w:r>
        <w:rPr>
          <w:rFonts w:eastAsiaTheme="minorEastAsia"/>
          <w:color w:val="auto"/>
        </w:rPr>
        <w:t>建立环境监督部门，该部门作为公司内环保综合管理部门，对公司内环保工作实行监督管理，并对公司范围内的环境质量和生产运行中的环境污染事故全面负责。</w:t>
      </w:r>
    </w:p>
    <w:p>
      <w:pPr>
        <w:spacing w:line="500" w:lineRule="exact"/>
        <w:ind w:firstLine="480" w:firstLineChars="200"/>
        <w:rPr>
          <w:rFonts w:eastAsiaTheme="minorEastAsia"/>
          <w:color w:val="auto"/>
        </w:rPr>
      </w:pPr>
      <w:r>
        <w:rPr>
          <w:rFonts w:hint="eastAsia" w:ascii="宋体" w:hAnsi="宋体" w:cs="宋体"/>
          <w:color w:val="auto"/>
        </w:rPr>
        <w:t>②</w:t>
      </w:r>
      <w:r>
        <w:rPr>
          <w:rFonts w:eastAsiaTheme="minorEastAsia"/>
          <w:color w:val="auto"/>
        </w:rPr>
        <w:t>做好日常环保设施与生产主体设备的统一管理。</w:t>
      </w:r>
    </w:p>
    <w:p>
      <w:pPr>
        <w:spacing w:line="500" w:lineRule="exact"/>
        <w:ind w:firstLine="480" w:firstLineChars="200"/>
        <w:rPr>
          <w:rFonts w:eastAsiaTheme="minorEastAsia"/>
          <w:color w:val="auto"/>
        </w:rPr>
      </w:pPr>
      <w:r>
        <w:rPr>
          <w:rFonts w:hint="eastAsia" w:ascii="宋体" w:hAnsi="宋体" w:cs="宋体"/>
          <w:color w:val="auto"/>
        </w:rPr>
        <w:t>③</w:t>
      </w:r>
      <w:r>
        <w:rPr>
          <w:rFonts w:eastAsiaTheme="minorEastAsia"/>
          <w:color w:val="auto"/>
        </w:rPr>
        <w:t>建立对重点污染源的监测制度，发生污染物非正常排放时，应及时分析原因，立即采取有效措施，以控制污染。</w:t>
      </w:r>
    </w:p>
    <w:p>
      <w:pPr>
        <w:spacing w:line="500" w:lineRule="exact"/>
        <w:ind w:firstLine="480" w:firstLineChars="200"/>
        <w:rPr>
          <w:rFonts w:eastAsiaTheme="minorEastAsia"/>
          <w:color w:val="auto"/>
        </w:rPr>
      </w:pPr>
      <w:r>
        <w:rPr>
          <w:rFonts w:hint="eastAsia" w:ascii="宋体" w:hAnsi="宋体" w:cs="宋体"/>
          <w:color w:val="auto"/>
        </w:rPr>
        <w:t>④</w:t>
      </w:r>
      <w:r>
        <w:rPr>
          <w:rFonts w:eastAsiaTheme="minorEastAsia"/>
          <w:color w:val="auto"/>
        </w:rPr>
        <w:t>定期进行监测数据分析，提出防治污染、改善环境质量的建议。</w:t>
      </w:r>
    </w:p>
    <w:p>
      <w:pPr>
        <w:spacing w:line="500" w:lineRule="exact"/>
        <w:ind w:firstLine="480" w:firstLineChars="200"/>
        <w:rPr>
          <w:rFonts w:eastAsiaTheme="minorEastAsia"/>
          <w:color w:val="auto"/>
        </w:rPr>
      </w:pPr>
      <w:r>
        <w:rPr>
          <w:rFonts w:eastAsiaTheme="minorEastAsia"/>
          <w:color w:val="auto"/>
        </w:rPr>
        <w:t>（2）污染控制的检查监督制度</w:t>
      </w:r>
    </w:p>
    <w:p>
      <w:pPr>
        <w:spacing w:line="500" w:lineRule="exact"/>
        <w:ind w:firstLine="480" w:firstLineChars="200"/>
        <w:rPr>
          <w:rFonts w:eastAsiaTheme="minorEastAsia"/>
          <w:color w:val="auto"/>
        </w:rPr>
      </w:pPr>
      <w:r>
        <w:rPr>
          <w:rFonts w:eastAsiaTheme="minorEastAsia"/>
          <w:color w:val="auto"/>
        </w:rPr>
        <w:t>该部分的内容包括以下几个方面：</w:t>
      </w:r>
    </w:p>
    <w:p>
      <w:pPr>
        <w:spacing w:line="500" w:lineRule="exact"/>
        <w:ind w:firstLine="480" w:firstLineChars="200"/>
        <w:rPr>
          <w:rFonts w:eastAsiaTheme="minorEastAsia"/>
          <w:color w:val="auto"/>
        </w:rPr>
      </w:pPr>
      <w:r>
        <w:rPr>
          <w:rFonts w:hint="eastAsia" w:ascii="宋体" w:hAnsi="宋体" w:cs="宋体"/>
          <w:color w:val="auto"/>
        </w:rPr>
        <w:t>①</w:t>
      </w:r>
      <w:r>
        <w:rPr>
          <w:rFonts w:eastAsiaTheme="minorEastAsia"/>
          <w:color w:val="auto"/>
        </w:rPr>
        <w:t>采取降尘设施的检查，包括喷水、输水、储水等设施的检查；</w:t>
      </w:r>
    </w:p>
    <w:p>
      <w:pPr>
        <w:spacing w:line="500" w:lineRule="exact"/>
        <w:ind w:firstLine="480" w:firstLineChars="200"/>
        <w:rPr>
          <w:rFonts w:eastAsiaTheme="minorEastAsia"/>
          <w:color w:val="auto"/>
        </w:rPr>
      </w:pPr>
      <w:r>
        <w:rPr>
          <w:rFonts w:hint="eastAsia" w:ascii="宋体" w:hAnsi="宋体" w:cs="宋体"/>
          <w:color w:val="auto"/>
        </w:rPr>
        <w:t>②</w:t>
      </w:r>
      <w:r>
        <w:rPr>
          <w:rFonts w:eastAsiaTheme="minorEastAsia"/>
          <w:color w:val="auto"/>
        </w:rPr>
        <w:t>噪声防范设施的运行检查；</w:t>
      </w:r>
    </w:p>
    <w:p>
      <w:pPr>
        <w:spacing w:line="500" w:lineRule="exact"/>
        <w:ind w:firstLine="480" w:firstLineChars="200"/>
        <w:rPr>
          <w:rFonts w:eastAsiaTheme="minorEastAsia"/>
          <w:color w:val="auto"/>
        </w:rPr>
      </w:pPr>
      <w:r>
        <w:rPr>
          <w:rFonts w:hint="eastAsia" w:ascii="宋体" w:hAnsi="宋体" w:cs="宋体"/>
          <w:color w:val="auto"/>
        </w:rPr>
        <w:t>③</w:t>
      </w:r>
      <w:r>
        <w:rPr>
          <w:rFonts w:eastAsiaTheme="minorEastAsia"/>
          <w:color w:val="auto"/>
        </w:rPr>
        <w:t>堆土场储存设施，截流沟的检查等；</w:t>
      </w:r>
    </w:p>
    <w:p>
      <w:pPr>
        <w:spacing w:line="500" w:lineRule="exact"/>
        <w:ind w:firstLine="480" w:firstLineChars="200"/>
        <w:rPr>
          <w:rFonts w:eastAsiaTheme="minorEastAsia"/>
          <w:color w:val="auto"/>
        </w:rPr>
      </w:pPr>
      <w:r>
        <w:rPr>
          <w:rFonts w:eastAsiaTheme="minorEastAsia"/>
          <w:color w:val="auto"/>
        </w:rPr>
        <w:t>（3）员工环境教育和培训内容</w:t>
      </w:r>
    </w:p>
    <w:p>
      <w:pPr>
        <w:spacing w:line="500" w:lineRule="exact"/>
        <w:ind w:firstLine="480" w:firstLineChars="200"/>
        <w:rPr>
          <w:rFonts w:eastAsiaTheme="minorEastAsia"/>
          <w:color w:val="auto"/>
        </w:rPr>
      </w:pPr>
      <w:r>
        <w:rPr>
          <w:rFonts w:eastAsiaTheme="minorEastAsia"/>
          <w:color w:val="auto"/>
        </w:rPr>
        <w:t>包括上岗前的安全教育，环保设施操作、管理技术培训以及各层次员工的环境教育等。</w:t>
      </w:r>
    </w:p>
    <w:p>
      <w:pPr>
        <w:spacing w:line="500" w:lineRule="exact"/>
        <w:ind w:firstLine="480" w:firstLineChars="200"/>
        <w:rPr>
          <w:rFonts w:eastAsiaTheme="minorEastAsia"/>
          <w:color w:val="auto"/>
          <w:szCs w:val="24"/>
        </w:rPr>
      </w:pPr>
      <w:r>
        <w:rPr>
          <w:rFonts w:eastAsiaTheme="minorEastAsia"/>
          <w:color w:val="auto"/>
        </w:rPr>
        <w:t>（4）</w:t>
      </w:r>
      <w:r>
        <w:rPr>
          <w:rFonts w:eastAsiaTheme="minorEastAsia"/>
          <w:color w:val="auto"/>
          <w:szCs w:val="24"/>
        </w:rPr>
        <w:t>排污口管理</w:t>
      </w:r>
    </w:p>
    <w:p>
      <w:pPr>
        <w:adjustRightInd w:val="0"/>
        <w:snapToGrid w:val="0"/>
        <w:ind w:firstLine="480" w:firstLineChars="200"/>
        <w:rPr>
          <w:rFonts w:eastAsiaTheme="minorEastAsia"/>
          <w:color w:val="auto"/>
        </w:rPr>
      </w:pPr>
      <w:r>
        <w:rPr>
          <w:rFonts w:eastAsiaTheme="minorEastAsia"/>
          <w:color w:val="auto"/>
          <w:szCs w:val="24"/>
        </w:rPr>
        <w:t>在厂区“三废”及噪声排放点，设置明显标志，标志的设置应执行《环境保护图形标志排放口》(15562.1-1995)、《环境保护图形标志固体废物贮存(处置)场》(15562.2-1995)中有关规定</w:t>
      </w:r>
      <w:r>
        <w:rPr>
          <w:rFonts w:eastAsiaTheme="minorEastAsia"/>
          <w:snapToGrid w:val="0"/>
          <w:color w:val="auto"/>
          <w:szCs w:val="24"/>
        </w:rPr>
        <w:t>。</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8.1.4污染物排放清单及管理要求</w:t>
      </w:r>
    </w:p>
    <w:p>
      <w:pPr>
        <w:ind w:firstLine="480"/>
        <w:rPr>
          <w:rFonts w:eastAsiaTheme="minorEastAsia"/>
          <w:color w:val="auto"/>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r>
        <w:rPr>
          <w:rFonts w:eastAsiaTheme="minorEastAsia"/>
          <w:color w:val="auto"/>
        </w:rPr>
        <w:t>项目污染物排放清单见表8-1-1。</w:t>
      </w:r>
    </w:p>
    <w:p>
      <w:pPr>
        <w:pStyle w:val="244"/>
        <w:rPr>
          <w:rFonts w:eastAsiaTheme="minorEastAsia"/>
          <w:color w:val="auto"/>
        </w:rPr>
      </w:pPr>
      <w:r>
        <w:rPr>
          <w:rFonts w:eastAsiaTheme="minorEastAsia"/>
          <w:color w:val="auto"/>
        </w:rPr>
        <w:t>表8-1-1  污染物排放清单</w:t>
      </w:r>
    </w:p>
    <w:tbl>
      <w:tblPr>
        <w:tblStyle w:val="53"/>
        <w:tblW w:w="14969" w:type="dxa"/>
        <w:tblInd w:w="0" w:type="dxa"/>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680"/>
        <w:gridCol w:w="1379"/>
        <w:gridCol w:w="980"/>
        <w:gridCol w:w="4327"/>
        <w:gridCol w:w="1396"/>
        <w:gridCol w:w="2011"/>
        <w:gridCol w:w="1276"/>
        <w:gridCol w:w="1134"/>
        <w:gridCol w:w="1786"/>
      </w:tblGrid>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blHeader/>
        </w:trPr>
        <w:tc>
          <w:tcPr>
            <w:tcW w:w="680" w:type="dxa"/>
            <w:tcBorders>
              <w:top w:val="single" w:color="000000" w:sz="12" w:space="0"/>
            </w:tcBorders>
            <w:vAlign w:val="center"/>
          </w:tcPr>
          <w:p>
            <w:pPr>
              <w:pStyle w:val="246"/>
              <w:rPr>
                <w:rFonts w:eastAsiaTheme="minorEastAsia"/>
                <w:color w:val="auto"/>
              </w:rPr>
            </w:pPr>
            <w:r>
              <w:rPr>
                <w:rFonts w:eastAsiaTheme="minorEastAsia"/>
                <w:color w:val="auto"/>
              </w:rPr>
              <w:t>类别</w:t>
            </w:r>
          </w:p>
        </w:tc>
        <w:tc>
          <w:tcPr>
            <w:tcW w:w="1379" w:type="dxa"/>
            <w:tcBorders>
              <w:top w:val="single" w:color="000000" w:sz="12" w:space="0"/>
            </w:tcBorders>
            <w:vAlign w:val="center"/>
          </w:tcPr>
          <w:p>
            <w:pPr>
              <w:pStyle w:val="246"/>
              <w:rPr>
                <w:rFonts w:eastAsiaTheme="minorEastAsia"/>
                <w:color w:val="auto"/>
              </w:rPr>
            </w:pPr>
            <w:r>
              <w:rPr>
                <w:rFonts w:eastAsiaTheme="minorEastAsia"/>
                <w:color w:val="auto"/>
              </w:rPr>
              <w:t>污染源名称</w:t>
            </w:r>
          </w:p>
        </w:tc>
        <w:tc>
          <w:tcPr>
            <w:tcW w:w="980" w:type="dxa"/>
            <w:tcBorders>
              <w:top w:val="single" w:color="000000" w:sz="12" w:space="0"/>
            </w:tcBorders>
            <w:vAlign w:val="center"/>
          </w:tcPr>
          <w:p>
            <w:pPr>
              <w:pStyle w:val="246"/>
              <w:rPr>
                <w:rFonts w:eastAsiaTheme="minorEastAsia"/>
                <w:color w:val="auto"/>
              </w:rPr>
            </w:pPr>
            <w:r>
              <w:rPr>
                <w:rFonts w:eastAsiaTheme="minorEastAsia"/>
                <w:color w:val="auto"/>
              </w:rPr>
              <w:t>污染物名称</w:t>
            </w:r>
          </w:p>
        </w:tc>
        <w:tc>
          <w:tcPr>
            <w:tcW w:w="4327" w:type="dxa"/>
            <w:tcBorders>
              <w:top w:val="single" w:color="000000" w:sz="12" w:space="0"/>
            </w:tcBorders>
            <w:vAlign w:val="center"/>
          </w:tcPr>
          <w:p>
            <w:pPr>
              <w:pStyle w:val="246"/>
              <w:rPr>
                <w:rFonts w:eastAsiaTheme="minorEastAsia"/>
                <w:color w:val="auto"/>
              </w:rPr>
            </w:pPr>
            <w:r>
              <w:rPr>
                <w:rFonts w:eastAsiaTheme="minorEastAsia"/>
                <w:color w:val="auto"/>
              </w:rPr>
              <w:t>环境保护措施及主要运行参数</w:t>
            </w:r>
          </w:p>
        </w:tc>
        <w:tc>
          <w:tcPr>
            <w:tcW w:w="1396" w:type="dxa"/>
            <w:tcBorders>
              <w:top w:val="single" w:color="000000" w:sz="12" w:space="0"/>
            </w:tcBorders>
            <w:vAlign w:val="center"/>
          </w:tcPr>
          <w:p>
            <w:pPr>
              <w:pStyle w:val="246"/>
              <w:rPr>
                <w:rFonts w:eastAsiaTheme="minorEastAsia"/>
                <w:color w:val="auto"/>
              </w:rPr>
            </w:pPr>
            <w:r>
              <w:rPr>
                <w:rFonts w:eastAsiaTheme="minorEastAsia"/>
                <w:color w:val="auto"/>
              </w:rPr>
              <w:t>排污口信息</w:t>
            </w:r>
          </w:p>
        </w:tc>
        <w:tc>
          <w:tcPr>
            <w:tcW w:w="2011" w:type="dxa"/>
            <w:tcBorders>
              <w:top w:val="single" w:color="000000" w:sz="12" w:space="0"/>
            </w:tcBorders>
            <w:vAlign w:val="center"/>
          </w:tcPr>
          <w:p>
            <w:pPr>
              <w:pStyle w:val="246"/>
              <w:rPr>
                <w:rFonts w:eastAsiaTheme="minorEastAsia"/>
                <w:color w:val="auto"/>
              </w:rPr>
            </w:pPr>
            <w:r>
              <w:rPr>
                <w:rFonts w:eastAsiaTheme="minorEastAsia"/>
                <w:color w:val="auto"/>
              </w:rPr>
              <w:t>执行的环境标准</w:t>
            </w:r>
          </w:p>
        </w:tc>
        <w:tc>
          <w:tcPr>
            <w:tcW w:w="1276" w:type="dxa"/>
            <w:tcBorders>
              <w:top w:val="single" w:color="000000" w:sz="12" w:space="0"/>
            </w:tcBorders>
            <w:vAlign w:val="center"/>
          </w:tcPr>
          <w:p>
            <w:pPr>
              <w:pStyle w:val="246"/>
              <w:rPr>
                <w:rFonts w:eastAsiaTheme="minorEastAsia"/>
                <w:color w:val="auto"/>
              </w:rPr>
            </w:pPr>
            <w:r>
              <w:rPr>
                <w:rFonts w:eastAsiaTheme="minorEastAsia"/>
                <w:color w:val="auto"/>
              </w:rPr>
              <w:t>排放浓度</w:t>
            </w:r>
          </w:p>
        </w:tc>
        <w:tc>
          <w:tcPr>
            <w:tcW w:w="1134" w:type="dxa"/>
            <w:tcBorders>
              <w:top w:val="single" w:color="000000" w:sz="12" w:space="0"/>
            </w:tcBorders>
            <w:vAlign w:val="center"/>
          </w:tcPr>
          <w:p>
            <w:pPr>
              <w:pStyle w:val="246"/>
              <w:rPr>
                <w:rFonts w:eastAsiaTheme="minorEastAsia"/>
                <w:color w:val="auto"/>
              </w:rPr>
            </w:pPr>
            <w:r>
              <w:rPr>
                <w:rFonts w:eastAsiaTheme="minorEastAsia"/>
                <w:color w:val="auto"/>
              </w:rPr>
              <w:t>总量</w:t>
            </w:r>
          </w:p>
          <w:p>
            <w:pPr>
              <w:pStyle w:val="246"/>
              <w:rPr>
                <w:rFonts w:eastAsiaTheme="minorEastAsia"/>
                <w:color w:val="auto"/>
              </w:rPr>
            </w:pPr>
            <w:r>
              <w:rPr>
                <w:rFonts w:eastAsiaTheme="minorEastAsia"/>
                <w:color w:val="auto"/>
              </w:rPr>
              <w:t>指标</w:t>
            </w:r>
          </w:p>
        </w:tc>
        <w:tc>
          <w:tcPr>
            <w:tcW w:w="1786" w:type="dxa"/>
            <w:tcBorders>
              <w:top w:val="single" w:color="000000" w:sz="12" w:space="0"/>
            </w:tcBorders>
          </w:tcPr>
          <w:p>
            <w:pPr>
              <w:pStyle w:val="246"/>
              <w:rPr>
                <w:rFonts w:eastAsiaTheme="minorEastAsia"/>
                <w:color w:val="auto"/>
              </w:rPr>
            </w:pPr>
            <w:r>
              <w:rPr>
                <w:rFonts w:eastAsiaTheme="minorEastAsia"/>
                <w:color w:val="auto"/>
              </w:rPr>
              <w:t>排放口信息</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680" w:type="dxa"/>
            <w:vMerge w:val="restart"/>
            <w:vAlign w:val="center"/>
          </w:tcPr>
          <w:p>
            <w:pPr>
              <w:pStyle w:val="246"/>
              <w:rPr>
                <w:rFonts w:eastAsiaTheme="minorEastAsia"/>
                <w:color w:val="auto"/>
              </w:rPr>
            </w:pPr>
            <w:r>
              <w:rPr>
                <w:rFonts w:eastAsiaTheme="minorEastAsia"/>
                <w:color w:val="auto"/>
              </w:rPr>
              <w:t>废气</w:t>
            </w:r>
          </w:p>
        </w:tc>
        <w:tc>
          <w:tcPr>
            <w:tcW w:w="1379" w:type="dxa"/>
            <w:vAlign w:val="center"/>
          </w:tcPr>
          <w:p>
            <w:pPr>
              <w:pStyle w:val="246"/>
              <w:rPr>
                <w:rFonts w:eastAsiaTheme="minorEastAsia"/>
                <w:color w:val="auto"/>
              </w:rPr>
            </w:pPr>
            <w:r>
              <w:rPr>
                <w:rFonts w:eastAsiaTheme="minorEastAsia"/>
                <w:color w:val="auto"/>
              </w:rPr>
              <w:t>钻孔</w:t>
            </w:r>
          </w:p>
        </w:tc>
        <w:tc>
          <w:tcPr>
            <w:tcW w:w="980" w:type="dxa"/>
            <w:vAlign w:val="center"/>
          </w:tcPr>
          <w:p>
            <w:pPr>
              <w:pStyle w:val="246"/>
              <w:rPr>
                <w:rFonts w:eastAsiaTheme="minorEastAsia"/>
                <w:color w:val="auto"/>
              </w:rPr>
            </w:pPr>
            <w:r>
              <w:rPr>
                <w:rFonts w:eastAsiaTheme="minorEastAsia"/>
                <w:color w:val="auto"/>
              </w:rPr>
              <w:t>粉尘</w:t>
            </w:r>
          </w:p>
        </w:tc>
        <w:tc>
          <w:tcPr>
            <w:tcW w:w="4327" w:type="dxa"/>
            <w:vMerge w:val="restart"/>
            <w:vAlign w:val="center"/>
          </w:tcPr>
          <w:p>
            <w:pPr>
              <w:pStyle w:val="246"/>
              <w:rPr>
                <w:rFonts w:eastAsiaTheme="minorEastAsia"/>
                <w:color w:val="auto"/>
              </w:rPr>
            </w:pPr>
            <w:r>
              <w:rPr>
                <w:rFonts w:eastAsiaTheme="minorEastAsia"/>
                <w:color w:val="auto"/>
              </w:rPr>
              <w:t>中</w:t>
            </w:r>
            <w:r>
              <w:rPr>
                <w:rFonts w:eastAsiaTheme="minorEastAsia"/>
                <w:color w:val="auto"/>
                <w:kern w:val="1"/>
                <w:szCs w:val="24"/>
              </w:rPr>
              <w:t>深孔松动爆破及水封爆破抑尘措施，可使粉尘排放量降低90%，爆破后通过洒水加湿处理，可使粉尘排放量降低80%。</w:t>
            </w:r>
          </w:p>
        </w:tc>
        <w:tc>
          <w:tcPr>
            <w:tcW w:w="1396" w:type="dxa"/>
            <w:vAlign w:val="center"/>
          </w:tcPr>
          <w:p>
            <w:pPr>
              <w:pStyle w:val="246"/>
              <w:rPr>
                <w:rFonts w:eastAsiaTheme="minorEastAsia"/>
                <w:color w:val="auto"/>
              </w:rPr>
            </w:pPr>
            <w:r>
              <w:rPr>
                <w:rFonts w:eastAsiaTheme="minorEastAsia"/>
                <w:color w:val="auto"/>
              </w:rPr>
              <w:t>无组织排放</w:t>
            </w:r>
          </w:p>
        </w:tc>
        <w:tc>
          <w:tcPr>
            <w:tcW w:w="2011" w:type="dxa"/>
            <w:vMerge w:val="restart"/>
            <w:vAlign w:val="center"/>
          </w:tcPr>
          <w:p>
            <w:pPr>
              <w:pStyle w:val="246"/>
              <w:rPr>
                <w:rFonts w:eastAsiaTheme="minorEastAsia"/>
                <w:color w:val="auto"/>
              </w:rPr>
            </w:pPr>
            <w:r>
              <w:rPr>
                <w:rFonts w:eastAsiaTheme="minorEastAsia"/>
                <w:color w:val="auto"/>
              </w:rPr>
              <w:t>《大气污染物综合排放标准》（GB16297-1996）中的无组织排放监控浓度限值要求1.0mg/m</w:t>
            </w:r>
            <w:r>
              <w:rPr>
                <w:rFonts w:eastAsiaTheme="minorEastAsia"/>
                <w:color w:val="auto"/>
                <w:vertAlign w:val="superscript"/>
              </w:rPr>
              <w:t>3</w:t>
            </w:r>
          </w:p>
          <w:p>
            <w:pPr>
              <w:pStyle w:val="246"/>
              <w:rPr>
                <w:rFonts w:eastAsiaTheme="minorEastAsia"/>
                <w:color w:val="auto"/>
              </w:rPr>
            </w:pPr>
          </w:p>
        </w:tc>
        <w:tc>
          <w:tcPr>
            <w:tcW w:w="1276" w:type="dxa"/>
            <w:vMerge w:val="restart"/>
            <w:vAlign w:val="center"/>
          </w:tcPr>
          <w:p>
            <w:pPr>
              <w:pStyle w:val="246"/>
              <w:rPr>
                <w:rFonts w:hint="eastAsia" w:eastAsiaTheme="minorEastAsia"/>
                <w:color w:val="auto"/>
                <w:lang w:eastAsia="zh-CN"/>
              </w:rPr>
            </w:pPr>
            <w:r>
              <w:rPr>
                <w:rFonts w:hint="eastAsia" w:eastAsiaTheme="minorEastAsia"/>
                <w:color w:val="auto"/>
                <w:lang w:eastAsia="zh-CN"/>
              </w:rPr>
              <w:t>＜</w:t>
            </w:r>
            <w:r>
              <w:rPr>
                <w:rFonts w:eastAsiaTheme="minorEastAsia"/>
                <w:color w:val="auto"/>
              </w:rPr>
              <w:t>1.0mg/m</w:t>
            </w:r>
            <w:r>
              <w:rPr>
                <w:rFonts w:eastAsiaTheme="minorEastAsia"/>
                <w:color w:val="auto"/>
                <w:vertAlign w:val="superscript"/>
              </w:rPr>
              <w:t>3</w:t>
            </w:r>
          </w:p>
        </w:tc>
        <w:tc>
          <w:tcPr>
            <w:tcW w:w="1134" w:type="dxa"/>
            <w:vMerge w:val="restart"/>
            <w:vAlign w:val="center"/>
          </w:tcPr>
          <w:p>
            <w:pPr>
              <w:pStyle w:val="246"/>
              <w:rPr>
                <w:rFonts w:eastAsiaTheme="minorEastAsia"/>
                <w:color w:val="auto"/>
              </w:rPr>
            </w:pPr>
            <w:r>
              <w:rPr>
                <w:rFonts w:hint="eastAsia" w:eastAsiaTheme="minorEastAsia"/>
                <w:color w:val="auto"/>
                <w:lang w:val="en-US" w:eastAsia="zh-CN"/>
              </w:rPr>
              <w:t>0.60</w:t>
            </w:r>
            <w:r>
              <w:rPr>
                <w:rFonts w:eastAsiaTheme="minorEastAsia"/>
                <w:color w:val="auto"/>
              </w:rPr>
              <w:t>t/a</w:t>
            </w:r>
          </w:p>
        </w:tc>
        <w:tc>
          <w:tcPr>
            <w:tcW w:w="1786" w:type="dxa"/>
          </w:tcPr>
          <w:p>
            <w:pPr>
              <w:jc w:val="center"/>
              <w:rPr>
                <w:rFonts w:eastAsiaTheme="minorEastAsia"/>
                <w:color w:val="auto"/>
              </w:rPr>
            </w:pPr>
            <w:r>
              <w:rPr>
                <w:rFonts w:eastAsiaTheme="minorEastAsia"/>
                <w:color w:val="auto"/>
              </w:rPr>
              <w:t>/</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680" w:type="dxa"/>
            <w:vMerge w:val="continue"/>
            <w:vAlign w:val="center"/>
          </w:tcPr>
          <w:p>
            <w:pPr>
              <w:pStyle w:val="246"/>
              <w:rPr>
                <w:rFonts w:eastAsiaTheme="minorEastAsia"/>
                <w:color w:val="auto"/>
              </w:rPr>
            </w:pPr>
          </w:p>
        </w:tc>
        <w:tc>
          <w:tcPr>
            <w:tcW w:w="1379" w:type="dxa"/>
            <w:vAlign w:val="center"/>
          </w:tcPr>
          <w:p>
            <w:pPr>
              <w:pStyle w:val="246"/>
              <w:rPr>
                <w:rFonts w:eastAsiaTheme="minorEastAsia"/>
                <w:color w:val="auto"/>
              </w:rPr>
            </w:pPr>
            <w:r>
              <w:rPr>
                <w:rFonts w:eastAsiaTheme="minorEastAsia"/>
                <w:color w:val="auto"/>
              </w:rPr>
              <w:t>爆破</w:t>
            </w:r>
          </w:p>
        </w:tc>
        <w:tc>
          <w:tcPr>
            <w:tcW w:w="980" w:type="dxa"/>
            <w:vAlign w:val="center"/>
          </w:tcPr>
          <w:p>
            <w:pPr>
              <w:pStyle w:val="246"/>
              <w:rPr>
                <w:rFonts w:eastAsiaTheme="minorEastAsia"/>
                <w:color w:val="auto"/>
              </w:rPr>
            </w:pPr>
            <w:r>
              <w:rPr>
                <w:rFonts w:eastAsiaTheme="minorEastAsia"/>
                <w:color w:val="auto"/>
              </w:rPr>
              <w:t>粉尘</w:t>
            </w:r>
          </w:p>
        </w:tc>
        <w:tc>
          <w:tcPr>
            <w:tcW w:w="4327" w:type="dxa"/>
            <w:vMerge w:val="continue"/>
            <w:vAlign w:val="center"/>
          </w:tcPr>
          <w:p>
            <w:pPr>
              <w:pStyle w:val="246"/>
              <w:rPr>
                <w:rFonts w:eastAsiaTheme="minorEastAsia"/>
                <w:color w:val="auto"/>
              </w:rPr>
            </w:pPr>
          </w:p>
        </w:tc>
        <w:tc>
          <w:tcPr>
            <w:tcW w:w="1396" w:type="dxa"/>
            <w:vAlign w:val="center"/>
          </w:tcPr>
          <w:p>
            <w:pPr>
              <w:pStyle w:val="246"/>
              <w:rPr>
                <w:rFonts w:eastAsiaTheme="minorEastAsia"/>
                <w:color w:val="auto"/>
              </w:rPr>
            </w:pPr>
            <w:r>
              <w:rPr>
                <w:rFonts w:eastAsiaTheme="minorEastAsia"/>
                <w:color w:val="auto"/>
              </w:rPr>
              <w:t>无组织排放</w:t>
            </w:r>
          </w:p>
        </w:tc>
        <w:tc>
          <w:tcPr>
            <w:tcW w:w="2011" w:type="dxa"/>
            <w:vMerge w:val="continue"/>
            <w:vAlign w:val="center"/>
          </w:tcPr>
          <w:p>
            <w:pPr>
              <w:pStyle w:val="246"/>
              <w:rPr>
                <w:rFonts w:eastAsiaTheme="minorEastAsia"/>
                <w:color w:val="auto"/>
              </w:rPr>
            </w:pPr>
          </w:p>
        </w:tc>
        <w:tc>
          <w:tcPr>
            <w:tcW w:w="1276" w:type="dxa"/>
            <w:vMerge w:val="continue"/>
            <w:vAlign w:val="center"/>
          </w:tcPr>
          <w:p>
            <w:pPr>
              <w:pStyle w:val="246"/>
              <w:rPr>
                <w:rFonts w:eastAsiaTheme="minorEastAsia"/>
                <w:color w:val="auto"/>
              </w:rPr>
            </w:pPr>
          </w:p>
        </w:tc>
        <w:tc>
          <w:tcPr>
            <w:tcW w:w="1134" w:type="dxa"/>
            <w:vMerge w:val="continue"/>
            <w:vAlign w:val="center"/>
          </w:tcPr>
          <w:p>
            <w:pPr>
              <w:pStyle w:val="246"/>
              <w:rPr>
                <w:rFonts w:eastAsiaTheme="minorEastAsia"/>
                <w:color w:val="auto"/>
              </w:rPr>
            </w:pPr>
          </w:p>
        </w:tc>
        <w:tc>
          <w:tcPr>
            <w:tcW w:w="1786" w:type="dxa"/>
          </w:tcPr>
          <w:p>
            <w:pPr>
              <w:jc w:val="center"/>
              <w:rPr>
                <w:rFonts w:eastAsiaTheme="minorEastAsia"/>
                <w:color w:val="auto"/>
              </w:rPr>
            </w:pPr>
            <w:r>
              <w:rPr>
                <w:rFonts w:eastAsiaTheme="minorEastAsia"/>
                <w:color w:val="auto"/>
              </w:rPr>
              <w:t>/</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680" w:type="dxa"/>
            <w:vMerge w:val="continue"/>
            <w:vAlign w:val="center"/>
          </w:tcPr>
          <w:p>
            <w:pPr>
              <w:pStyle w:val="246"/>
              <w:rPr>
                <w:rFonts w:eastAsiaTheme="minorEastAsia"/>
                <w:color w:val="auto"/>
              </w:rPr>
            </w:pPr>
          </w:p>
        </w:tc>
        <w:tc>
          <w:tcPr>
            <w:tcW w:w="1379" w:type="dxa"/>
            <w:vAlign w:val="center"/>
          </w:tcPr>
          <w:p>
            <w:pPr>
              <w:pStyle w:val="246"/>
              <w:rPr>
                <w:rFonts w:eastAsiaTheme="minorEastAsia"/>
                <w:color w:val="auto"/>
              </w:rPr>
            </w:pPr>
            <w:r>
              <w:rPr>
                <w:rFonts w:eastAsiaTheme="minorEastAsia"/>
                <w:color w:val="auto"/>
              </w:rPr>
              <w:t>集堆、铲装</w:t>
            </w:r>
          </w:p>
        </w:tc>
        <w:tc>
          <w:tcPr>
            <w:tcW w:w="980" w:type="dxa"/>
            <w:vAlign w:val="center"/>
          </w:tcPr>
          <w:p>
            <w:pPr>
              <w:pStyle w:val="246"/>
              <w:rPr>
                <w:rFonts w:eastAsiaTheme="minorEastAsia"/>
                <w:color w:val="auto"/>
              </w:rPr>
            </w:pPr>
            <w:r>
              <w:rPr>
                <w:rFonts w:eastAsiaTheme="minorEastAsia"/>
                <w:color w:val="auto"/>
              </w:rPr>
              <w:t>粉尘</w:t>
            </w:r>
          </w:p>
        </w:tc>
        <w:tc>
          <w:tcPr>
            <w:tcW w:w="4327" w:type="dxa"/>
            <w:vAlign w:val="center"/>
          </w:tcPr>
          <w:p>
            <w:pPr>
              <w:pStyle w:val="246"/>
              <w:rPr>
                <w:rFonts w:eastAsiaTheme="minorEastAsia"/>
                <w:color w:val="auto"/>
              </w:rPr>
            </w:pPr>
            <w:r>
              <w:rPr>
                <w:rFonts w:eastAsiaTheme="minorEastAsia"/>
                <w:color w:val="auto"/>
                <w:kern w:val="1"/>
                <w:szCs w:val="24"/>
              </w:rPr>
              <w:t>移动式洒水抑尘装置，粉尘排放量降低80%。</w:t>
            </w:r>
          </w:p>
        </w:tc>
        <w:tc>
          <w:tcPr>
            <w:tcW w:w="1396" w:type="dxa"/>
            <w:vAlign w:val="center"/>
          </w:tcPr>
          <w:p>
            <w:pPr>
              <w:pStyle w:val="246"/>
              <w:rPr>
                <w:rFonts w:eastAsiaTheme="minorEastAsia"/>
                <w:color w:val="auto"/>
              </w:rPr>
            </w:pPr>
            <w:r>
              <w:rPr>
                <w:rFonts w:eastAsiaTheme="minorEastAsia"/>
                <w:color w:val="auto"/>
              </w:rPr>
              <w:t>无组织排放</w:t>
            </w:r>
          </w:p>
        </w:tc>
        <w:tc>
          <w:tcPr>
            <w:tcW w:w="2011" w:type="dxa"/>
            <w:vMerge w:val="continue"/>
            <w:vAlign w:val="center"/>
          </w:tcPr>
          <w:p>
            <w:pPr>
              <w:pStyle w:val="246"/>
              <w:rPr>
                <w:rFonts w:eastAsiaTheme="minorEastAsia"/>
                <w:color w:val="auto"/>
              </w:rPr>
            </w:pPr>
          </w:p>
        </w:tc>
        <w:tc>
          <w:tcPr>
            <w:tcW w:w="1276" w:type="dxa"/>
            <w:vMerge w:val="continue"/>
            <w:vAlign w:val="center"/>
          </w:tcPr>
          <w:p>
            <w:pPr>
              <w:pStyle w:val="246"/>
              <w:rPr>
                <w:rFonts w:eastAsiaTheme="minorEastAsia"/>
                <w:color w:val="auto"/>
              </w:rPr>
            </w:pPr>
          </w:p>
        </w:tc>
        <w:tc>
          <w:tcPr>
            <w:tcW w:w="1134" w:type="dxa"/>
            <w:vMerge w:val="continue"/>
            <w:vAlign w:val="center"/>
          </w:tcPr>
          <w:p>
            <w:pPr>
              <w:pStyle w:val="246"/>
              <w:rPr>
                <w:rFonts w:eastAsiaTheme="minorEastAsia"/>
                <w:color w:val="auto"/>
              </w:rPr>
            </w:pPr>
          </w:p>
        </w:tc>
        <w:tc>
          <w:tcPr>
            <w:tcW w:w="1786" w:type="dxa"/>
          </w:tcPr>
          <w:p>
            <w:pPr>
              <w:jc w:val="center"/>
              <w:rPr>
                <w:rFonts w:eastAsiaTheme="minorEastAsia"/>
                <w:color w:val="auto"/>
              </w:rPr>
            </w:pPr>
            <w:r>
              <w:rPr>
                <w:rFonts w:eastAsiaTheme="minorEastAsia"/>
                <w:color w:val="auto"/>
              </w:rPr>
              <w:t>/</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680" w:type="dxa"/>
            <w:vMerge w:val="continue"/>
            <w:vAlign w:val="center"/>
          </w:tcPr>
          <w:p>
            <w:pPr>
              <w:pStyle w:val="246"/>
              <w:rPr>
                <w:rFonts w:eastAsiaTheme="minorEastAsia"/>
                <w:color w:val="auto"/>
              </w:rPr>
            </w:pPr>
          </w:p>
        </w:tc>
        <w:tc>
          <w:tcPr>
            <w:tcW w:w="1379" w:type="dxa"/>
            <w:vAlign w:val="center"/>
          </w:tcPr>
          <w:p>
            <w:pPr>
              <w:pStyle w:val="246"/>
              <w:rPr>
                <w:rFonts w:eastAsiaTheme="minorEastAsia"/>
                <w:color w:val="auto"/>
              </w:rPr>
            </w:pPr>
            <w:r>
              <w:rPr>
                <w:rFonts w:eastAsiaTheme="minorEastAsia"/>
                <w:color w:val="auto"/>
              </w:rPr>
              <w:t>道路运输</w:t>
            </w:r>
          </w:p>
        </w:tc>
        <w:tc>
          <w:tcPr>
            <w:tcW w:w="980" w:type="dxa"/>
            <w:vAlign w:val="center"/>
          </w:tcPr>
          <w:p>
            <w:pPr>
              <w:pStyle w:val="246"/>
              <w:rPr>
                <w:rFonts w:eastAsiaTheme="minorEastAsia"/>
                <w:color w:val="auto"/>
              </w:rPr>
            </w:pPr>
            <w:r>
              <w:rPr>
                <w:rFonts w:eastAsiaTheme="minorEastAsia"/>
                <w:color w:val="auto"/>
              </w:rPr>
              <w:t>粉尘</w:t>
            </w:r>
          </w:p>
        </w:tc>
        <w:tc>
          <w:tcPr>
            <w:tcW w:w="4327" w:type="dxa"/>
            <w:vAlign w:val="center"/>
          </w:tcPr>
          <w:p>
            <w:pPr>
              <w:pStyle w:val="246"/>
              <w:rPr>
                <w:rFonts w:eastAsiaTheme="minorEastAsia"/>
                <w:color w:val="auto"/>
              </w:rPr>
            </w:pPr>
            <w:r>
              <w:rPr>
                <w:rFonts w:eastAsiaTheme="minorEastAsia"/>
                <w:color w:val="auto"/>
                <w:kern w:val="1"/>
                <w:szCs w:val="24"/>
              </w:rPr>
              <w:t>洒水、控制行驶速度、加盖苫布</w:t>
            </w:r>
          </w:p>
        </w:tc>
        <w:tc>
          <w:tcPr>
            <w:tcW w:w="1396" w:type="dxa"/>
            <w:vAlign w:val="center"/>
          </w:tcPr>
          <w:p>
            <w:pPr>
              <w:pStyle w:val="246"/>
              <w:rPr>
                <w:rFonts w:eastAsiaTheme="minorEastAsia"/>
                <w:color w:val="auto"/>
              </w:rPr>
            </w:pPr>
            <w:r>
              <w:rPr>
                <w:rFonts w:eastAsiaTheme="minorEastAsia"/>
                <w:color w:val="auto"/>
              </w:rPr>
              <w:t>无组织排放</w:t>
            </w:r>
          </w:p>
        </w:tc>
        <w:tc>
          <w:tcPr>
            <w:tcW w:w="2011" w:type="dxa"/>
            <w:vMerge w:val="continue"/>
            <w:vAlign w:val="center"/>
          </w:tcPr>
          <w:p>
            <w:pPr>
              <w:pStyle w:val="246"/>
              <w:rPr>
                <w:rFonts w:eastAsiaTheme="minorEastAsia"/>
                <w:color w:val="auto"/>
              </w:rPr>
            </w:pPr>
          </w:p>
        </w:tc>
        <w:tc>
          <w:tcPr>
            <w:tcW w:w="1276" w:type="dxa"/>
            <w:vMerge w:val="continue"/>
            <w:vAlign w:val="center"/>
          </w:tcPr>
          <w:p>
            <w:pPr>
              <w:pStyle w:val="246"/>
              <w:rPr>
                <w:rFonts w:eastAsiaTheme="minorEastAsia"/>
                <w:color w:val="auto"/>
              </w:rPr>
            </w:pPr>
          </w:p>
        </w:tc>
        <w:tc>
          <w:tcPr>
            <w:tcW w:w="1134" w:type="dxa"/>
            <w:vMerge w:val="continue"/>
            <w:vAlign w:val="center"/>
          </w:tcPr>
          <w:p>
            <w:pPr>
              <w:pStyle w:val="246"/>
              <w:rPr>
                <w:rFonts w:eastAsiaTheme="minorEastAsia"/>
                <w:color w:val="auto"/>
              </w:rPr>
            </w:pPr>
          </w:p>
        </w:tc>
        <w:tc>
          <w:tcPr>
            <w:tcW w:w="1786" w:type="dxa"/>
          </w:tcPr>
          <w:p>
            <w:pPr>
              <w:jc w:val="center"/>
              <w:rPr>
                <w:rFonts w:eastAsiaTheme="minorEastAsia"/>
                <w:color w:val="auto"/>
              </w:rPr>
            </w:pPr>
            <w:r>
              <w:rPr>
                <w:rFonts w:eastAsiaTheme="minorEastAsia"/>
                <w:color w:val="auto"/>
              </w:rPr>
              <w:t>/</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680" w:type="dxa"/>
            <w:vMerge w:val="continue"/>
            <w:vAlign w:val="center"/>
          </w:tcPr>
          <w:p>
            <w:pPr>
              <w:pStyle w:val="246"/>
              <w:rPr>
                <w:rFonts w:eastAsiaTheme="minorEastAsia"/>
                <w:color w:val="auto"/>
              </w:rPr>
            </w:pPr>
          </w:p>
        </w:tc>
        <w:tc>
          <w:tcPr>
            <w:tcW w:w="1379" w:type="dxa"/>
            <w:vAlign w:val="center"/>
          </w:tcPr>
          <w:p>
            <w:pPr>
              <w:pStyle w:val="246"/>
              <w:rPr>
                <w:rFonts w:eastAsiaTheme="minorEastAsia"/>
                <w:color w:val="auto"/>
              </w:rPr>
            </w:pPr>
            <w:r>
              <w:rPr>
                <w:rFonts w:eastAsiaTheme="minorEastAsia"/>
                <w:color w:val="auto"/>
              </w:rPr>
              <w:t>成品料场、原矿堆场</w:t>
            </w:r>
          </w:p>
        </w:tc>
        <w:tc>
          <w:tcPr>
            <w:tcW w:w="980" w:type="dxa"/>
            <w:vAlign w:val="center"/>
          </w:tcPr>
          <w:p>
            <w:pPr>
              <w:pStyle w:val="246"/>
              <w:rPr>
                <w:rFonts w:eastAsiaTheme="minorEastAsia"/>
                <w:color w:val="auto"/>
              </w:rPr>
            </w:pPr>
            <w:r>
              <w:rPr>
                <w:rFonts w:eastAsiaTheme="minorEastAsia"/>
                <w:color w:val="auto"/>
              </w:rPr>
              <w:t>粉尘</w:t>
            </w:r>
          </w:p>
        </w:tc>
        <w:tc>
          <w:tcPr>
            <w:tcW w:w="4327" w:type="dxa"/>
            <w:vAlign w:val="center"/>
          </w:tcPr>
          <w:p>
            <w:pPr>
              <w:pStyle w:val="246"/>
              <w:rPr>
                <w:rFonts w:eastAsiaTheme="minorEastAsia"/>
                <w:color w:val="auto"/>
                <w:kern w:val="1"/>
                <w:szCs w:val="24"/>
              </w:rPr>
            </w:pPr>
            <w:r>
              <w:rPr>
                <w:rFonts w:eastAsiaTheme="minorEastAsia"/>
                <w:color w:val="auto"/>
                <w:kern w:val="1"/>
                <w:szCs w:val="24"/>
              </w:rPr>
              <w:t>洒水降尘</w:t>
            </w:r>
          </w:p>
        </w:tc>
        <w:tc>
          <w:tcPr>
            <w:tcW w:w="1396" w:type="dxa"/>
            <w:vAlign w:val="center"/>
          </w:tcPr>
          <w:p>
            <w:pPr>
              <w:pStyle w:val="246"/>
              <w:rPr>
                <w:rFonts w:eastAsiaTheme="minorEastAsia"/>
                <w:color w:val="auto"/>
              </w:rPr>
            </w:pPr>
            <w:r>
              <w:rPr>
                <w:rFonts w:eastAsiaTheme="minorEastAsia"/>
                <w:color w:val="auto"/>
              </w:rPr>
              <w:t>无组织排放</w:t>
            </w:r>
          </w:p>
        </w:tc>
        <w:tc>
          <w:tcPr>
            <w:tcW w:w="2011" w:type="dxa"/>
            <w:vMerge w:val="continue"/>
            <w:vAlign w:val="center"/>
          </w:tcPr>
          <w:p>
            <w:pPr>
              <w:pStyle w:val="246"/>
              <w:rPr>
                <w:rFonts w:eastAsiaTheme="minorEastAsia"/>
                <w:color w:val="auto"/>
              </w:rPr>
            </w:pPr>
          </w:p>
        </w:tc>
        <w:tc>
          <w:tcPr>
            <w:tcW w:w="1276" w:type="dxa"/>
            <w:vMerge w:val="continue"/>
            <w:vAlign w:val="center"/>
          </w:tcPr>
          <w:p>
            <w:pPr>
              <w:pStyle w:val="246"/>
              <w:rPr>
                <w:rFonts w:eastAsiaTheme="minorEastAsia"/>
                <w:color w:val="auto"/>
              </w:rPr>
            </w:pPr>
          </w:p>
        </w:tc>
        <w:tc>
          <w:tcPr>
            <w:tcW w:w="1134" w:type="dxa"/>
            <w:vMerge w:val="continue"/>
            <w:vAlign w:val="center"/>
          </w:tcPr>
          <w:p>
            <w:pPr>
              <w:pStyle w:val="246"/>
              <w:rPr>
                <w:rFonts w:eastAsiaTheme="minorEastAsia"/>
                <w:color w:val="auto"/>
              </w:rPr>
            </w:pPr>
          </w:p>
        </w:tc>
        <w:tc>
          <w:tcPr>
            <w:tcW w:w="1786" w:type="dxa"/>
          </w:tcPr>
          <w:p>
            <w:pPr>
              <w:jc w:val="center"/>
              <w:rPr>
                <w:rFonts w:eastAsiaTheme="minorEastAsia"/>
                <w:color w:val="auto"/>
              </w:rPr>
            </w:pPr>
            <w:r>
              <w:rPr>
                <w:rFonts w:eastAsiaTheme="minorEastAsia"/>
                <w:color w:val="auto"/>
              </w:rPr>
              <w:t>/</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680" w:type="dxa"/>
            <w:vMerge w:val="continue"/>
            <w:vAlign w:val="center"/>
          </w:tcPr>
          <w:p>
            <w:pPr>
              <w:pStyle w:val="246"/>
              <w:rPr>
                <w:rFonts w:eastAsiaTheme="minorEastAsia"/>
                <w:color w:val="auto"/>
              </w:rPr>
            </w:pPr>
          </w:p>
        </w:tc>
        <w:tc>
          <w:tcPr>
            <w:tcW w:w="1379" w:type="dxa"/>
            <w:vMerge w:val="restart"/>
            <w:vAlign w:val="center"/>
          </w:tcPr>
          <w:p>
            <w:pPr>
              <w:pStyle w:val="246"/>
              <w:rPr>
                <w:rFonts w:eastAsiaTheme="minorEastAsia"/>
                <w:color w:val="auto"/>
              </w:rPr>
            </w:pPr>
            <w:r>
              <w:rPr>
                <w:rFonts w:eastAsiaTheme="minorEastAsia"/>
                <w:color w:val="auto"/>
              </w:rPr>
              <w:t>临时堆土场</w:t>
            </w:r>
          </w:p>
        </w:tc>
        <w:tc>
          <w:tcPr>
            <w:tcW w:w="980" w:type="dxa"/>
            <w:vMerge w:val="restart"/>
            <w:vAlign w:val="center"/>
          </w:tcPr>
          <w:p>
            <w:pPr>
              <w:pStyle w:val="246"/>
              <w:rPr>
                <w:rFonts w:eastAsiaTheme="minorEastAsia"/>
                <w:color w:val="auto"/>
              </w:rPr>
            </w:pPr>
            <w:r>
              <w:rPr>
                <w:rFonts w:eastAsiaTheme="minorEastAsia"/>
                <w:color w:val="auto"/>
              </w:rPr>
              <w:t>粉尘</w:t>
            </w:r>
          </w:p>
        </w:tc>
        <w:tc>
          <w:tcPr>
            <w:tcW w:w="4327" w:type="dxa"/>
            <w:vMerge w:val="restart"/>
            <w:vAlign w:val="center"/>
          </w:tcPr>
          <w:p>
            <w:pPr>
              <w:pStyle w:val="246"/>
              <w:jc w:val="center"/>
              <w:rPr>
                <w:rFonts w:eastAsiaTheme="minorEastAsia"/>
                <w:color w:val="auto"/>
              </w:rPr>
            </w:pPr>
            <w:r>
              <w:rPr>
                <w:rFonts w:eastAsiaTheme="minorEastAsia"/>
                <w:color w:val="auto"/>
                <w:kern w:val="1"/>
                <w:szCs w:val="24"/>
              </w:rPr>
              <w:t>播撒草籽等措施，植草绿化，洒水降尘，可有效降低90%的扬尘</w:t>
            </w:r>
          </w:p>
        </w:tc>
        <w:tc>
          <w:tcPr>
            <w:tcW w:w="1396" w:type="dxa"/>
            <w:vMerge w:val="restart"/>
            <w:vAlign w:val="center"/>
          </w:tcPr>
          <w:p>
            <w:pPr>
              <w:pStyle w:val="246"/>
              <w:rPr>
                <w:rFonts w:eastAsiaTheme="minorEastAsia"/>
                <w:color w:val="auto"/>
              </w:rPr>
            </w:pPr>
            <w:r>
              <w:rPr>
                <w:rFonts w:eastAsiaTheme="minorEastAsia"/>
                <w:color w:val="auto"/>
              </w:rPr>
              <w:t>无组织排放</w:t>
            </w:r>
          </w:p>
        </w:tc>
        <w:tc>
          <w:tcPr>
            <w:tcW w:w="2011" w:type="dxa"/>
            <w:vMerge w:val="continue"/>
            <w:vAlign w:val="center"/>
          </w:tcPr>
          <w:p>
            <w:pPr>
              <w:pStyle w:val="246"/>
              <w:rPr>
                <w:rFonts w:eastAsiaTheme="minorEastAsia"/>
                <w:color w:val="auto"/>
              </w:rPr>
            </w:pPr>
          </w:p>
        </w:tc>
        <w:tc>
          <w:tcPr>
            <w:tcW w:w="1276" w:type="dxa"/>
            <w:vMerge w:val="continue"/>
            <w:vAlign w:val="center"/>
          </w:tcPr>
          <w:p>
            <w:pPr>
              <w:pStyle w:val="246"/>
              <w:rPr>
                <w:rFonts w:eastAsiaTheme="minorEastAsia"/>
                <w:color w:val="auto"/>
              </w:rPr>
            </w:pPr>
          </w:p>
        </w:tc>
        <w:tc>
          <w:tcPr>
            <w:tcW w:w="1134" w:type="dxa"/>
            <w:vMerge w:val="continue"/>
            <w:vAlign w:val="center"/>
          </w:tcPr>
          <w:p>
            <w:pPr>
              <w:pStyle w:val="246"/>
              <w:rPr>
                <w:rFonts w:eastAsiaTheme="minorEastAsia"/>
                <w:color w:val="auto"/>
              </w:rPr>
            </w:pPr>
          </w:p>
        </w:tc>
        <w:tc>
          <w:tcPr>
            <w:tcW w:w="1786" w:type="dxa"/>
          </w:tcPr>
          <w:p>
            <w:pPr>
              <w:jc w:val="center"/>
              <w:rPr>
                <w:rFonts w:eastAsiaTheme="minorEastAsia"/>
                <w:color w:val="auto"/>
              </w:rPr>
            </w:pPr>
            <w:r>
              <w:rPr>
                <w:rFonts w:eastAsiaTheme="minorEastAsia"/>
                <w:color w:val="auto"/>
              </w:rPr>
              <w:t>/</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25" w:hRule="atLeast"/>
        </w:trPr>
        <w:tc>
          <w:tcPr>
            <w:tcW w:w="680" w:type="dxa"/>
            <w:vMerge w:val="continue"/>
            <w:vAlign w:val="center"/>
          </w:tcPr>
          <w:p>
            <w:pPr>
              <w:pStyle w:val="246"/>
              <w:rPr>
                <w:rFonts w:eastAsiaTheme="minorEastAsia"/>
                <w:color w:val="auto"/>
              </w:rPr>
            </w:pPr>
          </w:p>
        </w:tc>
        <w:tc>
          <w:tcPr>
            <w:tcW w:w="1379" w:type="dxa"/>
            <w:vMerge w:val="continue"/>
            <w:vAlign w:val="center"/>
          </w:tcPr>
          <w:p>
            <w:pPr>
              <w:pStyle w:val="246"/>
              <w:rPr>
                <w:rFonts w:eastAsiaTheme="minorEastAsia"/>
                <w:color w:val="auto"/>
              </w:rPr>
            </w:pPr>
          </w:p>
        </w:tc>
        <w:tc>
          <w:tcPr>
            <w:tcW w:w="980" w:type="dxa"/>
            <w:vMerge w:val="continue"/>
            <w:vAlign w:val="center"/>
          </w:tcPr>
          <w:p>
            <w:pPr>
              <w:pStyle w:val="246"/>
              <w:rPr>
                <w:rFonts w:eastAsiaTheme="minorEastAsia"/>
                <w:color w:val="auto"/>
              </w:rPr>
            </w:pPr>
          </w:p>
        </w:tc>
        <w:tc>
          <w:tcPr>
            <w:tcW w:w="4327" w:type="dxa"/>
            <w:vMerge w:val="continue"/>
            <w:vAlign w:val="center"/>
          </w:tcPr>
          <w:p>
            <w:pPr>
              <w:pStyle w:val="246"/>
              <w:rPr>
                <w:rFonts w:eastAsiaTheme="minorEastAsia"/>
                <w:color w:val="auto"/>
              </w:rPr>
            </w:pPr>
          </w:p>
        </w:tc>
        <w:tc>
          <w:tcPr>
            <w:tcW w:w="1396" w:type="dxa"/>
            <w:vMerge w:val="continue"/>
            <w:vAlign w:val="center"/>
          </w:tcPr>
          <w:p>
            <w:pPr>
              <w:pStyle w:val="246"/>
              <w:rPr>
                <w:rFonts w:eastAsiaTheme="minorEastAsia"/>
                <w:color w:val="auto"/>
              </w:rPr>
            </w:pPr>
          </w:p>
        </w:tc>
        <w:tc>
          <w:tcPr>
            <w:tcW w:w="2011" w:type="dxa"/>
            <w:vMerge w:val="continue"/>
            <w:vAlign w:val="center"/>
          </w:tcPr>
          <w:p>
            <w:pPr>
              <w:pStyle w:val="246"/>
              <w:rPr>
                <w:rFonts w:eastAsiaTheme="minorEastAsia"/>
                <w:color w:val="auto"/>
              </w:rPr>
            </w:pPr>
          </w:p>
        </w:tc>
        <w:tc>
          <w:tcPr>
            <w:tcW w:w="1276" w:type="dxa"/>
            <w:vMerge w:val="continue"/>
            <w:vAlign w:val="center"/>
          </w:tcPr>
          <w:p>
            <w:pPr>
              <w:pStyle w:val="246"/>
              <w:rPr>
                <w:rFonts w:eastAsiaTheme="minorEastAsia"/>
                <w:color w:val="auto"/>
              </w:rPr>
            </w:pPr>
          </w:p>
        </w:tc>
        <w:tc>
          <w:tcPr>
            <w:tcW w:w="1134" w:type="dxa"/>
            <w:vMerge w:val="continue"/>
            <w:vAlign w:val="center"/>
          </w:tcPr>
          <w:p>
            <w:pPr>
              <w:pStyle w:val="246"/>
              <w:rPr>
                <w:rFonts w:eastAsiaTheme="minorEastAsia"/>
                <w:color w:val="auto"/>
              </w:rPr>
            </w:pPr>
          </w:p>
        </w:tc>
        <w:tc>
          <w:tcPr>
            <w:tcW w:w="1786" w:type="dxa"/>
          </w:tcPr>
          <w:p>
            <w:pPr>
              <w:jc w:val="center"/>
              <w:rPr>
                <w:rFonts w:eastAsiaTheme="minorEastAsia"/>
                <w:color w:val="auto"/>
              </w:rPr>
            </w:pPr>
            <w:r>
              <w:rPr>
                <w:rFonts w:eastAsiaTheme="minorEastAsia"/>
                <w:color w:val="auto"/>
              </w:rPr>
              <w:t>/</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680" w:type="dxa"/>
            <w:vMerge w:val="continue"/>
            <w:vAlign w:val="center"/>
          </w:tcPr>
          <w:p>
            <w:pPr>
              <w:pStyle w:val="246"/>
              <w:rPr>
                <w:rFonts w:eastAsiaTheme="minorEastAsia"/>
                <w:color w:val="auto"/>
              </w:rPr>
            </w:pPr>
          </w:p>
        </w:tc>
        <w:tc>
          <w:tcPr>
            <w:tcW w:w="1379" w:type="dxa"/>
            <w:vAlign w:val="center"/>
          </w:tcPr>
          <w:p>
            <w:pPr>
              <w:pStyle w:val="246"/>
              <w:rPr>
                <w:rFonts w:eastAsiaTheme="minorEastAsia"/>
                <w:color w:val="auto"/>
              </w:rPr>
            </w:pPr>
            <w:r>
              <w:rPr>
                <w:rFonts w:eastAsiaTheme="minorEastAsia"/>
                <w:color w:val="auto"/>
              </w:rPr>
              <w:t>石粉仓</w:t>
            </w:r>
          </w:p>
        </w:tc>
        <w:tc>
          <w:tcPr>
            <w:tcW w:w="980" w:type="dxa"/>
            <w:vAlign w:val="center"/>
          </w:tcPr>
          <w:p>
            <w:pPr>
              <w:pStyle w:val="246"/>
              <w:rPr>
                <w:rFonts w:eastAsiaTheme="minorEastAsia"/>
                <w:color w:val="auto"/>
              </w:rPr>
            </w:pPr>
            <w:r>
              <w:rPr>
                <w:rFonts w:eastAsiaTheme="minorEastAsia"/>
                <w:color w:val="auto"/>
              </w:rPr>
              <w:t>粉尘</w:t>
            </w:r>
          </w:p>
        </w:tc>
        <w:tc>
          <w:tcPr>
            <w:tcW w:w="4327" w:type="dxa"/>
            <w:vAlign w:val="center"/>
          </w:tcPr>
          <w:p>
            <w:pPr>
              <w:pStyle w:val="246"/>
              <w:rPr>
                <w:rFonts w:eastAsiaTheme="minorEastAsia"/>
                <w:color w:val="auto"/>
              </w:rPr>
            </w:pPr>
            <w:r>
              <w:rPr>
                <w:rFonts w:eastAsiaTheme="minorEastAsia"/>
                <w:color w:val="auto"/>
              </w:rPr>
              <w:t>密闭</w:t>
            </w:r>
          </w:p>
        </w:tc>
        <w:tc>
          <w:tcPr>
            <w:tcW w:w="1396" w:type="dxa"/>
            <w:vAlign w:val="center"/>
          </w:tcPr>
          <w:p>
            <w:pPr>
              <w:pStyle w:val="246"/>
              <w:rPr>
                <w:rFonts w:eastAsiaTheme="minorEastAsia"/>
                <w:color w:val="auto"/>
              </w:rPr>
            </w:pPr>
            <w:r>
              <w:rPr>
                <w:rFonts w:eastAsiaTheme="minorEastAsia"/>
                <w:color w:val="auto"/>
              </w:rPr>
              <w:t>无组织排放</w:t>
            </w:r>
          </w:p>
        </w:tc>
        <w:tc>
          <w:tcPr>
            <w:tcW w:w="2011" w:type="dxa"/>
            <w:vMerge w:val="continue"/>
            <w:vAlign w:val="center"/>
          </w:tcPr>
          <w:p>
            <w:pPr>
              <w:pStyle w:val="246"/>
              <w:rPr>
                <w:rFonts w:eastAsiaTheme="minorEastAsia"/>
                <w:color w:val="auto"/>
              </w:rPr>
            </w:pPr>
          </w:p>
        </w:tc>
        <w:tc>
          <w:tcPr>
            <w:tcW w:w="1276" w:type="dxa"/>
            <w:vMerge w:val="continue"/>
            <w:vAlign w:val="center"/>
          </w:tcPr>
          <w:p>
            <w:pPr>
              <w:pStyle w:val="246"/>
              <w:rPr>
                <w:rFonts w:eastAsiaTheme="minorEastAsia"/>
                <w:color w:val="auto"/>
              </w:rPr>
            </w:pPr>
          </w:p>
        </w:tc>
        <w:tc>
          <w:tcPr>
            <w:tcW w:w="1134" w:type="dxa"/>
            <w:vMerge w:val="continue"/>
            <w:vAlign w:val="center"/>
          </w:tcPr>
          <w:p>
            <w:pPr>
              <w:pStyle w:val="246"/>
              <w:rPr>
                <w:rFonts w:eastAsiaTheme="minorEastAsia"/>
                <w:color w:val="auto"/>
              </w:rPr>
            </w:pPr>
          </w:p>
        </w:tc>
        <w:tc>
          <w:tcPr>
            <w:tcW w:w="1786" w:type="dxa"/>
          </w:tcPr>
          <w:p>
            <w:pPr>
              <w:jc w:val="center"/>
              <w:rPr>
                <w:rFonts w:eastAsiaTheme="minorEastAsia"/>
                <w:color w:val="auto"/>
              </w:rPr>
            </w:pPr>
            <w:r>
              <w:rPr>
                <w:rFonts w:eastAsiaTheme="minorEastAsia"/>
                <w:color w:val="auto"/>
              </w:rPr>
              <w:t>/</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680" w:type="dxa"/>
            <w:vMerge w:val="continue"/>
            <w:vAlign w:val="center"/>
          </w:tcPr>
          <w:p>
            <w:pPr>
              <w:pStyle w:val="246"/>
              <w:rPr>
                <w:rFonts w:eastAsiaTheme="minorEastAsia"/>
                <w:color w:val="auto"/>
              </w:rPr>
            </w:pPr>
          </w:p>
        </w:tc>
        <w:tc>
          <w:tcPr>
            <w:tcW w:w="1379" w:type="dxa"/>
            <w:vAlign w:val="center"/>
          </w:tcPr>
          <w:p>
            <w:pPr>
              <w:pStyle w:val="246"/>
              <w:rPr>
                <w:rFonts w:eastAsiaTheme="minorEastAsia"/>
                <w:color w:val="auto"/>
              </w:rPr>
            </w:pPr>
            <w:r>
              <w:rPr>
                <w:rFonts w:eastAsiaTheme="minorEastAsia"/>
                <w:color w:val="auto"/>
              </w:rPr>
              <w:t>破碎、筛分</w:t>
            </w:r>
          </w:p>
        </w:tc>
        <w:tc>
          <w:tcPr>
            <w:tcW w:w="980" w:type="dxa"/>
            <w:vAlign w:val="center"/>
          </w:tcPr>
          <w:p>
            <w:pPr>
              <w:pStyle w:val="246"/>
              <w:rPr>
                <w:rFonts w:eastAsiaTheme="minorEastAsia"/>
                <w:color w:val="auto"/>
              </w:rPr>
            </w:pPr>
            <w:r>
              <w:rPr>
                <w:rFonts w:eastAsiaTheme="minorEastAsia"/>
                <w:color w:val="auto"/>
              </w:rPr>
              <w:t>粉尘</w:t>
            </w:r>
          </w:p>
        </w:tc>
        <w:tc>
          <w:tcPr>
            <w:tcW w:w="4327" w:type="dxa"/>
            <w:vAlign w:val="center"/>
          </w:tcPr>
          <w:p>
            <w:pPr>
              <w:pStyle w:val="246"/>
              <w:rPr>
                <w:rFonts w:eastAsiaTheme="minorEastAsia"/>
                <w:color w:val="auto"/>
              </w:rPr>
            </w:pPr>
            <w:r>
              <w:rPr>
                <w:rFonts w:eastAsiaTheme="minorEastAsia"/>
                <w:color w:val="auto"/>
              </w:rPr>
              <w:t>石料从破碎机送至振动筛过程采用全封闭皮带式廊道运输，下料口处设置洒水喷淋设施抑尘。</w:t>
            </w:r>
          </w:p>
        </w:tc>
        <w:tc>
          <w:tcPr>
            <w:tcW w:w="1396" w:type="dxa"/>
            <w:vAlign w:val="center"/>
          </w:tcPr>
          <w:p>
            <w:pPr>
              <w:pStyle w:val="246"/>
              <w:rPr>
                <w:rFonts w:eastAsiaTheme="minorEastAsia"/>
                <w:color w:val="auto"/>
              </w:rPr>
            </w:pPr>
            <w:r>
              <w:rPr>
                <w:rFonts w:eastAsiaTheme="minorEastAsia"/>
                <w:color w:val="auto"/>
              </w:rPr>
              <w:t>无组织排放</w:t>
            </w:r>
          </w:p>
        </w:tc>
        <w:tc>
          <w:tcPr>
            <w:tcW w:w="2011" w:type="dxa"/>
            <w:vMerge w:val="continue"/>
            <w:vAlign w:val="center"/>
          </w:tcPr>
          <w:p>
            <w:pPr>
              <w:pStyle w:val="246"/>
              <w:rPr>
                <w:rFonts w:eastAsiaTheme="minorEastAsia"/>
                <w:color w:val="auto"/>
              </w:rPr>
            </w:pPr>
          </w:p>
        </w:tc>
        <w:tc>
          <w:tcPr>
            <w:tcW w:w="1276" w:type="dxa"/>
            <w:vMerge w:val="continue"/>
            <w:vAlign w:val="center"/>
          </w:tcPr>
          <w:p>
            <w:pPr>
              <w:pStyle w:val="246"/>
              <w:rPr>
                <w:rFonts w:eastAsiaTheme="minorEastAsia"/>
                <w:color w:val="auto"/>
              </w:rPr>
            </w:pPr>
          </w:p>
        </w:tc>
        <w:tc>
          <w:tcPr>
            <w:tcW w:w="1134" w:type="dxa"/>
            <w:vMerge w:val="continue"/>
            <w:vAlign w:val="center"/>
          </w:tcPr>
          <w:p>
            <w:pPr>
              <w:pStyle w:val="246"/>
              <w:rPr>
                <w:rFonts w:eastAsiaTheme="minorEastAsia"/>
                <w:color w:val="auto"/>
              </w:rPr>
            </w:pPr>
          </w:p>
        </w:tc>
        <w:tc>
          <w:tcPr>
            <w:tcW w:w="1786" w:type="dxa"/>
          </w:tcPr>
          <w:p>
            <w:pPr>
              <w:jc w:val="center"/>
              <w:rPr>
                <w:rFonts w:eastAsiaTheme="minorEastAsia"/>
                <w:color w:val="auto"/>
              </w:rPr>
            </w:pPr>
            <w:r>
              <w:rPr>
                <w:rFonts w:eastAsiaTheme="minorEastAsia"/>
                <w:color w:val="auto"/>
              </w:rPr>
              <w:t>/</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680" w:type="dxa"/>
            <w:vMerge w:val="continue"/>
            <w:vAlign w:val="center"/>
          </w:tcPr>
          <w:p>
            <w:pPr>
              <w:pStyle w:val="246"/>
              <w:rPr>
                <w:rFonts w:eastAsiaTheme="minorEastAsia"/>
                <w:color w:val="auto"/>
              </w:rPr>
            </w:pPr>
          </w:p>
        </w:tc>
        <w:tc>
          <w:tcPr>
            <w:tcW w:w="1379" w:type="dxa"/>
            <w:vAlign w:val="center"/>
          </w:tcPr>
          <w:p>
            <w:pPr>
              <w:pStyle w:val="246"/>
              <w:rPr>
                <w:rFonts w:eastAsiaTheme="minorEastAsia"/>
                <w:color w:val="auto"/>
              </w:rPr>
            </w:pPr>
            <w:r>
              <w:rPr>
                <w:rFonts w:eastAsiaTheme="minorEastAsia"/>
                <w:color w:val="auto"/>
              </w:rPr>
              <w:t>破碎、筛分</w:t>
            </w:r>
          </w:p>
        </w:tc>
        <w:tc>
          <w:tcPr>
            <w:tcW w:w="980" w:type="dxa"/>
            <w:vAlign w:val="center"/>
          </w:tcPr>
          <w:p>
            <w:pPr>
              <w:pStyle w:val="246"/>
              <w:rPr>
                <w:rFonts w:eastAsiaTheme="minorEastAsia"/>
                <w:color w:val="auto"/>
              </w:rPr>
            </w:pPr>
            <w:r>
              <w:rPr>
                <w:rFonts w:eastAsiaTheme="minorEastAsia"/>
                <w:color w:val="auto"/>
              </w:rPr>
              <w:t>粉尘</w:t>
            </w:r>
          </w:p>
        </w:tc>
        <w:tc>
          <w:tcPr>
            <w:tcW w:w="4327" w:type="dxa"/>
            <w:vAlign w:val="center"/>
          </w:tcPr>
          <w:p>
            <w:pPr>
              <w:pStyle w:val="246"/>
              <w:rPr>
                <w:rFonts w:eastAsiaTheme="minorEastAsia"/>
                <w:color w:val="auto"/>
              </w:rPr>
            </w:pPr>
            <w:r>
              <w:rPr>
                <w:rFonts w:hint="eastAsia" w:eastAsiaTheme="minorEastAsia"/>
                <w:color w:val="auto"/>
                <w:lang w:eastAsia="zh-CN"/>
              </w:rPr>
              <w:t>粗碎</w:t>
            </w:r>
            <w:r>
              <w:rPr>
                <w:rFonts w:eastAsiaTheme="minorEastAsia"/>
                <w:color w:val="auto"/>
              </w:rPr>
              <w:t>破碎机</w:t>
            </w:r>
            <w:r>
              <w:rPr>
                <w:rFonts w:hint="eastAsia" w:eastAsiaTheme="minorEastAsia"/>
                <w:color w:val="auto"/>
                <w:lang w:eastAsia="zh-CN"/>
              </w:rPr>
              <w:t>、细碎</w:t>
            </w:r>
            <w:r>
              <w:rPr>
                <w:rFonts w:eastAsiaTheme="minorEastAsia"/>
                <w:color w:val="auto"/>
              </w:rPr>
              <w:t>破碎机</w:t>
            </w:r>
            <w:r>
              <w:rPr>
                <w:rFonts w:hint="eastAsia" w:eastAsiaTheme="minorEastAsia"/>
                <w:color w:val="auto"/>
                <w:lang w:eastAsia="zh-CN"/>
              </w:rPr>
              <w:t>、</w:t>
            </w:r>
            <w:r>
              <w:rPr>
                <w:rFonts w:eastAsiaTheme="minorEastAsia"/>
                <w:color w:val="auto"/>
              </w:rPr>
              <w:t>振动筛</w:t>
            </w:r>
            <w:r>
              <w:rPr>
                <w:rFonts w:hint="eastAsia" w:eastAsiaTheme="minorEastAsia"/>
                <w:color w:val="auto"/>
                <w:lang w:eastAsia="zh-CN"/>
              </w:rPr>
              <w:t>分别</w:t>
            </w:r>
            <w:r>
              <w:rPr>
                <w:rFonts w:eastAsiaTheme="minorEastAsia"/>
                <w:color w:val="auto"/>
              </w:rPr>
              <w:t>配备布袋除尘器，废气分别经布袋除尘器处理</w:t>
            </w:r>
            <w:r>
              <w:rPr>
                <w:rFonts w:hint="eastAsia" w:eastAsiaTheme="minorEastAsia"/>
                <w:color w:val="auto"/>
                <w:lang w:eastAsia="zh-CN"/>
              </w:rPr>
              <w:t>后</w:t>
            </w:r>
            <w:r>
              <w:rPr>
                <w:rFonts w:eastAsiaTheme="minorEastAsia"/>
                <w:color w:val="auto"/>
              </w:rPr>
              <w:t>，经15m高排气筒排放。</w:t>
            </w:r>
          </w:p>
        </w:tc>
        <w:tc>
          <w:tcPr>
            <w:tcW w:w="1396" w:type="dxa"/>
            <w:vAlign w:val="center"/>
          </w:tcPr>
          <w:p>
            <w:pPr>
              <w:pStyle w:val="246"/>
              <w:jc w:val="both"/>
              <w:rPr>
                <w:rFonts w:eastAsiaTheme="minorEastAsia"/>
                <w:color w:val="auto"/>
              </w:rPr>
            </w:pPr>
            <w:r>
              <w:rPr>
                <w:rFonts w:eastAsiaTheme="minorEastAsia"/>
                <w:color w:val="auto"/>
              </w:rPr>
              <w:t>有组织排放</w:t>
            </w:r>
          </w:p>
        </w:tc>
        <w:tc>
          <w:tcPr>
            <w:tcW w:w="2011" w:type="dxa"/>
            <w:vAlign w:val="center"/>
          </w:tcPr>
          <w:p>
            <w:pPr>
              <w:pStyle w:val="246"/>
              <w:rPr>
                <w:rFonts w:eastAsiaTheme="minorEastAsia"/>
                <w:color w:val="auto"/>
              </w:rPr>
            </w:pPr>
            <w:r>
              <w:rPr>
                <w:rFonts w:eastAsiaTheme="minorEastAsia"/>
                <w:color w:val="auto"/>
              </w:rPr>
              <w:t>《大气污染物综合排放标准》（GB16297-1996）表2中二级标准</w:t>
            </w:r>
          </w:p>
        </w:tc>
        <w:tc>
          <w:tcPr>
            <w:tcW w:w="1276" w:type="dxa"/>
            <w:vAlign w:val="center"/>
          </w:tcPr>
          <w:p>
            <w:pPr>
              <w:pStyle w:val="246"/>
              <w:rPr>
                <w:rFonts w:eastAsiaTheme="minorEastAsia"/>
                <w:color w:val="auto"/>
              </w:rPr>
            </w:pPr>
            <w:r>
              <w:rPr>
                <w:rFonts w:hint="eastAsia" w:eastAsiaTheme="minorEastAsia"/>
                <w:color w:val="auto"/>
                <w:lang w:val="en-US" w:eastAsia="zh-CN"/>
              </w:rPr>
              <w:t>4.23</w:t>
            </w:r>
            <w:r>
              <w:rPr>
                <w:rFonts w:eastAsiaTheme="minorEastAsia"/>
                <w:color w:val="auto"/>
              </w:rPr>
              <w:t>mg/m</w:t>
            </w:r>
            <w:r>
              <w:rPr>
                <w:rFonts w:eastAsiaTheme="minorEastAsia"/>
                <w:color w:val="auto"/>
                <w:vertAlign w:val="superscript"/>
              </w:rPr>
              <w:t>3</w:t>
            </w:r>
          </w:p>
        </w:tc>
        <w:tc>
          <w:tcPr>
            <w:tcW w:w="1134" w:type="dxa"/>
            <w:vAlign w:val="center"/>
          </w:tcPr>
          <w:p>
            <w:pPr>
              <w:pStyle w:val="246"/>
              <w:rPr>
                <w:rFonts w:eastAsiaTheme="minorEastAsia"/>
                <w:color w:val="auto"/>
              </w:rPr>
            </w:pPr>
            <w:r>
              <w:rPr>
                <w:rFonts w:hint="eastAsia" w:eastAsiaTheme="minorEastAsia"/>
                <w:color w:val="auto"/>
                <w:lang w:val="en-US" w:eastAsia="zh-CN"/>
              </w:rPr>
              <w:t>0.143</w:t>
            </w:r>
            <w:r>
              <w:rPr>
                <w:rFonts w:eastAsiaTheme="minorEastAsia"/>
                <w:color w:val="auto"/>
              </w:rPr>
              <w:t>t/a</w:t>
            </w:r>
          </w:p>
        </w:tc>
        <w:tc>
          <w:tcPr>
            <w:tcW w:w="1786" w:type="dxa"/>
          </w:tcPr>
          <w:p>
            <w:pPr>
              <w:pStyle w:val="246"/>
              <w:spacing w:line="240" w:lineRule="auto"/>
              <w:rPr>
                <w:rFonts w:eastAsiaTheme="minorEastAsia"/>
                <w:color w:val="auto"/>
              </w:rPr>
            </w:pPr>
            <w:r>
              <w:rPr>
                <w:rFonts w:eastAsiaTheme="minorEastAsia"/>
                <w:color w:val="auto"/>
              </w:rPr>
              <w:drawing>
                <wp:inline distT="0" distB="0" distL="0" distR="0">
                  <wp:extent cx="685800" cy="1212850"/>
                  <wp:effectExtent l="0" t="0" r="0"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50">
                            <a:extLst>
                              <a:ext uri="{28A0092B-C50C-407E-A947-70E740481C1C}">
                                <a14:useLocalDpi xmlns:a14="http://schemas.microsoft.com/office/drawing/2010/main" val="0"/>
                              </a:ext>
                            </a:extLst>
                          </a:blip>
                          <a:stretch>
                            <a:fillRect/>
                          </a:stretch>
                        </pic:blipFill>
                        <pic:spPr>
                          <a:xfrm>
                            <a:off x="0" y="0"/>
                            <a:ext cx="685800" cy="1212874"/>
                          </a:xfrm>
                          <a:prstGeom prst="rect">
                            <a:avLst/>
                          </a:prstGeom>
                        </pic:spPr>
                      </pic:pic>
                    </a:graphicData>
                  </a:graphic>
                </wp:inline>
              </w:drawing>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680" w:type="dxa"/>
            <w:vMerge w:val="restart"/>
            <w:vAlign w:val="center"/>
          </w:tcPr>
          <w:p>
            <w:pPr>
              <w:pStyle w:val="246"/>
              <w:rPr>
                <w:rFonts w:eastAsiaTheme="minorEastAsia"/>
                <w:color w:val="auto"/>
              </w:rPr>
            </w:pPr>
            <w:r>
              <w:rPr>
                <w:rFonts w:eastAsiaTheme="minorEastAsia"/>
                <w:color w:val="auto"/>
              </w:rPr>
              <w:t>噪声</w:t>
            </w:r>
          </w:p>
        </w:tc>
        <w:tc>
          <w:tcPr>
            <w:tcW w:w="1379" w:type="dxa"/>
            <w:vAlign w:val="center"/>
          </w:tcPr>
          <w:p>
            <w:pPr>
              <w:pStyle w:val="246"/>
              <w:rPr>
                <w:rFonts w:eastAsiaTheme="minorEastAsia"/>
                <w:color w:val="auto"/>
              </w:rPr>
            </w:pPr>
            <w:r>
              <w:rPr>
                <w:rFonts w:eastAsiaTheme="minorEastAsia"/>
                <w:color w:val="auto"/>
              </w:rPr>
              <w:t>设备</w:t>
            </w:r>
          </w:p>
        </w:tc>
        <w:tc>
          <w:tcPr>
            <w:tcW w:w="980" w:type="dxa"/>
            <w:vAlign w:val="center"/>
          </w:tcPr>
          <w:p>
            <w:pPr>
              <w:pStyle w:val="246"/>
              <w:rPr>
                <w:rFonts w:eastAsiaTheme="minorEastAsia"/>
                <w:color w:val="auto"/>
              </w:rPr>
            </w:pPr>
            <w:r>
              <w:rPr>
                <w:rFonts w:eastAsiaTheme="minorEastAsia"/>
                <w:color w:val="auto"/>
              </w:rPr>
              <w:t>噪声</w:t>
            </w:r>
          </w:p>
        </w:tc>
        <w:tc>
          <w:tcPr>
            <w:tcW w:w="4327" w:type="dxa"/>
            <w:vAlign w:val="center"/>
          </w:tcPr>
          <w:p>
            <w:pPr>
              <w:pStyle w:val="246"/>
              <w:rPr>
                <w:rFonts w:eastAsiaTheme="minorEastAsia"/>
                <w:color w:val="auto"/>
              </w:rPr>
            </w:pPr>
            <w:r>
              <w:rPr>
                <w:rFonts w:eastAsiaTheme="minorEastAsia"/>
                <w:color w:val="auto"/>
                <w:kern w:val="1"/>
                <w:szCs w:val="24"/>
              </w:rPr>
              <w:t>消声、隔声、减震、绿化和个体防护等措施</w:t>
            </w:r>
          </w:p>
        </w:tc>
        <w:tc>
          <w:tcPr>
            <w:tcW w:w="1396" w:type="dxa"/>
            <w:vAlign w:val="center"/>
          </w:tcPr>
          <w:p>
            <w:pPr>
              <w:pStyle w:val="246"/>
              <w:rPr>
                <w:rFonts w:eastAsiaTheme="minorEastAsia"/>
                <w:color w:val="auto"/>
              </w:rPr>
            </w:pPr>
            <w:r>
              <w:rPr>
                <w:rFonts w:eastAsiaTheme="minorEastAsia"/>
                <w:color w:val="auto"/>
              </w:rPr>
              <w:t>厂界</w:t>
            </w:r>
          </w:p>
        </w:tc>
        <w:tc>
          <w:tcPr>
            <w:tcW w:w="2011" w:type="dxa"/>
            <w:vAlign w:val="center"/>
          </w:tcPr>
          <w:p>
            <w:pPr>
              <w:pStyle w:val="246"/>
              <w:rPr>
                <w:rFonts w:eastAsiaTheme="minorEastAsia"/>
                <w:color w:val="auto"/>
              </w:rPr>
            </w:pPr>
            <w:r>
              <w:rPr>
                <w:rFonts w:eastAsiaTheme="minorEastAsia"/>
                <w:color w:val="auto"/>
              </w:rPr>
              <w:t>《工业企业厂界噪声排放标准》GB12348-2008中的2类标准</w:t>
            </w:r>
          </w:p>
        </w:tc>
        <w:tc>
          <w:tcPr>
            <w:tcW w:w="1276" w:type="dxa"/>
            <w:vAlign w:val="center"/>
          </w:tcPr>
          <w:p>
            <w:pPr>
              <w:pStyle w:val="246"/>
              <w:rPr>
                <w:rFonts w:eastAsiaTheme="minorEastAsia"/>
                <w:color w:val="auto"/>
              </w:rPr>
            </w:pPr>
            <w:r>
              <w:rPr>
                <w:rFonts w:eastAsiaTheme="minorEastAsia"/>
                <w:color w:val="auto"/>
              </w:rPr>
              <w:t>厂界昼间≤60dB(A)</w:t>
            </w:r>
          </w:p>
          <w:p>
            <w:pPr>
              <w:pStyle w:val="246"/>
              <w:rPr>
                <w:rFonts w:eastAsiaTheme="minorEastAsia"/>
                <w:color w:val="auto"/>
              </w:rPr>
            </w:pPr>
            <w:r>
              <w:rPr>
                <w:rFonts w:eastAsiaTheme="minorEastAsia"/>
                <w:color w:val="auto"/>
              </w:rPr>
              <w:t>夜间≤50dB(A)</w:t>
            </w:r>
          </w:p>
        </w:tc>
        <w:tc>
          <w:tcPr>
            <w:tcW w:w="1134" w:type="dxa"/>
            <w:vAlign w:val="center"/>
          </w:tcPr>
          <w:p>
            <w:pPr>
              <w:pStyle w:val="246"/>
              <w:rPr>
                <w:rFonts w:eastAsiaTheme="minorEastAsia"/>
                <w:color w:val="auto"/>
              </w:rPr>
            </w:pPr>
            <w:r>
              <w:rPr>
                <w:rFonts w:eastAsiaTheme="minorEastAsia"/>
                <w:color w:val="auto"/>
              </w:rPr>
              <w:t>-</w:t>
            </w:r>
          </w:p>
        </w:tc>
        <w:tc>
          <w:tcPr>
            <w:tcW w:w="1786" w:type="dxa"/>
            <w:vMerge w:val="restart"/>
          </w:tcPr>
          <w:p>
            <w:pPr>
              <w:pStyle w:val="246"/>
              <w:spacing w:line="240" w:lineRule="auto"/>
              <w:rPr>
                <w:rFonts w:eastAsiaTheme="minorEastAsia"/>
                <w:color w:val="auto"/>
              </w:rPr>
            </w:pPr>
            <w:r>
              <w:rPr>
                <w:rFonts w:eastAsiaTheme="minorEastAsia"/>
                <w:color w:val="auto"/>
              </w:rPr>
              <w:drawing>
                <wp:inline distT="0" distB="0" distL="0" distR="0">
                  <wp:extent cx="996950" cy="162750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51">
                            <a:extLst>
                              <a:ext uri="{28A0092B-C50C-407E-A947-70E740481C1C}">
                                <a14:useLocalDpi xmlns:a14="http://schemas.microsoft.com/office/drawing/2010/main" val="0"/>
                              </a:ext>
                            </a:extLst>
                          </a:blip>
                          <a:stretch>
                            <a:fillRect/>
                          </a:stretch>
                        </pic:blipFill>
                        <pic:spPr>
                          <a:xfrm>
                            <a:off x="0" y="0"/>
                            <a:ext cx="996950" cy="1627505"/>
                          </a:xfrm>
                          <a:prstGeom prst="rect">
                            <a:avLst/>
                          </a:prstGeom>
                        </pic:spPr>
                      </pic:pic>
                    </a:graphicData>
                  </a:graphic>
                </wp:inline>
              </w:drawing>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680" w:type="dxa"/>
            <w:vMerge w:val="continue"/>
            <w:vAlign w:val="center"/>
          </w:tcPr>
          <w:p>
            <w:pPr>
              <w:pStyle w:val="246"/>
              <w:rPr>
                <w:rFonts w:eastAsiaTheme="minorEastAsia"/>
                <w:color w:val="auto"/>
              </w:rPr>
            </w:pPr>
          </w:p>
        </w:tc>
        <w:tc>
          <w:tcPr>
            <w:tcW w:w="1379" w:type="dxa"/>
            <w:vAlign w:val="center"/>
          </w:tcPr>
          <w:p>
            <w:pPr>
              <w:pStyle w:val="246"/>
              <w:rPr>
                <w:rFonts w:eastAsiaTheme="minorEastAsia"/>
                <w:color w:val="auto"/>
              </w:rPr>
            </w:pPr>
            <w:r>
              <w:rPr>
                <w:rFonts w:eastAsiaTheme="minorEastAsia"/>
                <w:color w:val="auto"/>
              </w:rPr>
              <w:t>爆破</w:t>
            </w:r>
          </w:p>
        </w:tc>
        <w:tc>
          <w:tcPr>
            <w:tcW w:w="980" w:type="dxa"/>
            <w:vAlign w:val="center"/>
          </w:tcPr>
          <w:p>
            <w:pPr>
              <w:pStyle w:val="246"/>
              <w:rPr>
                <w:rFonts w:eastAsiaTheme="minorEastAsia"/>
                <w:color w:val="auto"/>
              </w:rPr>
            </w:pPr>
            <w:r>
              <w:rPr>
                <w:rFonts w:eastAsiaTheme="minorEastAsia"/>
                <w:color w:val="auto"/>
              </w:rPr>
              <w:t>噪声</w:t>
            </w:r>
          </w:p>
        </w:tc>
        <w:tc>
          <w:tcPr>
            <w:tcW w:w="4327" w:type="dxa"/>
            <w:vAlign w:val="center"/>
          </w:tcPr>
          <w:p>
            <w:pPr>
              <w:pStyle w:val="246"/>
              <w:rPr>
                <w:rFonts w:eastAsiaTheme="minorEastAsia"/>
                <w:color w:val="auto"/>
              </w:rPr>
            </w:pPr>
            <w:r>
              <w:rPr>
                <w:rFonts w:eastAsiaTheme="minorEastAsia"/>
                <w:color w:val="auto"/>
                <w:kern w:val="1"/>
                <w:szCs w:val="24"/>
              </w:rPr>
              <w:t>覆盖水袋、绿化，控制爆破频次，夜间禁止爆破，提前告知附近村屯</w:t>
            </w:r>
          </w:p>
        </w:tc>
        <w:tc>
          <w:tcPr>
            <w:tcW w:w="1396" w:type="dxa"/>
            <w:vAlign w:val="center"/>
          </w:tcPr>
          <w:p>
            <w:pPr>
              <w:pStyle w:val="246"/>
              <w:rPr>
                <w:rFonts w:eastAsiaTheme="minorEastAsia"/>
                <w:color w:val="auto"/>
              </w:rPr>
            </w:pPr>
            <w:r>
              <w:rPr>
                <w:rFonts w:eastAsiaTheme="minorEastAsia"/>
                <w:color w:val="auto"/>
              </w:rPr>
              <w:t>-</w:t>
            </w:r>
          </w:p>
        </w:tc>
        <w:tc>
          <w:tcPr>
            <w:tcW w:w="2011" w:type="dxa"/>
            <w:vAlign w:val="center"/>
          </w:tcPr>
          <w:p>
            <w:pPr>
              <w:pStyle w:val="246"/>
              <w:rPr>
                <w:rFonts w:eastAsiaTheme="minorEastAsia"/>
                <w:color w:val="auto"/>
              </w:rPr>
            </w:pPr>
            <w:r>
              <w:rPr>
                <w:rFonts w:eastAsiaTheme="minorEastAsia"/>
                <w:color w:val="auto"/>
              </w:rPr>
              <w:t>-</w:t>
            </w:r>
          </w:p>
        </w:tc>
        <w:tc>
          <w:tcPr>
            <w:tcW w:w="1276" w:type="dxa"/>
            <w:vAlign w:val="center"/>
          </w:tcPr>
          <w:p>
            <w:pPr>
              <w:pStyle w:val="246"/>
              <w:rPr>
                <w:rFonts w:eastAsiaTheme="minorEastAsia"/>
                <w:color w:val="auto"/>
              </w:rPr>
            </w:pPr>
            <w:r>
              <w:rPr>
                <w:rFonts w:eastAsiaTheme="minorEastAsia"/>
                <w:color w:val="auto"/>
              </w:rPr>
              <w:t>-</w:t>
            </w:r>
          </w:p>
        </w:tc>
        <w:tc>
          <w:tcPr>
            <w:tcW w:w="1134" w:type="dxa"/>
            <w:vAlign w:val="center"/>
          </w:tcPr>
          <w:p>
            <w:pPr>
              <w:pStyle w:val="246"/>
              <w:rPr>
                <w:rFonts w:eastAsiaTheme="minorEastAsia"/>
                <w:color w:val="auto"/>
              </w:rPr>
            </w:pPr>
            <w:r>
              <w:rPr>
                <w:rFonts w:eastAsiaTheme="minorEastAsia"/>
                <w:color w:val="auto"/>
              </w:rPr>
              <w:t>-</w:t>
            </w:r>
          </w:p>
        </w:tc>
        <w:tc>
          <w:tcPr>
            <w:tcW w:w="1786" w:type="dxa"/>
            <w:vMerge w:val="continue"/>
          </w:tcPr>
          <w:p>
            <w:pPr>
              <w:pStyle w:val="246"/>
              <w:rPr>
                <w:rFonts w:eastAsiaTheme="minorEastAsia"/>
                <w:color w:val="auto"/>
              </w:rPr>
            </w:pP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437" w:hRule="atLeast"/>
        </w:trPr>
        <w:tc>
          <w:tcPr>
            <w:tcW w:w="680" w:type="dxa"/>
            <w:vMerge w:val="restart"/>
            <w:vAlign w:val="center"/>
          </w:tcPr>
          <w:p>
            <w:pPr>
              <w:pStyle w:val="246"/>
              <w:rPr>
                <w:rFonts w:eastAsiaTheme="minorEastAsia"/>
                <w:color w:val="auto"/>
              </w:rPr>
            </w:pPr>
            <w:r>
              <w:rPr>
                <w:rFonts w:eastAsiaTheme="minorEastAsia"/>
                <w:color w:val="auto"/>
              </w:rPr>
              <w:t>废水</w:t>
            </w:r>
          </w:p>
        </w:tc>
        <w:tc>
          <w:tcPr>
            <w:tcW w:w="1379" w:type="dxa"/>
            <w:tcBorders>
              <w:bottom w:val="single" w:color="auto" w:sz="4" w:space="0"/>
            </w:tcBorders>
            <w:vAlign w:val="center"/>
          </w:tcPr>
          <w:p>
            <w:pPr>
              <w:pStyle w:val="246"/>
              <w:rPr>
                <w:rFonts w:eastAsiaTheme="minorEastAsia"/>
                <w:color w:val="auto"/>
              </w:rPr>
            </w:pPr>
            <w:r>
              <w:rPr>
                <w:rFonts w:eastAsiaTheme="minorEastAsia"/>
                <w:color w:val="auto"/>
              </w:rPr>
              <w:t>径流集水</w:t>
            </w:r>
          </w:p>
        </w:tc>
        <w:tc>
          <w:tcPr>
            <w:tcW w:w="980" w:type="dxa"/>
            <w:tcBorders>
              <w:bottom w:val="single" w:color="auto" w:sz="4" w:space="0"/>
            </w:tcBorders>
            <w:vAlign w:val="center"/>
          </w:tcPr>
          <w:p>
            <w:pPr>
              <w:pStyle w:val="246"/>
              <w:rPr>
                <w:rFonts w:eastAsiaTheme="minorEastAsia"/>
                <w:color w:val="auto"/>
              </w:rPr>
            </w:pPr>
            <w:r>
              <w:rPr>
                <w:rFonts w:eastAsiaTheme="minorEastAsia"/>
                <w:color w:val="auto"/>
              </w:rPr>
              <w:t>/</w:t>
            </w:r>
          </w:p>
        </w:tc>
        <w:tc>
          <w:tcPr>
            <w:tcW w:w="4327" w:type="dxa"/>
            <w:tcBorders>
              <w:bottom w:val="single" w:color="auto" w:sz="4" w:space="0"/>
            </w:tcBorders>
            <w:vAlign w:val="center"/>
          </w:tcPr>
          <w:p>
            <w:pPr>
              <w:pStyle w:val="246"/>
              <w:rPr>
                <w:rFonts w:eastAsiaTheme="minorEastAsia"/>
                <w:color w:val="auto"/>
              </w:rPr>
            </w:pPr>
            <w:r>
              <w:rPr>
                <w:rFonts w:eastAsiaTheme="minorEastAsia"/>
                <w:color w:val="auto"/>
              </w:rPr>
              <w:t>沉淀贮水池收集后用于生产过程降尘</w:t>
            </w:r>
          </w:p>
        </w:tc>
        <w:tc>
          <w:tcPr>
            <w:tcW w:w="1396" w:type="dxa"/>
            <w:tcBorders>
              <w:bottom w:val="single" w:color="auto" w:sz="4" w:space="0"/>
            </w:tcBorders>
            <w:vAlign w:val="center"/>
          </w:tcPr>
          <w:p>
            <w:pPr>
              <w:pStyle w:val="246"/>
              <w:rPr>
                <w:rFonts w:eastAsiaTheme="minorEastAsia"/>
                <w:color w:val="auto"/>
              </w:rPr>
            </w:pPr>
            <w:r>
              <w:rPr>
                <w:rFonts w:eastAsiaTheme="minorEastAsia"/>
                <w:color w:val="auto"/>
              </w:rPr>
              <w:t>-</w:t>
            </w:r>
          </w:p>
        </w:tc>
        <w:tc>
          <w:tcPr>
            <w:tcW w:w="2011" w:type="dxa"/>
            <w:tcBorders>
              <w:bottom w:val="single" w:color="auto" w:sz="4" w:space="0"/>
            </w:tcBorders>
            <w:vAlign w:val="center"/>
          </w:tcPr>
          <w:p>
            <w:pPr>
              <w:pStyle w:val="246"/>
              <w:rPr>
                <w:rFonts w:eastAsiaTheme="minorEastAsia"/>
                <w:color w:val="auto"/>
              </w:rPr>
            </w:pPr>
            <w:r>
              <w:rPr>
                <w:rFonts w:eastAsiaTheme="minorEastAsia"/>
                <w:color w:val="auto"/>
              </w:rPr>
              <w:t>-</w:t>
            </w:r>
          </w:p>
        </w:tc>
        <w:tc>
          <w:tcPr>
            <w:tcW w:w="1276" w:type="dxa"/>
            <w:tcBorders>
              <w:bottom w:val="single" w:color="auto" w:sz="4" w:space="0"/>
            </w:tcBorders>
            <w:vAlign w:val="center"/>
          </w:tcPr>
          <w:p>
            <w:pPr>
              <w:pStyle w:val="246"/>
              <w:rPr>
                <w:rFonts w:eastAsiaTheme="minorEastAsia"/>
                <w:color w:val="auto"/>
              </w:rPr>
            </w:pPr>
            <w:r>
              <w:rPr>
                <w:rFonts w:eastAsiaTheme="minorEastAsia"/>
                <w:color w:val="auto"/>
              </w:rPr>
              <w:t>-</w:t>
            </w:r>
          </w:p>
        </w:tc>
        <w:tc>
          <w:tcPr>
            <w:tcW w:w="1134" w:type="dxa"/>
            <w:tcBorders>
              <w:bottom w:val="single" w:color="auto" w:sz="4" w:space="0"/>
            </w:tcBorders>
            <w:vAlign w:val="center"/>
          </w:tcPr>
          <w:p>
            <w:pPr>
              <w:pStyle w:val="246"/>
              <w:rPr>
                <w:rFonts w:eastAsiaTheme="minorEastAsia"/>
                <w:color w:val="auto"/>
              </w:rPr>
            </w:pPr>
            <w:r>
              <w:rPr>
                <w:rFonts w:eastAsiaTheme="minorEastAsia"/>
                <w:color w:val="auto"/>
              </w:rPr>
              <w:t>-</w:t>
            </w:r>
          </w:p>
        </w:tc>
        <w:tc>
          <w:tcPr>
            <w:tcW w:w="1786" w:type="dxa"/>
            <w:tcBorders>
              <w:bottom w:val="single" w:color="auto" w:sz="4" w:space="0"/>
            </w:tcBorders>
          </w:tcPr>
          <w:p>
            <w:pPr>
              <w:pStyle w:val="246"/>
              <w:rPr>
                <w:rFonts w:eastAsiaTheme="minorEastAsia"/>
                <w:color w:val="auto"/>
              </w:rPr>
            </w:pP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407" w:hRule="atLeast"/>
        </w:trPr>
        <w:tc>
          <w:tcPr>
            <w:tcW w:w="680" w:type="dxa"/>
            <w:vMerge w:val="continue"/>
            <w:vAlign w:val="center"/>
          </w:tcPr>
          <w:p>
            <w:pPr>
              <w:pStyle w:val="246"/>
              <w:rPr>
                <w:rFonts w:eastAsiaTheme="minorEastAsia"/>
                <w:color w:val="auto"/>
              </w:rPr>
            </w:pPr>
          </w:p>
        </w:tc>
        <w:tc>
          <w:tcPr>
            <w:tcW w:w="1379" w:type="dxa"/>
            <w:tcBorders>
              <w:top w:val="single" w:color="auto" w:sz="4" w:space="0"/>
            </w:tcBorders>
            <w:vAlign w:val="center"/>
          </w:tcPr>
          <w:p>
            <w:pPr>
              <w:pStyle w:val="246"/>
              <w:rPr>
                <w:rFonts w:eastAsiaTheme="minorEastAsia"/>
                <w:color w:val="auto"/>
              </w:rPr>
            </w:pPr>
            <w:r>
              <w:rPr>
                <w:rFonts w:eastAsiaTheme="minorEastAsia"/>
                <w:color w:val="auto"/>
              </w:rPr>
              <w:t>生活污水</w:t>
            </w:r>
          </w:p>
        </w:tc>
        <w:tc>
          <w:tcPr>
            <w:tcW w:w="980" w:type="dxa"/>
            <w:tcBorders>
              <w:top w:val="single" w:color="auto" w:sz="4" w:space="0"/>
            </w:tcBorders>
            <w:vAlign w:val="center"/>
          </w:tcPr>
          <w:p>
            <w:pPr>
              <w:pStyle w:val="246"/>
              <w:rPr>
                <w:rFonts w:eastAsiaTheme="minorEastAsia"/>
                <w:color w:val="auto"/>
              </w:rPr>
            </w:pPr>
            <w:r>
              <w:rPr>
                <w:rFonts w:eastAsiaTheme="minorEastAsia"/>
                <w:color w:val="auto"/>
              </w:rPr>
              <w:t>生活污水</w:t>
            </w:r>
          </w:p>
        </w:tc>
        <w:tc>
          <w:tcPr>
            <w:tcW w:w="4327" w:type="dxa"/>
            <w:tcBorders>
              <w:top w:val="single" w:color="auto" w:sz="4" w:space="0"/>
            </w:tcBorders>
            <w:vAlign w:val="center"/>
          </w:tcPr>
          <w:p>
            <w:pPr>
              <w:pStyle w:val="246"/>
              <w:rPr>
                <w:rFonts w:eastAsiaTheme="minorEastAsia"/>
                <w:color w:val="auto"/>
              </w:rPr>
            </w:pPr>
            <w:r>
              <w:rPr>
                <w:rFonts w:eastAsiaTheme="minorEastAsia"/>
                <w:color w:val="auto"/>
                <w:kern w:val="1"/>
                <w:szCs w:val="24"/>
              </w:rPr>
              <w:t>设置防渗旱厕，定期清掏</w:t>
            </w:r>
          </w:p>
        </w:tc>
        <w:tc>
          <w:tcPr>
            <w:tcW w:w="1396" w:type="dxa"/>
            <w:tcBorders>
              <w:top w:val="single" w:color="auto" w:sz="4" w:space="0"/>
            </w:tcBorders>
            <w:vAlign w:val="center"/>
          </w:tcPr>
          <w:p>
            <w:pPr>
              <w:pStyle w:val="246"/>
              <w:rPr>
                <w:rFonts w:eastAsiaTheme="minorEastAsia"/>
                <w:color w:val="auto"/>
              </w:rPr>
            </w:pPr>
            <w:r>
              <w:rPr>
                <w:rFonts w:eastAsiaTheme="minorEastAsia"/>
                <w:color w:val="auto"/>
              </w:rPr>
              <w:t>-</w:t>
            </w:r>
          </w:p>
        </w:tc>
        <w:tc>
          <w:tcPr>
            <w:tcW w:w="2011" w:type="dxa"/>
            <w:tcBorders>
              <w:top w:val="single" w:color="auto" w:sz="4" w:space="0"/>
            </w:tcBorders>
            <w:vAlign w:val="center"/>
          </w:tcPr>
          <w:p>
            <w:pPr>
              <w:pStyle w:val="246"/>
              <w:rPr>
                <w:rFonts w:eastAsiaTheme="minorEastAsia"/>
                <w:color w:val="auto"/>
              </w:rPr>
            </w:pPr>
            <w:r>
              <w:rPr>
                <w:rFonts w:eastAsiaTheme="minorEastAsia"/>
                <w:color w:val="auto"/>
              </w:rPr>
              <w:t>-</w:t>
            </w:r>
          </w:p>
        </w:tc>
        <w:tc>
          <w:tcPr>
            <w:tcW w:w="1276" w:type="dxa"/>
            <w:tcBorders>
              <w:top w:val="single" w:color="auto" w:sz="4" w:space="0"/>
            </w:tcBorders>
            <w:vAlign w:val="center"/>
          </w:tcPr>
          <w:p>
            <w:pPr>
              <w:pStyle w:val="246"/>
              <w:rPr>
                <w:rFonts w:eastAsiaTheme="minorEastAsia"/>
                <w:color w:val="auto"/>
              </w:rPr>
            </w:pPr>
            <w:r>
              <w:rPr>
                <w:rFonts w:eastAsiaTheme="minorEastAsia"/>
                <w:color w:val="auto"/>
              </w:rPr>
              <w:t>-</w:t>
            </w:r>
          </w:p>
        </w:tc>
        <w:tc>
          <w:tcPr>
            <w:tcW w:w="1134" w:type="dxa"/>
            <w:tcBorders>
              <w:top w:val="single" w:color="auto" w:sz="4" w:space="0"/>
            </w:tcBorders>
            <w:vAlign w:val="center"/>
          </w:tcPr>
          <w:p>
            <w:pPr>
              <w:pStyle w:val="246"/>
              <w:rPr>
                <w:rFonts w:eastAsiaTheme="minorEastAsia"/>
                <w:color w:val="auto"/>
              </w:rPr>
            </w:pPr>
            <w:r>
              <w:rPr>
                <w:rFonts w:eastAsiaTheme="minorEastAsia"/>
                <w:color w:val="auto"/>
              </w:rPr>
              <w:t>-</w:t>
            </w:r>
          </w:p>
        </w:tc>
        <w:tc>
          <w:tcPr>
            <w:tcW w:w="1786" w:type="dxa"/>
            <w:tcBorders>
              <w:top w:val="single" w:color="auto" w:sz="4" w:space="0"/>
            </w:tcBorders>
          </w:tcPr>
          <w:p>
            <w:pPr>
              <w:pStyle w:val="246"/>
              <w:rPr>
                <w:rFonts w:eastAsiaTheme="minorEastAsia"/>
                <w:color w:val="auto"/>
              </w:rPr>
            </w:pP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680" w:type="dxa"/>
            <w:vMerge w:val="restart"/>
            <w:vAlign w:val="center"/>
          </w:tcPr>
          <w:p>
            <w:pPr>
              <w:pStyle w:val="246"/>
              <w:rPr>
                <w:rFonts w:eastAsiaTheme="minorEastAsia"/>
                <w:color w:val="auto"/>
              </w:rPr>
            </w:pPr>
            <w:r>
              <w:rPr>
                <w:rFonts w:eastAsiaTheme="minorEastAsia"/>
                <w:color w:val="auto"/>
              </w:rPr>
              <w:t>固废</w:t>
            </w:r>
          </w:p>
        </w:tc>
        <w:tc>
          <w:tcPr>
            <w:tcW w:w="1379" w:type="dxa"/>
            <w:vAlign w:val="center"/>
          </w:tcPr>
          <w:p>
            <w:pPr>
              <w:pStyle w:val="246"/>
              <w:rPr>
                <w:rFonts w:eastAsiaTheme="minorEastAsia"/>
                <w:color w:val="auto"/>
              </w:rPr>
            </w:pPr>
            <w:r>
              <w:rPr>
                <w:rFonts w:eastAsiaTheme="minorEastAsia"/>
                <w:color w:val="auto"/>
              </w:rPr>
              <w:t>炸药包装物</w:t>
            </w:r>
          </w:p>
        </w:tc>
        <w:tc>
          <w:tcPr>
            <w:tcW w:w="980" w:type="dxa"/>
            <w:vAlign w:val="center"/>
          </w:tcPr>
          <w:p>
            <w:pPr>
              <w:pStyle w:val="246"/>
              <w:rPr>
                <w:rFonts w:eastAsiaTheme="minorEastAsia"/>
                <w:color w:val="auto"/>
              </w:rPr>
            </w:pPr>
            <w:r>
              <w:rPr>
                <w:rFonts w:eastAsiaTheme="minorEastAsia"/>
                <w:color w:val="auto"/>
              </w:rPr>
              <w:t>纸壳、塑料</w:t>
            </w:r>
          </w:p>
        </w:tc>
        <w:tc>
          <w:tcPr>
            <w:tcW w:w="4327" w:type="dxa"/>
            <w:vAlign w:val="center"/>
          </w:tcPr>
          <w:p>
            <w:pPr>
              <w:pStyle w:val="246"/>
              <w:rPr>
                <w:rFonts w:eastAsiaTheme="minorEastAsia"/>
                <w:color w:val="auto"/>
              </w:rPr>
            </w:pPr>
            <w:r>
              <w:rPr>
                <w:rFonts w:eastAsiaTheme="minorEastAsia"/>
                <w:color w:val="auto"/>
              </w:rPr>
              <w:t>包装物统一收集暂存在一般固废收集箱，由爆破部门进行回收再利用</w:t>
            </w:r>
          </w:p>
        </w:tc>
        <w:tc>
          <w:tcPr>
            <w:tcW w:w="1396" w:type="dxa"/>
            <w:vAlign w:val="center"/>
          </w:tcPr>
          <w:p>
            <w:pPr>
              <w:pStyle w:val="246"/>
              <w:rPr>
                <w:rFonts w:eastAsiaTheme="minorEastAsia"/>
                <w:color w:val="auto"/>
              </w:rPr>
            </w:pPr>
            <w:r>
              <w:rPr>
                <w:rFonts w:eastAsiaTheme="minorEastAsia"/>
                <w:color w:val="auto"/>
              </w:rPr>
              <w:t>-</w:t>
            </w:r>
          </w:p>
        </w:tc>
        <w:tc>
          <w:tcPr>
            <w:tcW w:w="2011" w:type="dxa"/>
            <w:vMerge w:val="restart"/>
            <w:vAlign w:val="center"/>
          </w:tcPr>
          <w:p>
            <w:pPr>
              <w:pStyle w:val="246"/>
              <w:rPr>
                <w:rFonts w:eastAsiaTheme="minorEastAsia"/>
                <w:color w:val="auto"/>
              </w:rPr>
            </w:pPr>
            <w:r>
              <w:rPr>
                <w:rFonts w:eastAsiaTheme="minorEastAsia"/>
                <w:color w:val="auto"/>
              </w:rPr>
              <w:t>《一般工业固体废物贮存、处置场污染控制标准》（GB18599-2001）及2013年修改单</w:t>
            </w:r>
          </w:p>
        </w:tc>
        <w:tc>
          <w:tcPr>
            <w:tcW w:w="1276" w:type="dxa"/>
            <w:vAlign w:val="center"/>
          </w:tcPr>
          <w:p>
            <w:pPr>
              <w:pStyle w:val="246"/>
              <w:rPr>
                <w:rFonts w:eastAsiaTheme="minorEastAsia"/>
                <w:color w:val="auto"/>
              </w:rPr>
            </w:pPr>
            <w:r>
              <w:rPr>
                <w:rFonts w:eastAsiaTheme="minorEastAsia"/>
                <w:color w:val="auto"/>
              </w:rPr>
              <w:t>-</w:t>
            </w:r>
          </w:p>
        </w:tc>
        <w:tc>
          <w:tcPr>
            <w:tcW w:w="1134" w:type="dxa"/>
            <w:vAlign w:val="center"/>
          </w:tcPr>
          <w:p>
            <w:pPr>
              <w:pStyle w:val="246"/>
              <w:rPr>
                <w:rFonts w:eastAsiaTheme="minorEastAsia"/>
                <w:color w:val="auto"/>
              </w:rPr>
            </w:pPr>
            <w:r>
              <w:rPr>
                <w:rFonts w:eastAsiaTheme="minorEastAsia"/>
                <w:color w:val="auto"/>
              </w:rPr>
              <w:t>0.5t/a</w:t>
            </w:r>
          </w:p>
        </w:tc>
        <w:tc>
          <w:tcPr>
            <w:tcW w:w="1786" w:type="dxa"/>
            <w:vMerge w:val="restart"/>
          </w:tcPr>
          <w:p>
            <w:pPr>
              <w:pStyle w:val="246"/>
              <w:spacing w:line="240" w:lineRule="auto"/>
              <w:rPr>
                <w:rFonts w:eastAsiaTheme="minorEastAsia"/>
                <w:color w:val="auto"/>
              </w:rPr>
            </w:pPr>
            <w:r>
              <w:rPr>
                <w:rFonts w:eastAsiaTheme="minorEastAsia"/>
                <w:color w:val="auto"/>
              </w:rPr>
              <w:drawing>
                <wp:inline distT="0" distB="0" distL="0" distR="0">
                  <wp:extent cx="665480" cy="1092835"/>
                  <wp:effectExtent l="0" t="0" r="1270" b="1206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52">
                            <a:extLst>
                              <a:ext uri="{28A0092B-C50C-407E-A947-70E740481C1C}">
                                <a14:useLocalDpi xmlns:a14="http://schemas.microsoft.com/office/drawing/2010/main" val="0"/>
                              </a:ext>
                            </a:extLst>
                          </a:blip>
                          <a:stretch>
                            <a:fillRect/>
                          </a:stretch>
                        </pic:blipFill>
                        <pic:spPr>
                          <a:xfrm>
                            <a:off x="0" y="0"/>
                            <a:ext cx="665480" cy="1092835"/>
                          </a:xfrm>
                          <a:prstGeom prst="rect">
                            <a:avLst/>
                          </a:prstGeom>
                        </pic:spPr>
                      </pic:pic>
                    </a:graphicData>
                  </a:graphic>
                </wp:inline>
              </w:drawing>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680" w:type="dxa"/>
            <w:vMerge w:val="continue"/>
            <w:vAlign w:val="center"/>
          </w:tcPr>
          <w:p>
            <w:pPr>
              <w:pStyle w:val="246"/>
              <w:rPr>
                <w:rFonts w:eastAsiaTheme="minorEastAsia"/>
                <w:color w:val="auto"/>
              </w:rPr>
            </w:pPr>
          </w:p>
        </w:tc>
        <w:tc>
          <w:tcPr>
            <w:tcW w:w="1379" w:type="dxa"/>
            <w:vAlign w:val="center"/>
          </w:tcPr>
          <w:p>
            <w:pPr>
              <w:pStyle w:val="246"/>
              <w:rPr>
                <w:rFonts w:eastAsiaTheme="minorEastAsia"/>
                <w:color w:val="auto"/>
              </w:rPr>
            </w:pPr>
            <w:r>
              <w:rPr>
                <w:rFonts w:eastAsiaTheme="minorEastAsia"/>
                <w:color w:val="auto"/>
              </w:rPr>
              <w:t>剥离的土岩</w:t>
            </w:r>
          </w:p>
        </w:tc>
        <w:tc>
          <w:tcPr>
            <w:tcW w:w="980" w:type="dxa"/>
            <w:vAlign w:val="center"/>
          </w:tcPr>
          <w:p>
            <w:pPr>
              <w:pStyle w:val="246"/>
              <w:rPr>
                <w:rFonts w:eastAsiaTheme="minorEastAsia"/>
                <w:color w:val="auto"/>
              </w:rPr>
            </w:pPr>
            <w:r>
              <w:rPr>
                <w:rFonts w:eastAsiaTheme="minorEastAsia"/>
                <w:color w:val="auto"/>
              </w:rPr>
              <w:t>土岩</w:t>
            </w:r>
          </w:p>
        </w:tc>
        <w:tc>
          <w:tcPr>
            <w:tcW w:w="4327" w:type="dxa"/>
            <w:vAlign w:val="center"/>
          </w:tcPr>
          <w:p>
            <w:pPr>
              <w:pStyle w:val="246"/>
              <w:rPr>
                <w:rFonts w:eastAsiaTheme="minorEastAsia"/>
                <w:color w:val="auto"/>
              </w:rPr>
            </w:pPr>
            <w:r>
              <w:rPr>
                <w:rFonts w:eastAsiaTheme="minorEastAsia"/>
                <w:color w:val="auto"/>
              </w:rPr>
              <w:t>剥离的土岩堆于临时堆土场，定期外售。</w:t>
            </w:r>
          </w:p>
        </w:tc>
        <w:tc>
          <w:tcPr>
            <w:tcW w:w="1396" w:type="dxa"/>
            <w:vAlign w:val="center"/>
          </w:tcPr>
          <w:p>
            <w:pPr>
              <w:pStyle w:val="246"/>
              <w:rPr>
                <w:rFonts w:eastAsiaTheme="minorEastAsia"/>
                <w:color w:val="auto"/>
              </w:rPr>
            </w:pPr>
            <w:r>
              <w:rPr>
                <w:rFonts w:eastAsiaTheme="minorEastAsia"/>
                <w:color w:val="auto"/>
              </w:rPr>
              <w:t>-</w:t>
            </w:r>
          </w:p>
        </w:tc>
        <w:tc>
          <w:tcPr>
            <w:tcW w:w="2011" w:type="dxa"/>
            <w:vMerge w:val="continue"/>
            <w:vAlign w:val="center"/>
          </w:tcPr>
          <w:p>
            <w:pPr>
              <w:pStyle w:val="246"/>
              <w:rPr>
                <w:rFonts w:eastAsiaTheme="minorEastAsia"/>
                <w:color w:val="auto"/>
              </w:rPr>
            </w:pPr>
          </w:p>
        </w:tc>
        <w:tc>
          <w:tcPr>
            <w:tcW w:w="1276" w:type="dxa"/>
            <w:vAlign w:val="center"/>
          </w:tcPr>
          <w:p>
            <w:pPr>
              <w:pStyle w:val="246"/>
              <w:rPr>
                <w:rFonts w:eastAsiaTheme="minorEastAsia"/>
                <w:color w:val="auto"/>
              </w:rPr>
            </w:pPr>
            <w:r>
              <w:rPr>
                <w:rFonts w:eastAsiaTheme="minorEastAsia"/>
                <w:color w:val="auto"/>
              </w:rPr>
              <w:t>-</w:t>
            </w:r>
          </w:p>
        </w:tc>
        <w:tc>
          <w:tcPr>
            <w:tcW w:w="1134" w:type="dxa"/>
            <w:vAlign w:val="center"/>
          </w:tcPr>
          <w:p>
            <w:pPr>
              <w:pStyle w:val="246"/>
              <w:rPr>
                <w:rFonts w:eastAsiaTheme="minorEastAsia"/>
                <w:color w:val="auto"/>
              </w:rPr>
            </w:pPr>
            <w:r>
              <w:rPr>
                <w:rFonts w:hint="eastAsia" w:eastAsiaTheme="minorEastAsia"/>
                <w:color w:val="auto"/>
                <w:lang w:eastAsia="zh-CN"/>
              </w:rPr>
              <w:t>9</w:t>
            </w:r>
            <w:r>
              <w:rPr>
                <w:rFonts w:hint="eastAsia" w:eastAsiaTheme="minorEastAsia"/>
                <w:color w:val="auto"/>
                <w:lang w:val="en-US" w:eastAsia="zh-CN"/>
              </w:rPr>
              <w:t>29</w:t>
            </w:r>
            <w:r>
              <w:rPr>
                <w:rFonts w:eastAsiaTheme="minorEastAsia"/>
                <w:color w:val="auto"/>
              </w:rPr>
              <w:t>m</w:t>
            </w:r>
            <w:r>
              <w:rPr>
                <w:rFonts w:eastAsiaTheme="minorEastAsia"/>
                <w:color w:val="auto"/>
                <w:vertAlign w:val="superscript"/>
              </w:rPr>
              <w:t>3</w:t>
            </w:r>
            <w:r>
              <w:rPr>
                <w:rFonts w:eastAsiaTheme="minorEastAsia"/>
                <w:color w:val="auto"/>
              </w:rPr>
              <w:t>/a</w:t>
            </w:r>
          </w:p>
        </w:tc>
        <w:tc>
          <w:tcPr>
            <w:tcW w:w="1786" w:type="dxa"/>
            <w:vMerge w:val="continue"/>
          </w:tcPr>
          <w:p>
            <w:pPr>
              <w:pStyle w:val="246"/>
              <w:rPr>
                <w:rFonts w:eastAsiaTheme="minorEastAsia"/>
                <w:color w:val="auto"/>
              </w:rPr>
            </w:pP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680" w:type="dxa"/>
            <w:vMerge w:val="continue"/>
            <w:vAlign w:val="center"/>
          </w:tcPr>
          <w:p>
            <w:pPr>
              <w:pStyle w:val="246"/>
              <w:rPr>
                <w:rFonts w:eastAsiaTheme="minorEastAsia"/>
                <w:color w:val="auto"/>
              </w:rPr>
            </w:pPr>
          </w:p>
        </w:tc>
        <w:tc>
          <w:tcPr>
            <w:tcW w:w="1379" w:type="dxa"/>
            <w:vAlign w:val="center"/>
          </w:tcPr>
          <w:p>
            <w:pPr>
              <w:pStyle w:val="246"/>
              <w:rPr>
                <w:rFonts w:eastAsiaTheme="minorEastAsia"/>
                <w:color w:val="auto"/>
              </w:rPr>
            </w:pPr>
            <w:r>
              <w:rPr>
                <w:rFonts w:eastAsiaTheme="minorEastAsia"/>
                <w:color w:val="auto"/>
              </w:rPr>
              <w:t>生活垃圾</w:t>
            </w:r>
          </w:p>
        </w:tc>
        <w:tc>
          <w:tcPr>
            <w:tcW w:w="980" w:type="dxa"/>
            <w:vAlign w:val="center"/>
          </w:tcPr>
          <w:p>
            <w:pPr>
              <w:pStyle w:val="246"/>
              <w:rPr>
                <w:rFonts w:eastAsiaTheme="minorEastAsia"/>
                <w:color w:val="auto"/>
              </w:rPr>
            </w:pPr>
            <w:r>
              <w:rPr>
                <w:rFonts w:eastAsiaTheme="minorEastAsia"/>
                <w:color w:val="auto"/>
              </w:rPr>
              <w:t>垃圾</w:t>
            </w:r>
          </w:p>
        </w:tc>
        <w:tc>
          <w:tcPr>
            <w:tcW w:w="4327" w:type="dxa"/>
            <w:vAlign w:val="center"/>
          </w:tcPr>
          <w:p>
            <w:pPr>
              <w:pStyle w:val="246"/>
              <w:rPr>
                <w:rFonts w:eastAsiaTheme="minorEastAsia"/>
                <w:color w:val="auto"/>
              </w:rPr>
            </w:pPr>
            <w:r>
              <w:rPr>
                <w:rFonts w:eastAsiaTheme="minorEastAsia"/>
                <w:color w:val="auto"/>
              </w:rPr>
              <w:t>由市政部门定期统一处理。</w:t>
            </w:r>
          </w:p>
        </w:tc>
        <w:tc>
          <w:tcPr>
            <w:tcW w:w="1396" w:type="dxa"/>
            <w:vAlign w:val="center"/>
          </w:tcPr>
          <w:p>
            <w:pPr>
              <w:pStyle w:val="246"/>
              <w:rPr>
                <w:rFonts w:eastAsiaTheme="minorEastAsia"/>
                <w:color w:val="auto"/>
              </w:rPr>
            </w:pPr>
            <w:r>
              <w:rPr>
                <w:rFonts w:eastAsiaTheme="minorEastAsia"/>
                <w:color w:val="auto"/>
              </w:rPr>
              <w:t>-</w:t>
            </w:r>
          </w:p>
        </w:tc>
        <w:tc>
          <w:tcPr>
            <w:tcW w:w="2011" w:type="dxa"/>
            <w:vMerge w:val="continue"/>
            <w:vAlign w:val="center"/>
          </w:tcPr>
          <w:p>
            <w:pPr>
              <w:pStyle w:val="246"/>
              <w:rPr>
                <w:rFonts w:eastAsiaTheme="minorEastAsia"/>
                <w:color w:val="auto"/>
              </w:rPr>
            </w:pPr>
          </w:p>
        </w:tc>
        <w:tc>
          <w:tcPr>
            <w:tcW w:w="1276" w:type="dxa"/>
            <w:vAlign w:val="center"/>
          </w:tcPr>
          <w:p>
            <w:pPr>
              <w:pStyle w:val="246"/>
              <w:rPr>
                <w:rFonts w:eastAsiaTheme="minorEastAsia"/>
                <w:color w:val="auto"/>
              </w:rPr>
            </w:pPr>
            <w:r>
              <w:rPr>
                <w:rFonts w:eastAsiaTheme="minorEastAsia"/>
                <w:color w:val="auto"/>
              </w:rPr>
              <w:t>-</w:t>
            </w:r>
          </w:p>
        </w:tc>
        <w:tc>
          <w:tcPr>
            <w:tcW w:w="1134" w:type="dxa"/>
            <w:vAlign w:val="center"/>
          </w:tcPr>
          <w:p>
            <w:pPr>
              <w:pStyle w:val="246"/>
              <w:rPr>
                <w:rFonts w:eastAsiaTheme="minorEastAsia"/>
                <w:color w:val="auto"/>
              </w:rPr>
            </w:pPr>
            <w:r>
              <w:rPr>
                <w:rFonts w:eastAsiaTheme="minorEastAsia"/>
                <w:color w:val="auto"/>
              </w:rPr>
              <w:t>1.2t/a</w:t>
            </w:r>
          </w:p>
        </w:tc>
        <w:tc>
          <w:tcPr>
            <w:tcW w:w="1786" w:type="dxa"/>
            <w:vMerge w:val="continue"/>
          </w:tcPr>
          <w:p>
            <w:pPr>
              <w:pStyle w:val="246"/>
              <w:rPr>
                <w:rFonts w:eastAsiaTheme="minorEastAsia"/>
                <w:color w:val="auto"/>
              </w:rPr>
            </w:pP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680" w:type="dxa"/>
            <w:vMerge w:val="continue"/>
            <w:vAlign w:val="center"/>
          </w:tcPr>
          <w:p>
            <w:pPr>
              <w:pStyle w:val="246"/>
              <w:rPr>
                <w:rFonts w:eastAsiaTheme="minorEastAsia"/>
                <w:color w:val="auto"/>
              </w:rPr>
            </w:pPr>
          </w:p>
        </w:tc>
        <w:tc>
          <w:tcPr>
            <w:tcW w:w="1379" w:type="dxa"/>
            <w:vAlign w:val="center"/>
          </w:tcPr>
          <w:p>
            <w:pPr>
              <w:pStyle w:val="246"/>
              <w:rPr>
                <w:rFonts w:eastAsiaTheme="minorEastAsia"/>
                <w:color w:val="auto"/>
              </w:rPr>
            </w:pPr>
            <w:r>
              <w:rPr>
                <w:rFonts w:eastAsiaTheme="minorEastAsia"/>
                <w:color w:val="auto"/>
              </w:rPr>
              <w:t>石粉</w:t>
            </w:r>
          </w:p>
        </w:tc>
        <w:tc>
          <w:tcPr>
            <w:tcW w:w="980" w:type="dxa"/>
            <w:vAlign w:val="center"/>
          </w:tcPr>
          <w:p>
            <w:pPr>
              <w:pStyle w:val="246"/>
              <w:rPr>
                <w:rFonts w:eastAsiaTheme="minorEastAsia"/>
                <w:color w:val="auto"/>
              </w:rPr>
            </w:pPr>
            <w:r>
              <w:rPr>
                <w:rFonts w:eastAsiaTheme="minorEastAsia"/>
                <w:color w:val="auto"/>
              </w:rPr>
              <w:t>石粉</w:t>
            </w:r>
          </w:p>
        </w:tc>
        <w:tc>
          <w:tcPr>
            <w:tcW w:w="4327" w:type="dxa"/>
            <w:vAlign w:val="center"/>
          </w:tcPr>
          <w:p>
            <w:pPr>
              <w:pStyle w:val="246"/>
              <w:rPr>
                <w:rFonts w:eastAsiaTheme="minorEastAsia"/>
                <w:color w:val="auto"/>
              </w:rPr>
            </w:pPr>
            <w:r>
              <w:rPr>
                <w:rFonts w:eastAsiaTheme="minorEastAsia"/>
                <w:color w:val="auto"/>
              </w:rPr>
              <w:t>收集入封闭石粉仓，定期外售</w:t>
            </w:r>
          </w:p>
        </w:tc>
        <w:tc>
          <w:tcPr>
            <w:tcW w:w="1396" w:type="dxa"/>
            <w:vAlign w:val="center"/>
          </w:tcPr>
          <w:p>
            <w:pPr>
              <w:pStyle w:val="246"/>
              <w:rPr>
                <w:rFonts w:eastAsiaTheme="minorEastAsia"/>
                <w:color w:val="auto"/>
              </w:rPr>
            </w:pPr>
          </w:p>
        </w:tc>
        <w:tc>
          <w:tcPr>
            <w:tcW w:w="2011" w:type="dxa"/>
            <w:vMerge w:val="continue"/>
            <w:vAlign w:val="center"/>
          </w:tcPr>
          <w:p>
            <w:pPr>
              <w:pStyle w:val="246"/>
              <w:rPr>
                <w:rFonts w:eastAsiaTheme="minorEastAsia"/>
                <w:color w:val="auto"/>
              </w:rPr>
            </w:pPr>
          </w:p>
        </w:tc>
        <w:tc>
          <w:tcPr>
            <w:tcW w:w="1276" w:type="dxa"/>
            <w:vAlign w:val="center"/>
          </w:tcPr>
          <w:p>
            <w:pPr>
              <w:pStyle w:val="246"/>
              <w:rPr>
                <w:rFonts w:eastAsiaTheme="minorEastAsia"/>
                <w:color w:val="auto"/>
              </w:rPr>
            </w:pPr>
          </w:p>
        </w:tc>
        <w:tc>
          <w:tcPr>
            <w:tcW w:w="1134" w:type="dxa"/>
            <w:vAlign w:val="center"/>
          </w:tcPr>
          <w:p>
            <w:pPr>
              <w:pStyle w:val="246"/>
              <w:rPr>
                <w:rFonts w:eastAsiaTheme="minorEastAsia"/>
                <w:color w:val="auto"/>
              </w:rPr>
            </w:pPr>
            <w:r>
              <w:rPr>
                <w:rFonts w:hint="eastAsia" w:eastAsiaTheme="minorEastAsia"/>
                <w:color w:val="auto"/>
                <w:lang w:eastAsia="zh-CN"/>
              </w:rPr>
              <w:t>381.4</w:t>
            </w:r>
            <w:r>
              <w:rPr>
                <w:rFonts w:eastAsiaTheme="minorEastAsia"/>
                <w:color w:val="auto"/>
              </w:rPr>
              <w:t>t/a</w:t>
            </w:r>
          </w:p>
        </w:tc>
        <w:tc>
          <w:tcPr>
            <w:tcW w:w="1786" w:type="dxa"/>
            <w:vMerge w:val="continue"/>
          </w:tcPr>
          <w:p>
            <w:pPr>
              <w:pStyle w:val="246"/>
              <w:rPr>
                <w:rFonts w:eastAsiaTheme="minorEastAsia"/>
                <w:color w:val="auto"/>
              </w:rPr>
            </w:pP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680" w:type="dxa"/>
            <w:vMerge w:val="continue"/>
            <w:vAlign w:val="center"/>
          </w:tcPr>
          <w:p>
            <w:pPr>
              <w:pStyle w:val="246"/>
              <w:rPr>
                <w:rFonts w:eastAsiaTheme="minorEastAsia"/>
                <w:color w:val="auto"/>
              </w:rPr>
            </w:pPr>
          </w:p>
        </w:tc>
        <w:tc>
          <w:tcPr>
            <w:tcW w:w="1379" w:type="dxa"/>
            <w:vAlign w:val="center"/>
          </w:tcPr>
          <w:p>
            <w:pPr>
              <w:pStyle w:val="246"/>
              <w:rPr>
                <w:rFonts w:eastAsiaTheme="minorEastAsia"/>
                <w:color w:val="auto"/>
              </w:rPr>
            </w:pPr>
            <w:r>
              <w:rPr>
                <w:rFonts w:eastAsiaTheme="minorEastAsia"/>
                <w:color w:val="auto"/>
              </w:rPr>
              <w:t>废机油</w:t>
            </w:r>
          </w:p>
        </w:tc>
        <w:tc>
          <w:tcPr>
            <w:tcW w:w="980" w:type="dxa"/>
            <w:vAlign w:val="center"/>
          </w:tcPr>
          <w:p>
            <w:pPr>
              <w:pStyle w:val="246"/>
              <w:rPr>
                <w:rFonts w:eastAsiaTheme="minorEastAsia"/>
                <w:color w:val="auto"/>
              </w:rPr>
            </w:pPr>
            <w:r>
              <w:rPr>
                <w:rFonts w:eastAsiaTheme="minorEastAsia"/>
                <w:color w:val="auto"/>
              </w:rPr>
              <w:t>废机油</w:t>
            </w:r>
          </w:p>
        </w:tc>
        <w:tc>
          <w:tcPr>
            <w:tcW w:w="4327" w:type="dxa"/>
            <w:vAlign w:val="center"/>
          </w:tcPr>
          <w:p>
            <w:pPr>
              <w:pStyle w:val="246"/>
              <w:spacing w:line="240" w:lineRule="auto"/>
              <w:ind w:firstLine="420" w:firstLineChars="200"/>
              <w:jc w:val="left"/>
              <w:rPr>
                <w:rFonts w:eastAsiaTheme="minorEastAsia"/>
                <w:color w:val="auto"/>
              </w:rPr>
            </w:pPr>
            <w:r>
              <w:rPr>
                <w:rFonts w:eastAsiaTheme="minorEastAsia"/>
                <w:color w:val="auto"/>
              </w:rPr>
              <w:t>应单独收集，用设明显标识的密闭桶盛装，暂存于危废暂存间， 交由有资质单位进行处置危险废物暂存间采用高密度聚乙烯土工膜（HDPE）进行防渗，其渗透系数不大于 1.0×10-10cm/s，厚度不小于 1.5mm。</w:t>
            </w:r>
          </w:p>
        </w:tc>
        <w:tc>
          <w:tcPr>
            <w:tcW w:w="1396" w:type="dxa"/>
            <w:vAlign w:val="center"/>
          </w:tcPr>
          <w:p>
            <w:pPr>
              <w:pStyle w:val="246"/>
              <w:rPr>
                <w:rFonts w:eastAsiaTheme="minorEastAsia"/>
                <w:color w:val="auto"/>
              </w:rPr>
            </w:pPr>
          </w:p>
        </w:tc>
        <w:tc>
          <w:tcPr>
            <w:tcW w:w="2011" w:type="dxa"/>
            <w:vAlign w:val="center"/>
          </w:tcPr>
          <w:p>
            <w:pPr>
              <w:pStyle w:val="55"/>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 xml:space="preserve">危险废物执行《危险废物贮存污染控制标准》（GB18597-2001） 及修改单 </w:t>
            </w:r>
          </w:p>
        </w:tc>
        <w:tc>
          <w:tcPr>
            <w:tcW w:w="1276" w:type="dxa"/>
            <w:vAlign w:val="center"/>
          </w:tcPr>
          <w:p>
            <w:pPr>
              <w:pStyle w:val="246"/>
              <w:rPr>
                <w:rFonts w:eastAsiaTheme="minorEastAsia"/>
                <w:color w:val="auto"/>
              </w:rPr>
            </w:pPr>
          </w:p>
        </w:tc>
        <w:tc>
          <w:tcPr>
            <w:tcW w:w="1134" w:type="dxa"/>
            <w:vAlign w:val="center"/>
          </w:tcPr>
          <w:p>
            <w:pPr>
              <w:pStyle w:val="246"/>
              <w:rPr>
                <w:rFonts w:eastAsiaTheme="minorEastAsia"/>
                <w:color w:val="auto"/>
              </w:rPr>
            </w:pPr>
          </w:p>
        </w:tc>
        <w:tc>
          <w:tcPr>
            <w:tcW w:w="1786" w:type="dxa"/>
            <w:vMerge w:val="continue"/>
          </w:tcPr>
          <w:p>
            <w:pPr>
              <w:pStyle w:val="246"/>
              <w:rPr>
                <w:rFonts w:eastAsiaTheme="minorEastAsia"/>
                <w:color w:val="auto"/>
              </w:rPr>
            </w:pPr>
          </w:p>
        </w:tc>
      </w:tr>
    </w:tbl>
    <w:p>
      <w:pPr>
        <w:ind w:firstLine="480"/>
        <w:rPr>
          <w:rFonts w:eastAsiaTheme="minorEastAsia"/>
          <w:color w:val="auto"/>
        </w:rPr>
        <w:sectPr>
          <w:pgSz w:w="16838" w:h="11906" w:orient="landscape"/>
          <w:pgMar w:top="1800" w:right="1440" w:bottom="1800" w:left="1440" w:header="851" w:footer="992" w:gutter="0"/>
          <w:pgBorders>
            <w:top w:val="none" w:sz="0" w:space="0"/>
            <w:left w:val="none" w:sz="0" w:space="0"/>
            <w:bottom w:val="none" w:sz="0" w:space="0"/>
            <w:right w:val="none" w:sz="0" w:space="0"/>
          </w:pgBorders>
          <w:cols w:space="720" w:num="1"/>
          <w:docGrid w:type="lines" w:linePitch="326" w:charSpace="0"/>
        </w:sectPr>
      </w:pPr>
    </w:p>
    <w:p>
      <w:pPr>
        <w:ind w:firstLine="480"/>
        <w:rPr>
          <w:rFonts w:eastAsiaTheme="minorEastAsia"/>
          <w:color w:val="auto"/>
        </w:rPr>
      </w:pPr>
      <w:r>
        <w:rPr>
          <w:rFonts w:eastAsiaTheme="minorEastAsia"/>
          <w:color w:val="auto"/>
        </w:rPr>
        <w:t>建设单位应向社会公开企业例行环境监测信息，包括排气筒粉尘排放浓度、厂界噪声、粉尘监测数据等。</w:t>
      </w:r>
    </w:p>
    <w:p>
      <w:pPr>
        <w:pStyle w:val="240"/>
        <w:rPr>
          <w:rFonts w:ascii="Times New Roman" w:hAnsi="Times New Roman" w:cs="Times New Roman" w:eastAsiaTheme="minorEastAsia"/>
          <w:color w:val="auto"/>
        </w:rPr>
      </w:pPr>
      <w:bookmarkStart w:id="284" w:name="_Toc1307"/>
      <w:r>
        <w:rPr>
          <w:rFonts w:ascii="Times New Roman" w:hAnsi="Times New Roman" w:cs="Times New Roman" w:eastAsiaTheme="minorEastAsia"/>
          <w:color w:val="auto"/>
        </w:rPr>
        <w:t>8.1.5环境管理计划</w:t>
      </w:r>
      <w:bookmarkEnd w:id="284"/>
    </w:p>
    <w:p>
      <w:pPr>
        <w:spacing w:line="500" w:lineRule="exact"/>
        <w:ind w:firstLine="480" w:firstLineChars="200"/>
        <w:rPr>
          <w:rFonts w:eastAsiaTheme="minorEastAsia"/>
          <w:color w:val="auto"/>
        </w:rPr>
      </w:pPr>
      <w:r>
        <w:rPr>
          <w:rFonts w:eastAsiaTheme="minorEastAsia"/>
          <w:color w:val="auto"/>
        </w:rPr>
        <w:t>环境保护管理内容包括环境管理行动计划和环境检查计划。</w:t>
      </w:r>
    </w:p>
    <w:p>
      <w:pPr>
        <w:spacing w:line="500" w:lineRule="exact"/>
        <w:ind w:firstLine="480" w:firstLineChars="200"/>
        <w:rPr>
          <w:rFonts w:eastAsiaTheme="minorEastAsia"/>
          <w:color w:val="auto"/>
        </w:rPr>
      </w:pPr>
      <w:r>
        <w:rPr>
          <w:rFonts w:eastAsiaTheme="minorEastAsia"/>
          <w:color w:val="auto"/>
        </w:rPr>
        <w:t>本项目环境管理行动计划是针对工程的环境影响问题，制定相应的对策，以减少工程对环境的不利影响，见表8-1-2。同时，为了确保环境建设与项目建设同步进行，检查工程各时期环境保护措施的落实，制定运行期监督保护目标及各级环保部门对本项目的环境检查计划，见表8-1-3、表8-1-4。</w:t>
      </w:r>
    </w:p>
    <w:p>
      <w:pPr>
        <w:pStyle w:val="244"/>
        <w:rPr>
          <w:rFonts w:eastAsiaTheme="minorEastAsia"/>
          <w:color w:val="auto"/>
        </w:rPr>
      </w:pPr>
      <w:r>
        <w:rPr>
          <w:rFonts w:eastAsiaTheme="minorEastAsia"/>
          <w:color w:val="auto"/>
        </w:rPr>
        <w:t>表8-1-2  环境管理行动计划</w:t>
      </w:r>
    </w:p>
    <w:tbl>
      <w:tblPr>
        <w:tblStyle w:val="53"/>
        <w:tblW w:w="8306" w:type="dxa"/>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902"/>
        <w:gridCol w:w="4171"/>
        <w:gridCol w:w="1052"/>
        <w:gridCol w:w="1181"/>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88" w:hRule="atLeast"/>
        </w:trPr>
        <w:tc>
          <w:tcPr>
            <w:tcW w:w="1902" w:type="dxa"/>
            <w:vAlign w:val="center"/>
          </w:tcPr>
          <w:p>
            <w:pPr>
              <w:spacing w:line="360" w:lineRule="exact"/>
              <w:jc w:val="center"/>
              <w:rPr>
                <w:rFonts w:eastAsiaTheme="minorEastAsia"/>
                <w:bCs/>
                <w:color w:val="auto"/>
                <w:sz w:val="21"/>
                <w:szCs w:val="21"/>
              </w:rPr>
            </w:pPr>
            <w:r>
              <w:rPr>
                <w:rFonts w:eastAsiaTheme="minorEastAsia"/>
                <w:bCs/>
                <w:color w:val="auto"/>
                <w:sz w:val="21"/>
                <w:szCs w:val="21"/>
              </w:rPr>
              <w:t>环境问题</w:t>
            </w:r>
          </w:p>
        </w:tc>
        <w:tc>
          <w:tcPr>
            <w:tcW w:w="4171" w:type="dxa"/>
            <w:vAlign w:val="center"/>
          </w:tcPr>
          <w:p>
            <w:pPr>
              <w:spacing w:line="360" w:lineRule="exact"/>
              <w:jc w:val="center"/>
              <w:rPr>
                <w:rFonts w:eastAsiaTheme="minorEastAsia"/>
                <w:bCs/>
                <w:color w:val="auto"/>
                <w:sz w:val="21"/>
                <w:szCs w:val="21"/>
              </w:rPr>
            </w:pPr>
            <w:r>
              <w:rPr>
                <w:rFonts w:eastAsiaTheme="minorEastAsia"/>
                <w:bCs/>
                <w:color w:val="auto"/>
                <w:sz w:val="21"/>
                <w:szCs w:val="21"/>
              </w:rPr>
              <w:t>采取措施</w:t>
            </w:r>
          </w:p>
        </w:tc>
        <w:tc>
          <w:tcPr>
            <w:tcW w:w="1052" w:type="dxa"/>
            <w:vAlign w:val="center"/>
          </w:tcPr>
          <w:p>
            <w:pPr>
              <w:spacing w:line="360" w:lineRule="exact"/>
              <w:jc w:val="center"/>
              <w:rPr>
                <w:rFonts w:eastAsiaTheme="minorEastAsia"/>
                <w:bCs/>
                <w:color w:val="auto"/>
                <w:sz w:val="21"/>
                <w:szCs w:val="21"/>
              </w:rPr>
            </w:pPr>
            <w:r>
              <w:rPr>
                <w:rFonts w:eastAsiaTheme="minorEastAsia"/>
                <w:bCs/>
                <w:color w:val="auto"/>
                <w:sz w:val="21"/>
                <w:szCs w:val="21"/>
              </w:rPr>
              <w:t>实施机构</w:t>
            </w:r>
          </w:p>
        </w:tc>
        <w:tc>
          <w:tcPr>
            <w:tcW w:w="1181" w:type="dxa"/>
            <w:vAlign w:val="center"/>
          </w:tcPr>
          <w:p>
            <w:pPr>
              <w:spacing w:line="360" w:lineRule="exact"/>
              <w:jc w:val="center"/>
              <w:rPr>
                <w:rFonts w:eastAsiaTheme="minorEastAsia"/>
                <w:bCs/>
                <w:color w:val="auto"/>
                <w:sz w:val="21"/>
                <w:szCs w:val="21"/>
              </w:rPr>
            </w:pPr>
            <w:r>
              <w:rPr>
                <w:rFonts w:eastAsiaTheme="minorEastAsia"/>
                <w:bCs/>
                <w:color w:val="auto"/>
                <w:sz w:val="21"/>
                <w:szCs w:val="21"/>
              </w:rPr>
              <w:t>监督机构</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43" w:hRule="atLeast"/>
        </w:trPr>
        <w:tc>
          <w:tcPr>
            <w:tcW w:w="1902" w:type="dxa"/>
            <w:vAlign w:val="center"/>
          </w:tcPr>
          <w:p>
            <w:pPr>
              <w:spacing w:line="360" w:lineRule="exact"/>
              <w:jc w:val="center"/>
              <w:rPr>
                <w:rFonts w:eastAsiaTheme="minorEastAsia"/>
                <w:color w:val="auto"/>
                <w:sz w:val="21"/>
                <w:szCs w:val="21"/>
              </w:rPr>
            </w:pPr>
            <w:r>
              <w:rPr>
                <w:rFonts w:eastAsiaTheme="minorEastAsia"/>
                <w:color w:val="auto"/>
                <w:sz w:val="21"/>
                <w:szCs w:val="21"/>
              </w:rPr>
              <w:t>设备噪声</w:t>
            </w:r>
          </w:p>
        </w:tc>
        <w:tc>
          <w:tcPr>
            <w:tcW w:w="4171" w:type="dxa"/>
            <w:vAlign w:val="center"/>
          </w:tcPr>
          <w:p>
            <w:pPr>
              <w:spacing w:line="360" w:lineRule="exact"/>
              <w:rPr>
                <w:rFonts w:eastAsiaTheme="minorEastAsia"/>
                <w:color w:val="auto"/>
                <w:sz w:val="21"/>
                <w:szCs w:val="21"/>
              </w:rPr>
            </w:pPr>
            <w:r>
              <w:rPr>
                <w:rFonts w:eastAsiaTheme="minorEastAsia"/>
                <w:color w:val="auto"/>
                <w:sz w:val="21"/>
                <w:szCs w:val="21"/>
              </w:rPr>
              <w:t>选用低噪声设备、采取消声减振防噪措施绿化和个体防护等措施</w:t>
            </w:r>
          </w:p>
        </w:tc>
        <w:tc>
          <w:tcPr>
            <w:tcW w:w="1052" w:type="dxa"/>
            <w:vMerge w:val="restart"/>
            <w:vAlign w:val="center"/>
          </w:tcPr>
          <w:p>
            <w:pPr>
              <w:spacing w:line="360" w:lineRule="exact"/>
              <w:jc w:val="center"/>
              <w:rPr>
                <w:rFonts w:eastAsiaTheme="minorEastAsia"/>
                <w:color w:val="auto"/>
                <w:sz w:val="21"/>
                <w:szCs w:val="21"/>
              </w:rPr>
            </w:pPr>
            <w:r>
              <w:rPr>
                <w:rFonts w:eastAsiaTheme="minorEastAsia"/>
                <w:color w:val="auto"/>
                <w:sz w:val="21"/>
                <w:szCs w:val="21"/>
              </w:rPr>
              <w:t>建设单位</w:t>
            </w:r>
          </w:p>
        </w:tc>
        <w:tc>
          <w:tcPr>
            <w:tcW w:w="1181" w:type="dxa"/>
            <w:vMerge w:val="restart"/>
            <w:vAlign w:val="center"/>
          </w:tcPr>
          <w:p>
            <w:pPr>
              <w:spacing w:line="360" w:lineRule="exact"/>
              <w:jc w:val="center"/>
              <w:rPr>
                <w:rFonts w:eastAsiaTheme="minorEastAsia"/>
                <w:color w:val="auto"/>
                <w:sz w:val="21"/>
                <w:szCs w:val="21"/>
              </w:rPr>
            </w:pPr>
            <w:r>
              <w:rPr>
                <w:rFonts w:hint="eastAsia" w:eastAsiaTheme="minorEastAsia"/>
                <w:color w:val="auto"/>
                <w:sz w:val="21"/>
                <w:szCs w:val="21"/>
                <w:lang w:eastAsia="zh-CN"/>
              </w:rPr>
              <w:t>佳木斯市</w:t>
            </w:r>
            <w:r>
              <w:rPr>
                <w:rFonts w:eastAsiaTheme="minorEastAsia"/>
                <w:color w:val="auto"/>
                <w:sz w:val="21"/>
                <w:szCs w:val="21"/>
              </w:rPr>
              <w:t>环保局</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492" w:hRule="atLeast"/>
        </w:trPr>
        <w:tc>
          <w:tcPr>
            <w:tcW w:w="1902" w:type="dxa"/>
            <w:vAlign w:val="center"/>
          </w:tcPr>
          <w:p>
            <w:pPr>
              <w:spacing w:line="360" w:lineRule="exact"/>
              <w:jc w:val="center"/>
              <w:rPr>
                <w:rFonts w:eastAsiaTheme="minorEastAsia"/>
                <w:color w:val="auto"/>
                <w:sz w:val="21"/>
                <w:szCs w:val="21"/>
              </w:rPr>
            </w:pPr>
            <w:r>
              <w:rPr>
                <w:rFonts w:eastAsiaTheme="minorEastAsia"/>
                <w:color w:val="auto"/>
                <w:sz w:val="21"/>
                <w:szCs w:val="21"/>
              </w:rPr>
              <w:t>排放废水</w:t>
            </w:r>
          </w:p>
        </w:tc>
        <w:tc>
          <w:tcPr>
            <w:tcW w:w="4171" w:type="dxa"/>
            <w:vAlign w:val="center"/>
          </w:tcPr>
          <w:p>
            <w:pPr>
              <w:spacing w:line="360" w:lineRule="exact"/>
              <w:rPr>
                <w:rFonts w:eastAsiaTheme="minorEastAsia"/>
                <w:color w:val="auto"/>
                <w:sz w:val="21"/>
                <w:szCs w:val="21"/>
              </w:rPr>
            </w:pPr>
            <w:r>
              <w:rPr>
                <w:rFonts w:eastAsiaTheme="minorEastAsia"/>
                <w:color w:val="auto"/>
                <w:sz w:val="21"/>
                <w:szCs w:val="21"/>
              </w:rPr>
              <w:t>矿区汇水循环利用；生活污水排入防渗旱厕</w:t>
            </w:r>
          </w:p>
        </w:tc>
        <w:tc>
          <w:tcPr>
            <w:tcW w:w="1052" w:type="dxa"/>
            <w:vMerge w:val="continue"/>
            <w:vAlign w:val="center"/>
          </w:tcPr>
          <w:p>
            <w:pPr>
              <w:spacing w:line="360" w:lineRule="exact"/>
              <w:rPr>
                <w:rFonts w:eastAsiaTheme="minorEastAsia"/>
                <w:color w:val="auto"/>
                <w:sz w:val="21"/>
                <w:szCs w:val="21"/>
              </w:rPr>
            </w:pPr>
          </w:p>
        </w:tc>
        <w:tc>
          <w:tcPr>
            <w:tcW w:w="1181" w:type="dxa"/>
            <w:vMerge w:val="continue"/>
            <w:vAlign w:val="center"/>
          </w:tcPr>
          <w:p>
            <w:pPr>
              <w:spacing w:line="360" w:lineRule="exact"/>
              <w:rPr>
                <w:rFonts w:eastAsiaTheme="minorEastAsia"/>
                <w:color w:val="auto"/>
                <w:sz w:val="21"/>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97" w:hRule="atLeast"/>
        </w:trPr>
        <w:tc>
          <w:tcPr>
            <w:tcW w:w="1902" w:type="dxa"/>
            <w:vAlign w:val="center"/>
          </w:tcPr>
          <w:p>
            <w:pPr>
              <w:spacing w:line="360" w:lineRule="exact"/>
              <w:jc w:val="center"/>
              <w:rPr>
                <w:rFonts w:eastAsiaTheme="minorEastAsia"/>
                <w:color w:val="auto"/>
                <w:sz w:val="21"/>
                <w:szCs w:val="21"/>
              </w:rPr>
            </w:pPr>
            <w:r>
              <w:rPr>
                <w:rFonts w:eastAsiaTheme="minorEastAsia"/>
                <w:color w:val="auto"/>
                <w:sz w:val="21"/>
                <w:szCs w:val="21"/>
              </w:rPr>
              <w:t>废气</w:t>
            </w:r>
          </w:p>
        </w:tc>
        <w:tc>
          <w:tcPr>
            <w:tcW w:w="4171" w:type="dxa"/>
            <w:vAlign w:val="center"/>
          </w:tcPr>
          <w:p>
            <w:pPr>
              <w:spacing w:line="360" w:lineRule="exact"/>
              <w:rPr>
                <w:rFonts w:eastAsiaTheme="minorEastAsia"/>
                <w:color w:val="auto"/>
                <w:sz w:val="21"/>
                <w:szCs w:val="21"/>
              </w:rPr>
            </w:pPr>
            <w:r>
              <w:rPr>
                <w:rFonts w:eastAsiaTheme="minorEastAsia"/>
                <w:color w:val="auto"/>
                <w:sz w:val="21"/>
                <w:szCs w:val="21"/>
              </w:rPr>
              <w:t>采用湿法凿岩工艺，定期对采区洒水喷淋抑制扬尘，破碎筛分采用布袋除尘器处理后排放，移动式洒水抑尘装置，洒水、控制行驶速度、加盖苫布，播撒草籽等措施，石粉仓密闭</w:t>
            </w:r>
          </w:p>
        </w:tc>
        <w:tc>
          <w:tcPr>
            <w:tcW w:w="1052" w:type="dxa"/>
            <w:vMerge w:val="continue"/>
            <w:vAlign w:val="center"/>
          </w:tcPr>
          <w:p>
            <w:pPr>
              <w:spacing w:line="360" w:lineRule="exact"/>
              <w:rPr>
                <w:rFonts w:eastAsiaTheme="minorEastAsia"/>
                <w:color w:val="auto"/>
                <w:sz w:val="21"/>
                <w:szCs w:val="21"/>
              </w:rPr>
            </w:pPr>
          </w:p>
        </w:tc>
        <w:tc>
          <w:tcPr>
            <w:tcW w:w="1181" w:type="dxa"/>
            <w:vMerge w:val="continue"/>
            <w:vAlign w:val="center"/>
          </w:tcPr>
          <w:p>
            <w:pPr>
              <w:spacing w:line="360" w:lineRule="exact"/>
              <w:rPr>
                <w:rFonts w:eastAsiaTheme="minorEastAsia"/>
                <w:color w:val="auto"/>
                <w:sz w:val="21"/>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195" w:hRule="atLeast"/>
        </w:trPr>
        <w:tc>
          <w:tcPr>
            <w:tcW w:w="1902" w:type="dxa"/>
            <w:vMerge w:val="restart"/>
            <w:vAlign w:val="center"/>
          </w:tcPr>
          <w:p>
            <w:pPr>
              <w:spacing w:line="360" w:lineRule="exact"/>
              <w:jc w:val="center"/>
              <w:rPr>
                <w:rFonts w:eastAsiaTheme="minorEastAsia"/>
                <w:color w:val="auto"/>
                <w:sz w:val="21"/>
                <w:szCs w:val="21"/>
              </w:rPr>
            </w:pPr>
            <w:r>
              <w:rPr>
                <w:rFonts w:eastAsiaTheme="minorEastAsia"/>
                <w:color w:val="auto"/>
                <w:sz w:val="21"/>
                <w:szCs w:val="21"/>
              </w:rPr>
              <w:t>固体废物</w:t>
            </w:r>
          </w:p>
        </w:tc>
        <w:tc>
          <w:tcPr>
            <w:tcW w:w="4171" w:type="dxa"/>
            <w:vAlign w:val="center"/>
          </w:tcPr>
          <w:p>
            <w:pPr>
              <w:spacing w:line="360" w:lineRule="exact"/>
              <w:rPr>
                <w:rFonts w:eastAsiaTheme="minorEastAsia"/>
                <w:color w:val="auto"/>
                <w:sz w:val="21"/>
                <w:szCs w:val="21"/>
              </w:rPr>
            </w:pPr>
            <w:r>
              <w:rPr>
                <w:rFonts w:eastAsiaTheme="minorEastAsia"/>
                <w:color w:val="auto"/>
                <w:sz w:val="21"/>
                <w:szCs w:val="21"/>
              </w:rPr>
              <w:t>生活垃圾进行妥善处理，严禁随意丢弃</w:t>
            </w:r>
          </w:p>
        </w:tc>
        <w:tc>
          <w:tcPr>
            <w:tcW w:w="1052" w:type="dxa"/>
            <w:vMerge w:val="continue"/>
            <w:vAlign w:val="center"/>
          </w:tcPr>
          <w:p>
            <w:pPr>
              <w:spacing w:line="360" w:lineRule="exact"/>
              <w:rPr>
                <w:rFonts w:eastAsiaTheme="minorEastAsia"/>
                <w:color w:val="auto"/>
                <w:sz w:val="21"/>
                <w:szCs w:val="21"/>
              </w:rPr>
            </w:pPr>
          </w:p>
        </w:tc>
        <w:tc>
          <w:tcPr>
            <w:tcW w:w="1181" w:type="dxa"/>
            <w:vMerge w:val="continue"/>
            <w:vAlign w:val="center"/>
          </w:tcPr>
          <w:p>
            <w:pPr>
              <w:spacing w:line="360" w:lineRule="exact"/>
              <w:rPr>
                <w:rFonts w:eastAsiaTheme="minorEastAsia"/>
                <w:color w:val="auto"/>
                <w:sz w:val="21"/>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195" w:hRule="atLeast"/>
        </w:trPr>
        <w:tc>
          <w:tcPr>
            <w:tcW w:w="1902" w:type="dxa"/>
            <w:vMerge w:val="continue"/>
            <w:vAlign w:val="center"/>
          </w:tcPr>
          <w:p>
            <w:pPr>
              <w:spacing w:line="360" w:lineRule="exact"/>
              <w:rPr>
                <w:rFonts w:eastAsiaTheme="minorEastAsia"/>
                <w:color w:val="auto"/>
                <w:sz w:val="21"/>
                <w:szCs w:val="21"/>
              </w:rPr>
            </w:pPr>
          </w:p>
        </w:tc>
        <w:tc>
          <w:tcPr>
            <w:tcW w:w="4171" w:type="dxa"/>
            <w:vAlign w:val="center"/>
          </w:tcPr>
          <w:p>
            <w:pPr>
              <w:spacing w:line="360" w:lineRule="exact"/>
              <w:rPr>
                <w:rFonts w:eastAsiaTheme="minorEastAsia"/>
                <w:color w:val="auto"/>
                <w:sz w:val="21"/>
                <w:szCs w:val="21"/>
              </w:rPr>
            </w:pPr>
            <w:r>
              <w:rPr>
                <w:rFonts w:eastAsiaTheme="minorEastAsia"/>
                <w:color w:val="auto"/>
                <w:sz w:val="21"/>
                <w:szCs w:val="21"/>
              </w:rPr>
              <w:t>废石运至临时堆土场合理堆存，定期外售</w:t>
            </w:r>
          </w:p>
        </w:tc>
        <w:tc>
          <w:tcPr>
            <w:tcW w:w="1052" w:type="dxa"/>
            <w:vMerge w:val="continue"/>
            <w:vAlign w:val="center"/>
          </w:tcPr>
          <w:p>
            <w:pPr>
              <w:spacing w:line="360" w:lineRule="exact"/>
              <w:rPr>
                <w:rFonts w:eastAsiaTheme="minorEastAsia"/>
                <w:color w:val="auto"/>
                <w:sz w:val="21"/>
                <w:szCs w:val="21"/>
              </w:rPr>
            </w:pPr>
          </w:p>
        </w:tc>
        <w:tc>
          <w:tcPr>
            <w:tcW w:w="1181" w:type="dxa"/>
            <w:vMerge w:val="continue"/>
            <w:vAlign w:val="center"/>
          </w:tcPr>
          <w:p>
            <w:pPr>
              <w:spacing w:line="360" w:lineRule="exact"/>
              <w:rPr>
                <w:rFonts w:eastAsiaTheme="minorEastAsia"/>
                <w:color w:val="auto"/>
                <w:sz w:val="21"/>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195" w:hRule="atLeast"/>
        </w:trPr>
        <w:tc>
          <w:tcPr>
            <w:tcW w:w="1902" w:type="dxa"/>
            <w:vMerge w:val="continue"/>
            <w:vAlign w:val="center"/>
          </w:tcPr>
          <w:p>
            <w:pPr>
              <w:spacing w:line="360" w:lineRule="exact"/>
              <w:rPr>
                <w:rFonts w:eastAsiaTheme="minorEastAsia"/>
                <w:color w:val="auto"/>
                <w:sz w:val="21"/>
                <w:szCs w:val="21"/>
              </w:rPr>
            </w:pPr>
          </w:p>
        </w:tc>
        <w:tc>
          <w:tcPr>
            <w:tcW w:w="4171" w:type="dxa"/>
            <w:vAlign w:val="center"/>
          </w:tcPr>
          <w:p>
            <w:pPr>
              <w:spacing w:line="360" w:lineRule="exact"/>
              <w:rPr>
                <w:rFonts w:eastAsiaTheme="minorEastAsia"/>
                <w:color w:val="auto"/>
                <w:sz w:val="21"/>
                <w:szCs w:val="21"/>
              </w:rPr>
            </w:pPr>
            <w:r>
              <w:rPr>
                <w:rFonts w:eastAsiaTheme="minorEastAsia"/>
                <w:color w:val="auto"/>
                <w:sz w:val="21"/>
                <w:szCs w:val="21"/>
              </w:rPr>
              <w:t>剥离废石单独分区堆存，做好水土流失预防措施，待服务期满后用于地表恢复</w:t>
            </w:r>
          </w:p>
        </w:tc>
        <w:tc>
          <w:tcPr>
            <w:tcW w:w="1052" w:type="dxa"/>
            <w:vMerge w:val="continue"/>
            <w:vAlign w:val="center"/>
          </w:tcPr>
          <w:p>
            <w:pPr>
              <w:spacing w:line="360" w:lineRule="exact"/>
              <w:rPr>
                <w:rFonts w:eastAsiaTheme="minorEastAsia"/>
                <w:color w:val="auto"/>
                <w:sz w:val="21"/>
                <w:szCs w:val="21"/>
              </w:rPr>
            </w:pPr>
          </w:p>
        </w:tc>
        <w:tc>
          <w:tcPr>
            <w:tcW w:w="1181" w:type="dxa"/>
            <w:vMerge w:val="continue"/>
            <w:vAlign w:val="center"/>
          </w:tcPr>
          <w:p>
            <w:pPr>
              <w:spacing w:line="360" w:lineRule="exact"/>
              <w:rPr>
                <w:rFonts w:eastAsiaTheme="minorEastAsia"/>
                <w:color w:val="auto"/>
                <w:sz w:val="21"/>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195" w:hRule="atLeast"/>
        </w:trPr>
        <w:tc>
          <w:tcPr>
            <w:tcW w:w="1902" w:type="dxa"/>
            <w:vMerge w:val="continue"/>
            <w:vAlign w:val="center"/>
          </w:tcPr>
          <w:p>
            <w:pPr>
              <w:spacing w:line="360" w:lineRule="exact"/>
              <w:rPr>
                <w:rFonts w:eastAsiaTheme="minorEastAsia"/>
                <w:color w:val="auto"/>
                <w:sz w:val="21"/>
                <w:szCs w:val="21"/>
              </w:rPr>
            </w:pPr>
          </w:p>
        </w:tc>
        <w:tc>
          <w:tcPr>
            <w:tcW w:w="4171" w:type="dxa"/>
            <w:vAlign w:val="center"/>
          </w:tcPr>
          <w:p>
            <w:pPr>
              <w:pStyle w:val="55"/>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 xml:space="preserve">应单独收集，用设明显标识的密闭桶盛装，暂存于危废暂存间， 交由有资质单位进行处置 </w:t>
            </w:r>
          </w:p>
        </w:tc>
        <w:tc>
          <w:tcPr>
            <w:tcW w:w="1052" w:type="dxa"/>
            <w:vMerge w:val="continue"/>
            <w:vAlign w:val="center"/>
          </w:tcPr>
          <w:p>
            <w:pPr>
              <w:spacing w:line="360" w:lineRule="exact"/>
              <w:rPr>
                <w:rFonts w:eastAsiaTheme="minorEastAsia"/>
                <w:color w:val="auto"/>
                <w:sz w:val="21"/>
                <w:szCs w:val="21"/>
              </w:rPr>
            </w:pPr>
          </w:p>
        </w:tc>
        <w:tc>
          <w:tcPr>
            <w:tcW w:w="1181" w:type="dxa"/>
            <w:vMerge w:val="continue"/>
            <w:vAlign w:val="center"/>
          </w:tcPr>
          <w:p>
            <w:pPr>
              <w:spacing w:line="360" w:lineRule="exact"/>
              <w:rPr>
                <w:rFonts w:eastAsiaTheme="minorEastAsia"/>
                <w:color w:val="auto"/>
                <w:sz w:val="21"/>
                <w:szCs w:val="21"/>
              </w:rPr>
            </w:pPr>
          </w:p>
        </w:tc>
      </w:tr>
    </w:tbl>
    <w:p>
      <w:pPr>
        <w:pStyle w:val="244"/>
        <w:rPr>
          <w:rFonts w:eastAsiaTheme="minorEastAsia"/>
          <w:color w:val="auto"/>
        </w:rPr>
      </w:pPr>
      <w:r>
        <w:rPr>
          <w:rFonts w:eastAsiaTheme="minorEastAsia"/>
          <w:color w:val="auto"/>
        </w:rPr>
        <w:t>表8-1-3  运行期环境管理监督保护目标</w:t>
      </w:r>
    </w:p>
    <w:tbl>
      <w:tblPr>
        <w:tblStyle w:val="53"/>
        <w:tblW w:w="8306" w:type="dxa"/>
        <w:jc w:val="center"/>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682"/>
        <w:gridCol w:w="1625"/>
        <w:gridCol w:w="2439"/>
        <w:gridCol w:w="2560"/>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174" w:hRule="atLeast"/>
          <w:jc w:val="center"/>
        </w:trPr>
        <w:tc>
          <w:tcPr>
            <w:tcW w:w="1682" w:type="dxa"/>
            <w:vAlign w:val="center"/>
          </w:tcPr>
          <w:p>
            <w:pPr>
              <w:spacing w:line="360" w:lineRule="exact"/>
              <w:jc w:val="center"/>
              <w:rPr>
                <w:rFonts w:eastAsiaTheme="minorEastAsia"/>
                <w:bCs/>
                <w:color w:val="auto"/>
                <w:sz w:val="21"/>
                <w:szCs w:val="21"/>
              </w:rPr>
            </w:pPr>
            <w:r>
              <w:rPr>
                <w:rFonts w:eastAsiaTheme="minorEastAsia"/>
                <w:bCs/>
                <w:color w:val="auto"/>
                <w:sz w:val="21"/>
                <w:szCs w:val="21"/>
              </w:rPr>
              <w:t>种类</w:t>
            </w:r>
          </w:p>
        </w:tc>
        <w:tc>
          <w:tcPr>
            <w:tcW w:w="1625" w:type="dxa"/>
            <w:vAlign w:val="center"/>
          </w:tcPr>
          <w:p>
            <w:pPr>
              <w:spacing w:line="360" w:lineRule="exact"/>
              <w:jc w:val="center"/>
              <w:rPr>
                <w:rFonts w:eastAsiaTheme="minorEastAsia"/>
                <w:bCs/>
                <w:color w:val="auto"/>
                <w:sz w:val="21"/>
                <w:szCs w:val="21"/>
              </w:rPr>
            </w:pPr>
            <w:r>
              <w:rPr>
                <w:rFonts w:eastAsiaTheme="minorEastAsia"/>
                <w:bCs/>
                <w:color w:val="auto"/>
                <w:sz w:val="21"/>
                <w:szCs w:val="21"/>
              </w:rPr>
              <w:t>主要污染物</w:t>
            </w:r>
          </w:p>
        </w:tc>
        <w:tc>
          <w:tcPr>
            <w:tcW w:w="2439" w:type="dxa"/>
            <w:vAlign w:val="center"/>
          </w:tcPr>
          <w:p>
            <w:pPr>
              <w:spacing w:line="360" w:lineRule="exact"/>
              <w:jc w:val="center"/>
              <w:rPr>
                <w:rFonts w:eastAsiaTheme="minorEastAsia"/>
                <w:bCs/>
                <w:color w:val="auto"/>
                <w:sz w:val="21"/>
                <w:szCs w:val="21"/>
              </w:rPr>
            </w:pPr>
            <w:r>
              <w:rPr>
                <w:rFonts w:eastAsiaTheme="minorEastAsia"/>
                <w:bCs/>
                <w:color w:val="auto"/>
                <w:sz w:val="21"/>
                <w:szCs w:val="21"/>
              </w:rPr>
              <w:t>环保设施</w:t>
            </w:r>
          </w:p>
        </w:tc>
        <w:tc>
          <w:tcPr>
            <w:tcW w:w="2560" w:type="dxa"/>
            <w:vAlign w:val="center"/>
          </w:tcPr>
          <w:p>
            <w:pPr>
              <w:spacing w:line="360" w:lineRule="exact"/>
              <w:jc w:val="center"/>
              <w:rPr>
                <w:rFonts w:eastAsiaTheme="minorEastAsia"/>
                <w:bCs/>
                <w:color w:val="auto"/>
                <w:sz w:val="21"/>
                <w:szCs w:val="21"/>
              </w:rPr>
            </w:pPr>
            <w:r>
              <w:rPr>
                <w:rFonts w:eastAsiaTheme="minorEastAsia"/>
                <w:bCs/>
                <w:color w:val="auto"/>
                <w:sz w:val="21"/>
                <w:szCs w:val="21"/>
              </w:rPr>
              <w:t>管理目标</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27" w:hRule="atLeast"/>
          <w:jc w:val="center"/>
        </w:trPr>
        <w:tc>
          <w:tcPr>
            <w:tcW w:w="1682" w:type="dxa"/>
            <w:vMerge w:val="restart"/>
            <w:vAlign w:val="center"/>
          </w:tcPr>
          <w:p>
            <w:pPr>
              <w:spacing w:line="360" w:lineRule="exact"/>
              <w:jc w:val="center"/>
              <w:rPr>
                <w:rFonts w:eastAsiaTheme="minorEastAsia"/>
                <w:color w:val="auto"/>
                <w:sz w:val="21"/>
                <w:szCs w:val="21"/>
              </w:rPr>
            </w:pPr>
            <w:r>
              <w:rPr>
                <w:rFonts w:eastAsiaTheme="minorEastAsia"/>
                <w:color w:val="auto"/>
                <w:sz w:val="21"/>
                <w:szCs w:val="21"/>
              </w:rPr>
              <w:t>废气</w:t>
            </w:r>
          </w:p>
        </w:tc>
        <w:tc>
          <w:tcPr>
            <w:tcW w:w="1625" w:type="dxa"/>
            <w:vMerge w:val="restart"/>
            <w:vAlign w:val="center"/>
          </w:tcPr>
          <w:p>
            <w:pPr>
              <w:spacing w:line="360" w:lineRule="exact"/>
              <w:jc w:val="center"/>
              <w:rPr>
                <w:rFonts w:eastAsiaTheme="minorEastAsia"/>
                <w:color w:val="auto"/>
                <w:sz w:val="21"/>
                <w:szCs w:val="21"/>
              </w:rPr>
            </w:pPr>
            <w:r>
              <w:rPr>
                <w:rFonts w:eastAsiaTheme="minorEastAsia"/>
                <w:color w:val="auto"/>
                <w:sz w:val="21"/>
                <w:szCs w:val="21"/>
              </w:rPr>
              <w:t>扬尘</w:t>
            </w:r>
          </w:p>
        </w:tc>
        <w:tc>
          <w:tcPr>
            <w:tcW w:w="2439" w:type="dxa"/>
            <w:vMerge w:val="restart"/>
            <w:vAlign w:val="center"/>
          </w:tcPr>
          <w:p>
            <w:pPr>
              <w:spacing w:line="360" w:lineRule="exact"/>
              <w:jc w:val="center"/>
              <w:rPr>
                <w:rFonts w:eastAsiaTheme="minorEastAsia"/>
                <w:color w:val="auto"/>
                <w:sz w:val="21"/>
                <w:szCs w:val="21"/>
              </w:rPr>
            </w:pPr>
            <w:r>
              <w:rPr>
                <w:rFonts w:eastAsiaTheme="minorEastAsia"/>
                <w:color w:val="auto"/>
                <w:sz w:val="21"/>
                <w:szCs w:val="21"/>
              </w:rPr>
              <w:t>湿法凿岩</w:t>
            </w:r>
          </w:p>
          <w:p>
            <w:pPr>
              <w:spacing w:line="360" w:lineRule="exact"/>
              <w:jc w:val="center"/>
              <w:rPr>
                <w:rFonts w:eastAsiaTheme="minorEastAsia"/>
                <w:color w:val="auto"/>
                <w:sz w:val="21"/>
                <w:szCs w:val="21"/>
              </w:rPr>
            </w:pPr>
            <w:r>
              <w:rPr>
                <w:rFonts w:eastAsiaTheme="minorEastAsia"/>
                <w:color w:val="auto"/>
                <w:sz w:val="21"/>
                <w:szCs w:val="21"/>
              </w:rPr>
              <w:t>洒水喷淋</w:t>
            </w:r>
          </w:p>
        </w:tc>
        <w:tc>
          <w:tcPr>
            <w:tcW w:w="2560" w:type="dxa"/>
            <w:vAlign w:val="center"/>
          </w:tcPr>
          <w:p>
            <w:pPr>
              <w:spacing w:line="360" w:lineRule="exact"/>
              <w:jc w:val="center"/>
              <w:rPr>
                <w:rFonts w:eastAsiaTheme="minorEastAsia"/>
                <w:color w:val="auto"/>
                <w:sz w:val="21"/>
                <w:szCs w:val="21"/>
              </w:rPr>
            </w:pPr>
            <w:r>
              <w:rPr>
                <w:rFonts w:eastAsiaTheme="minorEastAsia"/>
                <w:color w:val="auto"/>
                <w:sz w:val="21"/>
                <w:szCs w:val="21"/>
              </w:rPr>
              <w:t>TSP</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548" w:hRule="atLeast"/>
          <w:jc w:val="center"/>
        </w:trPr>
        <w:tc>
          <w:tcPr>
            <w:tcW w:w="1682" w:type="dxa"/>
            <w:vMerge w:val="continue"/>
            <w:vAlign w:val="center"/>
          </w:tcPr>
          <w:p>
            <w:pPr>
              <w:spacing w:line="360" w:lineRule="exact"/>
              <w:rPr>
                <w:rFonts w:eastAsiaTheme="minorEastAsia"/>
                <w:color w:val="auto"/>
                <w:sz w:val="21"/>
                <w:szCs w:val="21"/>
              </w:rPr>
            </w:pPr>
          </w:p>
        </w:tc>
        <w:tc>
          <w:tcPr>
            <w:tcW w:w="1625" w:type="dxa"/>
            <w:vMerge w:val="continue"/>
            <w:vAlign w:val="center"/>
          </w:tcPr>
          <w:p>
            <w:pPr>
              <w:spacing w:line="360" w:lineRule="exact"/>
              <w:rPr>
                <w:rFonts w:eastAsiaTheme="minorEastAsia"/>
                <w:color w:val="auto"/>
                <w:sz w:val="21"/>
                <w:szCs w:val="21"/>
              </w:rPr>
            </w:pPr>
          </w:p>
        </w:tc>
        <w:tc>
          <w:tcPr>
            <w:tcW w:w="2439" w:type="dxa"/>
            <w:vMerge w:val="continue"/>
            <w:vAlign w:val="center"/>
          </w:tcPr>
          <w:p>
            <w:pPr>
              <w:spacing w:line="360" w:lineRule="exact"/>
              <w:rPr>
                <w:rFonts w:eastAsiaTheme="minorEastAsia"/>
                <w:color w:val="auto"/>
                <w:sz w:val="21"/>
                <w:szCs w:val="21"/>
              </w:rPr>
            </w:pPr>
          </w:p>
        </w:tc>
        <w:tc>
          <w:tcPr>
            <w:tcW w:w="2560" w:type="dxa"/>
            <w:vAlign w:val="center"/>
          </w:tcPr>
          <w:p>
            <w:pPr>
              <w:spacing w:line="360" w:lineRule="exact"/>
              <w:jc w:val="center"/>
              <w:rPr>
                <w:rFonts w:eastAsiaTheme="minorEastAsia"/>
                <w:color w:val="auto"/>
                <w:sz w:val="21"/>
                <w:szCs w:val="21"/>
              </w:rPr>
            </w:pPr>
            <w:r>
              <w:rPr>
                <w:rFonts w:eastAsiaTheme="minorEastAsia"/>
                <w:color w:val="auto"/>
                <w:sz w:val="21"/>
                <w:szCs w:val="21"/>
              </w:rPr>
              <w:t>≤1.0mg/m</w:t>
            </w:r>
            <w:r>
              <w:rPr>
                <w:rFonts w:eastAsiaTheme="minorEastAsia"/>
                <w:color w:val="auto"/>
                <w:sz w:val="21"/>
                <w:szCs w:val="21"/>
                <w:vertAlign w:val="superscript"/>
              </w:rPr>
              <w:t>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41" w:hRule="atLeast"/>
          <w:jc w:val="center"/>
        </w:trPr>
        <w:tc>
          <w:tcPr>
            <w:tcW w:w="1682" w:type="dxa"/>
            <w:vAlign w:val="center"/>
          </w:tcPr>
          <w:p>
            <w:pPr>
              <w:spacing w:line="360" w:lineRule="exact"/>
              <w:jc w:val="center"/>
              <w:rPr>
                <w:rFonts w:eastAsiaTheme="minorEastAsia"/>
                <w:color w:val="auto"/>
                <w:sz w:val="21"/>
                <w:szCs w:val="21"/>
              </w:rPr>
            </w:pPr>
            <w:r>
              <w:rPr>
                <w:rFonts w:eastAsiaTheme="minorEastAsia"/>
                <w:color w:val="auto"/>
                <w:sz w:val="21"/>
                <w:szCs w:val="21"/>
              </w:rPr>
              <w:t>噪声</w:t>
            </w:r>
          </w:p>
        </w:tc>
        <w:tc>
          <w:tcPr>
            <w:tcW w:w="1625" w:type="dxa"/>
            <w:vAlign w:val="center"/>
          </w:tcPr>
          <w:p>
            <w:pPr>
              <w:spacing w:line="360" w:lineRule="exact"/>
              <w:jc w:val="center"/>
              <w:rPr>
                <w:rFonts w:eastAsiaTheme="minorEastAsia"/>
                <w:color w:val="auto"/>
                <w:sz w:val="21"/>
                <w:szCs w:val="21"/>
              </w:rPr>
            </w:pPr>
            <w:r>
              <w:rPr>
                <w:rFonts w:eastAsiaTheme="minorEastAsia"/>
                <w:color w:val="auto"/>
                <w:sz w:val="21"/>
                <w:szCs w:val="21"/>
              </w:rPr>
              <w:t>设备噪声</w:t>
            </w:r>
          </w:p>
        </w:tc>
        <w:tc>
          <w:tcPr>
            <w:tcW w:w="2439" w:type="dxa"/>
            <w:vAlign w:val="center"/>
          </w:tcPr>
          <w:p>
            <w:pPr>
              <w:spacing w:line="360" w:lineRule="exact"/>
              <w:jc w:val="center"/>
              <w:rPr>
                <w:rFonts w:eastAsiaTheme="minorEastAsia"/>
                <w:color w:val="auto"/>
                <w:sz w:val="21"/>
                <w:szCs w:val="21"/>
              </w:rPr>
            </w:pPr>
            <w:r>
              <w:rPr>
                <w:rFonts w:eastAsiaTheme="minorEastAsia"/>
                <w:color w:val="auto"/>
                <w:sz w:val="21"/>
                <w:szCs w:val="21"/>
              </w:rPr>
              <w:t>消声、减震</w:t>
            </w:r>
          </w:p>
        </w:tc>
        <w:tc>
          <w:tcPr>
            <w:tcW w:w="2560" w:type="dxa"/>
            <w:vAlign w:val="center"/>
          </w:tcPr>
          <w:p>
            <w:pPr>
              <w:spacing w:line="360" w:lineRule="exact"/>
              <w:jc w:val="center"/>
              <w:rPr>
                <w:rFonts w:eastAsiaTheme="minorEastAsia"/>
                <w:color w:val="auto"/>
                <w:sz w:val="21"/>
                <w:szCs w:val="21"/>
              </w:rPr>
            </w:pPr>
            <w:r>
              <w:rPr>
                <w:rFonts w:eastAsiaTheme="minorEastAsia"/>
                <w:color w:val="auto"/>
                <w:sz w:val="21"/>
                <w:szCs w:val="21"/>
              </w:rPr>
              <w:t>厂界昼间≤60dB(A)</w:t>
            </w:r>
          </w:p>
          <w:p>
            <w:pPr>
              <w:spacing w:line="360" w:lineRule="exact"/>
              <w:jc w:val="center"/>
              <w:rPr>
                <w:rFonts w:eastAsiaTheme="minorEastAsia"/>
                <w:color w:val="auto"/>
                <w:sz w:val="21"/>
                <w:szCs w:val="21"/>
              </w:rPr>
            </w:pPr>
            <w:r>
              <w:rPr>
                <w:rFonts w:eastAsiaTheme="minorEastAsia"/>
                <w:color w:val="auto"/>
                <w:sz w:val="21"/>
                <w:szCs w:val="21"/>
              </w:rPr>
              <w:t>夜间≤50dB(A)</w:t>
            </w:r>
          </w:p>
        </w:tc>
      </w:tr>
    </w:tbl>
    <w:p>
      <w:pPr>
        <w:pStyle w:val="284"/>
        <w:rPr>
          <w:rFonts w:ascii="Times New Roman" w:hAnsi="Times New Roman" w:eastAsiaTheme="minorEastAsia"/>
          <w:color w:val="auto"/>
        </w:rPr>
      </w:pPr>
    </w:p>
    <w:p>
      <w:pPr>
        <w:pStyle w:val="284"/>
        <w:rPr>
          <w:rFonts w:ascii="Times New Roman" w:hAnsi="Times New Roman" w:eastAsiaTheme="minorEastAsia"/>
          <w:color w:val="auto"/>
        </w:rPr>
      </w:pPr>
      <w:r>
        <w:rPr>
          <w:rFonts w:ascii="Times New Roman" w:hAnsi="Times New Roman" w:eastAsiaTheme="minorEastAsia"/>
          <w:color w:val="auto"/>
        </w:rPr>
        <w:t>表8-1-4  环境检查计划</w:t>
      </w:r>
    </w:p>
    <w:tbl>
      <w:tblPr>
        <w:tblStyle w:val="53"/>
        <w:tblW w:w="8528" w:type="dxa"/>
        <w:jc w:val="center"/>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714"/>
        <w:gridCol w:w="4348"/>
        <w:gridCol w:w="2466"/>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89" w:hRule="atLeast"/>
          <w:jc w:val="center"/>
        </w:trPr>
        <w:tc>
          <w:tcPr>
            <w:tcW w:w="1714" w:type="dxa"/>
          </w:tcPr>
          <w:p>
            <w:pPr>
              <w:pStyle w:val="246"/>
              <w:rPr>
                <w:rFonts w:eastAsiaTheme="minorEastAsia"/>
                <w:color w:val="auto"/>
              </w:rPr>
            </w:pPr>
            <w:r>
              <w:rPr>
                <w:rFonts w:eastAsiaTheme="minorEastAsia"/>
                <w:color w:val="auto"/>
              </w:rPr>
              <w:t>检查机构</w:t>
            </w:r>
          </w:p>
        </w:tc>
        <w:tc>
          <w:tcPr>
            <w:tcW w:w="4348" w:type="dxa"/>
          </w:tcPr>
          <w:p>
            <w:pPr>
              <w:pStyle w:val="246"/>
              <w:rPr>
                <w:rFonts w:eastAsiaTheme="minorEastAsia"/>
                <w:color w:val="auto"/>
              </w:rPr>
            </w:pPr>
            <w:r>
              <w:rPr>
                <w:rFonts w:eastAsiaTheme="minorEastAsia"/>
                <w:color w:val="auto"/>
              </w:rPr>
              <w:t>检查内容</w:t>
            </w:r>
          </w:p>
        </w:tc>
        <w:tc>
          <w:tcPr>
            <w:tcW w:w="2466" w:type="dxa"/>
          </w:tcPr>
          <w:p>
            <w:pPr>
              <w:pStyle w:val="246"/>
              <w:rPr>
                <w:rFonts w:eastAsiaTheme="minorEastAsia"/>
                <w:color w:val="auto"/>
              </w:rPr>
            </w:pPr>
            <w:r>
              <w:rPr>
                <w:rFonts w:eastAsiaTheme="minorEastAsia"/>
                <w:color w:val="auto"/>
              </w:rPr>
              <w:t>检查目的</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61" w:hRule="atLeast"/>
          <w:jc w:val="center"/>
        </w:trPr>
        <w:tc>
          <w:tcPr>
            <w:tcW w:w="1714" w:type="dxa"/>
            <w:vMerge w:val="restart"/>
            <w:vAlign w:val="center"/>
          </w:tcPr>
          <w:p>
            <w:pPr>
              <w:pStyle w:val="246"/>
              <w:rPr>
                <w:rFonts w:eastAsiaTheme="minorEastAsia"/>
                <w:color w:val="auto"/>
              </w:rPr>
            </w:pPr>
            <w:r>
              <w:rPr>
                <w:rFonts w:hint="eastAsia" w:eastAsiaTheme="minorEastAsia"/>
                <w:color w:val="auto"/>
                <w:lang w:eastAsia="zh-CN"/>
              </w:rPr>
              <w:t>佳木斯</w:t>
            </w:r>
            <w:r>
              <w:rPr>
                <w:rFonts w:eastAsiaTheme="minorEastAsia"/>
                <w:color w:val="auto"/>
              </w:rPr>
              <w:t>环保部门</w:t>
            </w:r>
          </w:p>
        </w:tc>
        <w:tc>
          <w:tcPr>
            <w:tcW w:w="4348" w:type="dxa"/>
          </w:tcPr>
          <w:p>
            <w:pPr>
              <w:pStyle w:val="246"/>
              <w:rPr>
                <w:rFonts w:eastAsiaTheme="minorEastAsia"/>
                <w:color w:val="auto"/>
              </w:rPr>
            </w:pPr>
            <w:r>
              <w:rPr>
                <w:rFonts w:eastAsiaTheme="minorEastAsia"/>
                <w:color w:val="auto"/>
              </w:rPr>
              <w:t>1、检查运行期监测计划的实施</w:t>
            </w:r>
          </w:p>
        </w:tc>
        <w:tc>
          <w:tcPr>
            <w:tcW w:w="2466" w:type="dxa"/>
          </w:tcPr>
          <w:p>
            <w:pPr>
              <w:pStyle w:val="246"/>
              <w:rPr>
                <w:rFonts w:eastAsiaTheme="minorEastAsia"/>
                <w:color w:val="auto"/>
              </w:rPr>
            </w:pPr>
            <w:r>
              <w:rPr>
                <w:rFonts w:eastAsiaTheme="minorEastAsia"/>
                <w:color w:val="auto"/>
              </w:rPr>
              <w:t>落实监测计划</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144" w:hRule="atLeast"/>
          <w:jc w:val="center"/>
        </w:trPr>
        <w:tc>
          <w:tcPr>
            <w:tcW w:w="1714" w:type="dxa"/>
            <w:vMerge w:val="continue"/>
            <w:vAlign w:val="center"/>
          </w:tcPr>
          <w:p>
            <w:pPr>
              <w:pStyle w:val="246"/>
              <w:rPr>
                <w:rFonts w:eastAsiaTheme="minorEastAsia"/>
                <w:color w:val="auto"/>
              </w:rPr>
            </w:pPr>
          </w:p>
        </w:tc>
        <w:tc>
          <w:tcPr>
            <w:tcW w:w="4348" w:type="dxa"/>
          </w:tcPr>
          <w:p>
            <w:pPr>
              <w:pStyle w:val="246"/>
              <w:rPr>
                <w:rFonts w:eastAsiaTheme="minorEastAsia"/>
                <w:color w:val="auto"/>
              </w:rPr>
            </w:pPr>
            <w:r>
              <w:rPr>
                <w:rFonts w:eastAsiaTheme="minorEastAsia"/>
                <w:color w:val="auto"/>
              </w:rPr>
              <w:t>2、检查环保设施运行状况</w:t>
            </w:r>
          </w:p>
        </w:tc>
        <w:tc>
          <w:tcPr>
            <w:tcW w:w="2466" w:type="dxa"/>
          </w:tcPr>
          <w:p>
            <w:pPr>
              <w:pStyle w:val="246"/>
              <w:rPr>
                <w:rFonts w:eastAsiaTheme="minorEastAsia"/>
                <w:color w:val="auto"/>
              </w:rPr>
            </w:pPr>
            <w:r>
              <w:rPr>
                <w:rFonts w:eastAsiaTheme="minorEastAsia"/>
                <w:color w:val="auto"/>
              </w:rPr>
              <w:t>确保设施运行正常</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144" w:hRule="atLeast"/>
          <w:jc w:val="center"/>
        </w:trPr>
        <w:tc>
          <w:tcPr>
            <w:tcW w:w="1714" w:type="dxa"/>
            <w:vMerge w:val="continue"/>
            <w:vAlign w:val="center"/>
          </w:tcPr>
          <w:p>
            <w:pPr>
              <w:pStyle w:val="246"/>
              <w:rPr>
                <w:rFonts w:eastAsiaTheme="minorEastAsia"/>
                <w:color w:val="auto"/>
              </w:rPr>
            </w:pPr>
          </w:p>
        </w:tc>
        <w:tc>
          <w:tcPr>
            <w:tcW w:w="4348" w:type="dxa"/>
          </w:tcPr>
          <w:p>
            <w:pPr>
              <w:pStyle w:val="246"/>
              <w:rPr>
                <w:rFonts w:eastAsiaTheme="minorEastAsia"/>
                <w:color w:val="auto"/>
              </w:rPr>
            </w:pPr>
            <w:r>
              <w:rPr>
                <w:rFonts w:eastAsiaTheme="minorEastAsia"/>
                <w:color w:val="auto"/>
              </w:rPr>
              <w:t>3、检查有无必要采取进一步的环保措施</w:t>
            </w:r>
          </w:p>
        </w:tc>
        <w:tc>
          <w:tcPr>
            <w:tcW w:w="2466" w:type="dxa"/>
          </w:tcPr>
          <w:p>
            <w:pPr>
              <w:pStyle w:val="246"/>
              <w:rPr>
                <w:rFonts w:eastAsiaTheme="minorEastAsia"/>
                <w:color w:val="auto"/>
              </w:rPr>
            </w:pPr>
            <w:r>
              <w:rPr>
                <w:rFonts w:eastAsiaTheme="minorEastAsia"/>
                <w:color w:val="auto"/>
              </w:rPr>
              <w:t>加强环境保护力度</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144" w:hRule="atLeast"/>
          <w:jc w:val="center"/>
        </w:trPr>
        <w:tc>
          <w:tcPr>
            <w:tcW w:w="1714" w:type="dxa"/>
            <w:vMerge w:val="continue"/>
            <w:vAlign w:val="center"/>
          </w:tcPr>
          <w:p>
            <w:pPr>
              <w:pStyle w:val="246"/>
              <w:rPr>
                <w:rFonts w:eastAsiaTheme="minorEastAsia"/>
                <w:color w:val="auto"/>
              </w:rPr>
            </w:pPr>
          </w:p>
        </w:tc>
        <w:tc>
          <w:tcPr>
            <w:tcW w:w="4348" w:type="dxa"/>
          </w:tcPr>
          <w:p>
            <w:pPr>
              <w:pStyle w:val="246"/>
              <w:rPr>
                <w:rFonts w:eastAsiaTheme="minorEastAsia"/>
                <w:color w:val="auto"/>
              </w:rPr>
            </w:pPr>
            <w:r>
              <w:rPr>
                <w:rFonts w:eastAsiaTheme="minorEastAsia"/>
                <w:color w:val="auto"/>
              </w:rPr>
              <w:t>4、检查应急计划及措施</w:t>
            </w:r>
          </w:p>
        </w:tc>
        <w:tc>
          <w:tcPr>
            <w:tcW w:w="2466" w:type="dxa"/>
          </w:tcPr>
          <w:p>
            <w:pPr>
              <w:pStyle w:val="246"/>
              <w:rPr>
                <w:rFonts w:eastAsiaTheme="minorEastAsia"/>
                <w:color w:val="auto"/>
              </w:rPr>
            </w:pPr>
            <w:r>
              <w:rPr>
                <w:rFonts w:eastAsiaTheme="minorEastAsia"/>
                <w:color w:val="auto"/>
              </w:rPr>
              <w:t>确保环保设施正常运行</w:t>
            </w:r>
          </w:p>
        </w:tc>
      </w:tr>
    </w:tbl>
    <w:p>
      <w:pPr>
        <w:spacing w:line="500" w:lineRule="exact"/>
        <w:ind w:firstLine="480" w:firstLineChars="200"/>
        <w:rPr>
          <w:rFonts w:eastAsiaTheme="minorEastAsia"/>
          <w:color w:val="auto"/>
        </w:rPr>
      </w:pPr>
      <w:r>
        <w:rPr>
          <w:rFonts w:eastAsiaTheme="minorEastAsia"/>
          <w:color w:val="auto"/>
        </w:rPr>
        <w:t>在项目运行阶段还应做好以下工作：运行期环境保护管理和监督由环境保护管理科负责，环境监测由专职环保监测机构实施。</w:t>
      </w:r>
    </w:p>
    <w:p>
      <w:pPr>
        <w:pStyle w:val="240"/>
        <w:rPr>
          <w:rFonts w:ascii="Times New Roman" w:hAnsi="Times New Roman" w:cs="Times New Roman" w:eastAsiaTheme="minorEastAsia"/>
          <w:color w:val="auto"/>
        </w:rPr>
      </w:pPr>
      <w:bookmarkStart w:id="285" w:name="_Toc6949"/>
      <w:bookmarkStart w:id="286" w:name="_Toc31937"/>
      <w:bookmarkStart w:id="287" w:name="_Toc489443162"/>
      <w:r>
        <w:rPr>
          <w:rFonts w:ascii="Times New Roman" w:hAnsi="Times New Roman" w:cs="Times New Roman" w:eastAsiaTheme="minorEastAsia"/>
          <w:color w:val="auto"/>
        </w:rPr>
        <w:t>8.1.6 信息公开</w:t>
      </w:r>
      <w:bookmarkEnd w:id="285"/>
      <w:bookmarkEnd w:id="286"/>
      <w:bookmarkEnd w:id="287"/>
    </w:p>
    <w:p>
      <w:pPr>
        <w:pStyle w:val="242"/>
        <w:rPr>
          <w:rFonts w:ascii="Times New Roman" w:hAnsi="Times New Roman" w:cs="Times New Roman" w:eastAsiaTheme="minorEastAsia"/>
          <w:color w:val="auto"/>
        </w:rPr>
      </w:pPr>
      <w:r>
        <w:rPr>
          <w:rFonts w:ascii="Times New Roman" w:hAnsi="Times New Roman" w:cs="Times New Roman" w:eastAsiaTheme="minorEastAsia"/>
          <w:color w:val="auto"/>
        </w:rPr>
        <w:t>8.1.6.1公开内容</w:t>
      </w:r>
    </w:p>
    <w:p>
      <w:pPr>
        <w:adjustRightInd w:val="0"/>
        <w:snapToGrid w:val="0"/>
        <w:spacing w:line="520" w:lineRule="atLeast"/>
        <w:ind w:firstLine="480" w:firstLineChars="200"/>
        <w:rPr>
          <w:rFonts w:eastAsiaTheme="minorEastAsia"/>
          <w:bCs/>
          <w:color w:val="auto"/>
          <w:szCs w:val="24"/>
        </w:rPr>
      </w:pPr>
      <w:r>
        <w:rPr>
          <w:rFonts w:eastAsiaTheme="minorEastAsia"/>
          <w:bCs/>
          <w:color w:val="auto"/>
          <w:szCs w:val="24"/>
        </w:rPr>
        <w:t>企业应将自行监测工作开展情况及监测结果向社会公众公开，公开内容应包括：</w:t>
      </w:r>
    </w:p>
    <w:p>
      <w:pPr>
        <w:adjustRightInd w:val="0"/>
        <w:snapToGrid w:val="0"/>
        <w:spacing w:line="520" w:lineRule="atLeast"/>
        <w:ind w:firstLine="480" w:firstLineChars="200"/>
        <w:rPr>
          <w:rFonts w:eastAsiaTheme="minorEastAsia"/>
          <w:bCs/>
          <w:color w:val="auto"/>
          <w:szCs w:val="24"/>
        </w:rPr>
      </w:pPr>
      <w:r>
        <w:rPr>
          <w:rFonts w:eastAsiaTheme="minorEastAsia"/>
          <w:bCs/>
          <w:color w:val="auto"/>
          <w:szCs w:val="24"/>
        </w:rPr>
        <w:t>（1）基础信息：企业名称、法人代表、所属行业、地理位置、生产周期、联系方式、委托监测机构名称等；</w:t>
      </w:r>
    </w:p>
    <w:p>
      <w:pPr>
        <w:adjustRightInd w:val="0"/>
        <w:snapToGrid w:val="0"/>
        <w:spacing w:line="520" w:lineRule="atLeast"/>
        <w:ind w:firstLine="480" w:firstLineChars="200"/>
        <w:rPr>
          <w:rFonts w:eastAsiaTheme="minorEastAsia"/>
          <w:bCs/>
          <w:color w:val="auto"/>
          <w:szCs w:val="24"/>
        </w:rPr>
      </w:pPr>
      <w:r>
        <w:rPr>
          <w:rFonts w:eastAsiaTheme="minorEastAsia"/>
          <w:bCs/>
          <w:color w:val="auto"/>
          <w:szCs w:val="24"/>
        </w:rPr>
        <w:t>（2）自行监测方案；</w:t>
      </w:r>
    </w:p>
    <w:p>
      <w:pPr>
        <w:adjustRightInd w:val="0"/>
        <w:snapToGrid w:val="0"/>
        <w:spacing w:line="520" w:lineRule="atLeast"/>
        <w:ind w:firstLine="480" w:firstLineChars="200"/>
        <w:rPr>
          <w:rFonts w:eastAsiaTheme="minorEastAsia"/>
          <w:bCs/>
          <w:color w:val="auto"/>
          <w:szCs w:val="24"/>
        </w:rPr>
      </w:pPr>
      <w:r>
        <w:rPr>
          <w:rFonts w:eastAsiaTheme="minorEastAsia"/>
          <w:bCs/>
          <w:color w:val="auto"/>
          <w:szCs w:val="24"/>
        </w:rPr>
        <w:t>（3）自行监测结果：全部监测点位、监测时间、污染物种类及浓度、标准限值、达标情况、超标倍数、污染物排放方式及排放去向；</w:t>
      </w:r>
    </w:p>
    <w:p>
      <w:pPr>
        <w:adjustRightInd w:val="0"/>
        <w:snapToGrid w:val="0"/>
        <w:spacing w:line="520" w:lineRule="atLeast"/>
        <w:ind w:firstLine="480" w:firstLineChars="200"/>
        <w:rPr>
          <w:rFonts w:eastAsiaTheme="minorEastAsia"/>
          <w:bCs/>
          <w:color w:val="auto"/>
          <w:szCs w:val="24"/>
        </w:rPr>
      </w:pPr>
      <w:r>
        <w:rPr>
          <w:rFonts w:eastAsiaTheme="minorEastAsia"/>
          <w:bCs/>
          <w:color w:val="auto"/>
          <w:szCs w:val="24"/>
        </w:rPr>
        <w:t>（4）未开展自行监测的原因；</w:t>
      </w:r>
    </w:p>
    <w:p>
      <w:pPr>
        <w:adjustRightInd w:val="0"/>
        <w:snapToGrid w:val="0"/>
        <w:spacing w:line="520" w:lineRule="atLeast"/>
        <w:ind w:firstLine="480" w:firstLineChars="200"/>
        <w:rPr>
          <w:rFonts w:eastAsiaTheme="minorEastAsia"/>
          <w:bCs/>
          <w:color w:val="auto"/>
          <w:szCs w:val="24"/>
        </w:rPr>
      </w:pPr>
      <w:r>
        <w:rPr>
          <w:rFonts w:eastAsiaTheme="minorEastAsia"/>
          <w:bCs/>
          <w:color w:val="auto"/>
          <w:szCs w:val="24"/>
        </w:rPr>
        <w:t>（5）污染源监测年度报告。</w:t>
      </w:r>
    </w:p>
    <w:p>
      <w:pPr>
        <w:pStyle w:val="242"/>
        <w:rPr>
          <w:rFonts w:ascii="Times New Roman" w:hAnsi="Times New Roman" w:cs="Times New Roman" w:eastAsiaTheme="minorEastAsia"/>
          <w:color w:val="auto"/>
        </w:rPr>
      </w:pPr>
      <w:r>
        <w:rPr>
          <w:rFonts w:ascii="Times New Roman" w:hAnsi="Times New Roman" w:cs="Times New Roman" w:eastAsiaTheme="minorEastAsia"/>
          <w:color w:val="auto"/>
        </w:rPr>
        <w:t>8.1.6.2公开方式</w:t>
      </w:r>
    </w:p>
    <w:p>
      <w:pPr>
        <w:adjustRightInd w:val="0"/>
        <w:snapToGrid w:val="0"/>
        <w:spacing w:line="520" w:lineRule="atLeast"/>
        <w:ind w:firstLine="480" w:firstLineChars="200"/>
        <w:rPr>
          <w:rFonts w:eastAsiaTheme="minorEastAsia"/>
          <w:bCs/>
          <w:color w:val="auto"/>
          <w:szCs w:val="24"/>
        </w:rPr>
      </w:pPr>
      <w:r>
        <w:rPr>
          <w:rFonts w:eastAsiaTheme="minorEastAsia"/>
          <w:bCs/>
          <w:color w:val="auto"/>
          <w:szCs w:val="24"/>
        </w:rPr>
        <w:t>企业可通过对外网站、报纸、广播、电视等便于公众知晓的方式公开自行监测信息。同时，应当在市级环境保护主管部门统一组织建立的公布平台上公开自行监测信息，并至少保存1年。</w:t>
      </w:r>
    </w:p>
    <w:p>
      <w:pPr>
        <w:pStyle w:val="242"/>
        <w:rPr>
          <w:rFonts w:ascii="Times New Roman" w:hAnsi="Times New Roman" w:cs="Times New Roman" w:eastAsiaTheme="minorEastAsia"/>
          <w:color w:val="auto"/>
        </w:rPr>
      </w:pPr>
      <w:r>
        <w:rPr>
          <w:rFonts w:ascii="Times New Roman" w:hAnsi="Times New Roman" w:cs="Times New Roman" w:eastAsiaTheme="minorEastAsia"/>
          <w:color w:val="auto"/>
        </w:rPr>
        <w:t>8</w:t>
      </w:r>
      <w:r>
        <w:rPr>
          <w:rFonts w:ascii="Times New Roman" w:hAnsi="Times New Roman" w:cs="Times New Roman" w:eastAsiaTheme="minorEastAsia"/>
          <w:color w:val="auto"/>
        </w:rPr>
        <w:t>.1.6.3公开时限</w:t>
      </w:r>
    </w:p>
    <w:p>
      <w:pPr>
        <w:adjustRightInd w:val="0"/>
        <w:snapToGrid w:val="0"/>
        <w:spacing w:line="500" w:lineRule="exact"/>
        <w:ind w:firstLine="480" w:firstLineChars="200"/>
        <w:rPr>
          <w:rFonts w:eastAsiaTheme="minorEastAsia"/>
          <w:bCs/>
          <w:color w:val="auto"/>
          <w:szCs w:val="24"/>
        </w:rPr>
      </w:pPr>
      <w:r>
        <w:rPr>
          <w:rFonts w:eastAsiaTheme="minorEastAsia"/>
          <w:bCs/>
          <w:color w:val="auto"/>
          <w:szCs w:val="24"/>
        </w:rPr>
        <w:t>企业自行监测信息按以下要求的时限公开：</w:t>
      </w:r>
    </w:p>
    <w:p>
      <w:pPr>
        <w:adjustRightInd w:val="0"/>
        <w:snapToGrid w:val="0"/>
        <w:spacing w:line="500" w:lineRule="exact"/>
        <w:ind w:firstLine="480" w:firstLineChars="200"/>
        <w:rPr>
          <w:rFonts w:eastAsiaTheme="minorEastAsia"/>
          <w:bCs/>
          <w:color w:val="auto"/>
          <w:szCs w:val="24"/>
        </w:rPr>
      </w:pPr>
      <w:r>
        <w:rPr>
          <w:rFonts w:eastAsiaTheme="minorEastAsia"/>
          <w:bCs/>
          <w:color w:val="auto"/>
          <w:szCs w:val="24"/>
        </w:rPr>
        <w:t>（1）企业基础信息应随监测数据一并公布，基础信息、自行监测方案如有调整变化时，应于变更后的五日内公布最新内容；</w:t>
      </w:r>
    </w:p>
    <w:p>
      <w:pPr>
        <w:adjustRightInd w:val="0"/>
        <w:snapToGrid w:val="0"/>
        <w:spacing w:line="500" w:lineRule="exact"/>
        <w:ind w:firstLine="480" w:firstLineChars="200"/>
        <w:rPr>
          <w:rFonts w:eastAsiaTheme="minorEastAsia"/>
          <w:bCs/>
          <w:color w:val="auto"/>
          <w:szCs w:val="24"/>
        </w:rPr>
      </w:pPr>
      <w:r>
        <w:rPr>
          <w:rFonts w:eastAsiaTheme="minorEastAsia"/>
          <w:bCs/>
          <w:color w:val="auto"/>
          <w:szCs w:val="24"/>
        </w:rPr>
        <w:t>（2）手工监测数据应于每次监测完成后的次日公布；</w:t>
      </w:r>
    </w:p>
    <w:p>
      <w:pPr>
        <w:adjustRightInd w:val="0"/>
        <w:snapToGrid w:val="0"/>
        <w:spacing w:line="500" w:lineRule="exact"/>
        <w:ind w:firstLine="480" w:firstLineChars="200"/>
        <w:rPr>
          <w:rFonts w:eastAsiaTheme="minorEastAsia"/>
          <w:bCs/>
          <w:color w:val="auto"/>
          <w:szCs w:val="24"/>
        </w:rPr>
      </w:pPr>
      <w:r>
        <w:rPr>
          <w:rFonts w:eastAsiaTheme="minorEastAsia"/>
          <w:bCs/>
          <w:color w:val="auto"/>
          <w:szCs w:val="24"/>
        </w:rPr>
        <w:t>（3）自动监测数据应实时公布监测结果，其中废水自动监测设备为每2小时均值，废气自动监测设备为每1小时均值；</w:t>
      </w:r>
    </w:p>
    <w:p>
      <w:pPr>
        <w:spacing w:line="500" w:lineRule="exact"/>
        <w:ind w:firstLine="480" w:firstLineChars="200"/>
        <w:rPr>
          <w:rFonts w:eastAsiaTheme="minorEastAsia"/>
          <w:color w:val="auto"/>
        </w:rPr>
      </w:pPr>
      <w:r>
        <w:rPr>
          <w:rFonts w:eastAsiaTheme="minorEastAsia"/>
          <w:bCs/>
          <w:color w:val="auto"/>
          <w:szCs w:val="24"/>
        </w:rPr>
        <w:t>（4）每年1月底前公布上年度自行监测年度报告。</w:t>
      </w:r>
    </w:p>
    <w:p>
      <w:pPr>
        <w:pStyle w:val="238"/>
        <w:rPr>
          <w:rFonts w:hAnsi="Times New Roman" w:eastAsiaTheme="minorEastAsia"/>
          <w:color w:val="auto"/>
        </w:rPr>
      </w:pPr>
      <w:bookmarkStart w:id="288" w:name="_Toc440973857"/>
      <w:bookmarkStart w:id="289" w:name="_Toc440973591"/>
      <w:bookmarkStart w:id="290" w:name="_Toc429169791"/>
      <w:bookmarkStart w:id="291" w:name="_Toc519693594"/>
      <w:bookmarkStart w:id="292" w:name="_Toc246334025"/>
      <w:bookmarkStart w:id="293" w:name="_Toc266448900"/>
      <w:r>
        <w:rPr>
          <w:rFonts w:hAnsi="Times New Roman" w:eastAsiaTheme="minorEastAsia"/>
          <w:color w:val="auto"/>
        </w:rPr>
        <w:t>8.2环境监测</w:t>
      </w:r>
      <w:bookmarkEnd w:id="288"/>
      <w:bookmarkEnd w:id="289"/>
      <w:bookmarkEnd w:id="290"/>
      <w:r>
        <w:rPr>
          <w:rFonts w:hAnsi="Times New Roman" w:eastAsiaTheme="minorEastAsia"/>
          <w:color w:val="auto"/>
        </w:rPr>
        <w:t>计划</w:t>
      </w:r>
      <w:bookmarkEnd w:id="291"/>
    </w:p>
    <w:bookmarkEnd w:id="292"/>
    <w:bookmarkEnd w:id="293"/>
    <w:p>
      <w:pPr>
        <w:ind w:firstLine="480"/>
        <w:rPr>
          <w:rFonts w:eastAsiaTheme="minorEastAsia"/>
          <w:color w:val="auto"/>
        </w:rPr>
      </w:pPr>
      <w:r>
        <w:rPr>
          <w:rFonts w:eastAsiaTheme="minorEastAsia"/>
          <w:color w:val="auto"/>
        </w:rPr>
        <w:t>环境监测计划的制定依据《排污单位自行监测技术指南 总则》（HJ819-2017），并且结合项目内容和公司实际情况，制定相应切实可行的方案，监测执行该区域相应的功能区环境质量标准及污染物排放达标标准。</w:t>
      </w:r>
    </w:p>
    <w:p>
      <w:pPr>
        <w:spacing w:line="500" w:lineRule="exact"/>
        <w:ind w:firstLine="480" w:firstLineChars="200"/>
        <w:rPr>
          <w:rFonts w:eastAsiaTheme="minorEastAsia"/>
          <w:color w:val="auto"/>
        </w:rPr>
      </w:pPr>
      <w:bookmarkStart w:id="294" w:name="_Toc237487122"/>
      <w:bookmarkStart w:id="295" w:name="_Toc247188936"/>
      <w:r>
        <w:rPr>
          <w:rFonts w:eastAsiaTheme="minorEastAsia"/>
          <w:color w:val="auto"/>
        </w:rPr>
        <w:t>（1）主要监测内容</w:t>
      </w:r>
    </w:p>
    <w:p>
      <w:pPr>
        <w:spacing w:line="500" w:lineRule="exact"/>
        <w:ind w:firstLine="480" w:firstLineChars="200"/>
        <w:rPr>
          <w:rFonts w:eastAsiaTheme="minorEastAsia"/>
          <w:color w:val="auto"/>
        </w:rPr>
      </w:pPr>
      <w:r>
        <w:rPr>
          <w:rFonts w:hint="eastAsia" w:ascii="宋体" w:hAnsi="宋体" w:cs="宋体"/>
          <w:color w:val="auto"/>
        </w:rPr>
        <w:t>①</w:t>
      </w:r>
      <w:r>
        <w:rPr>
          <w:rFonts w:eastAsiaTheme="minorEastAsia"/>
          <w:color w:val="auto"/>
        </w:rPr>
        <w:t>厂界噪声：监测项目为等效连续A声级，监测地点为矿区四周，监测昼间、夜间噪声。</w:t>
      </w:r>
    </w:p>
    <w:p>
      <w:pPr>
        <w:spacing w:line="500" w:lineRule="exact"/>
        <w:ind w:firstLine="480" w:firstLineChars="200"/>
        <w:rPr>
          <w:rFonts w:eastAsiaTheme="minorEastAsia"/>
          <w:color w:val="auto"/>
        </w:rPr>
      </w:pPr>
      <w:r>
        <w:rPr>
          <w:rFonts w:hint="eastAsia" w:ascii="宋体" w:hAnsi="宋体" w:cs="宋体"/>
          <w:color w:val="auto"/>
        </w:rPr>
        <w:t>②</w:t>
      </w:r>
      <w:r>
        <w:rPr>
          <w:rFonts w:eastAsiaTheme="minorEastAsia"/>
          <w:color w:val="auto"/>
        </w:rPr>
        <w:t>废气：矿山开采过程的无组织扬尘、粉碎筛分过程有组织排放。</w:t>
      </w:r>
    </w:p>
    <w:p>
      <w:pPr>
        <w:spacing w:line="500" w:lineRule="exact"/>
        <w:ind w:firstLine="480" w:firstLineChars="200"/>
        <w:rPr>
          <w:rFonts w:eastAsiaTheme="minorEastAsia"/>
          <w:color w:val="auto"/>
        </w:rPr>
      </w:pPr>
      <w:r>
        <w:rPr>
          <w:rFonts w:hint="eastAsia" w:ascii="宋体" w:hAnsi="宋体" w:cs="宋体"/>
          <w:color w:val="auto"/>
        </w:rPr>
        <w:t>③</w:t>
      </w:r>
      <w:r>
        <w:rPr>
          <w:rFonts w:eastAsiaTheme="minorEastAsia"/>
          <w:color w:val="auto"/>
        </w:rPr>
        <w:t>固废处置情况实施检查。</w:t>
      </w:r>
    </w:p>
    <w:p>
      <w:pPr>
        <w:spacing w:line="500" w:lineRule="exact"/>
        <w:ind w:firstLine="480" w:firstLineChars="200"/>
        <w:rPr>
          <w:rFonts w:eastAsiaTheme="minorEastAsia"/>
          <w:color w:val="auto"/>
        </w:rPr>
      </w:pPr>
      <w:r>
        <w:rPr>
          <w:rFonts w:eastAsiaTheme="minorEastAsia"/>
          <w:color w:val="auto"/>
        </w:rPr>
        <w:t>（2）各污染物监测地点和频率</w:t>
      </w:r>
    </w:p>
    <w:p>
      <w:pPr>
        <w:spacing w:line="500" w:lineRule="exact"/>
        <w:ind w:firstLine="480" w:firstLineChars="200"/>
        <w:rPr>
          <w:rFonts w:eastAsiaTheme="minorEastAsia"/>
          <w:color w:val="auto"/>
        </w:rPr>
      </w:pPr>
      <w:r>
        <w:rPr>
          <w:rFonts w:hint="eastAsia" w:ascii="宋体" w:hAnsi="宋体" w:cs="宋体"/>
          <w:color w:val="auto"/>
        </w:rPr>
        <w:t>①</w:t>
      </w:r>
      <w:r>
        <w:rPr>
          <w:rFonts w:eastAsiaTheme="minorEastAsia"/>
          <w:color w:val="auto"/>
        </w:rPr>
        <w:t>噪声：厂界设4个测点，每季度一次。</w:t>
      </w:r>
    </w:p>
    <w:p>
      <w:pPr>
        <w:spacing w:line="500" w:lineRule="exact"/>
        <w:ind w:firstLine="480" w:firstLineChars="200"/>
        <w:rPr>
          <w:rFonts w:eastAsiaTheme="minorEastAsia"/>
          <w:color w:val="auto"/>
        </w:rPr>
      </w:pPr>
      <w:r>
        <w:rPr>
          <w:rFonts w:hint="eastAsia" w:ascii="宋体" w:hAnsi="宋体" w:cs="宋体"/>
          <w:color w:val="auto"/>
        </w:rPr>
        <w:t>②</w:t>
      </w:r>
      <w:r>
        <w:rPr>
          <w:rFonts w:eastAsiaTheme="minorEastAsia"/>
          <w:color w:val="auto"/>
        </w:rPr>
        <w:t>废气：厂界浓度每季度监测一次，各排气筒粉尘浓度。</w:t>
      </w:r>
    </w:p>
    <w:p>
      <w:pPr>
        <w:spacing w:line="500" w:lineRule="exact"/>
        <w:ind w:firstLine="480" w:firstLineChars="200"/>
        <w:rPr>
          <w:rFonts w:eastAsiaTheme="minorEastAsia"/>
          <w:color w:val="auto"/>
        </w:rPr>
      </w:pPr>
      <w:r>
        <w:rPr>
          <w:rFonts w:hint="eastAsia" w:ascii="宋体" w:hAnsi="宋体" w:cs="宋体"/>
          <w:color w:val="auto"/>
        </w:rPr>
        <w:t>③</w:t>
      </w:r>
      <w:r>
        <w:rPr>
          <w:rFonts w:eastAsiaTheme="minorEastAsia"/>
          <w:color w:val="auto"/>
        </w:rPr>
        <w:t>固废：堆存情况检查，每月一次。</w:t>
      </w:r>
    </w:p>
    <w:p>
      <w:pPr>
        <w:pStyle w:val="284"/>
        <w:rPr>
          <w:rFonts w:ascii="Times New Roman" w:hAnsi="Times New Roman" w:eastAsiaTheme="minorEastAsia"/>
          <w:color w:val="auto"/>
        </w:rPr>
      </w:pPr>
      <w:r>
        <w:rPr>
          <w:rFonts w:ascii="Times New Roman" w:hAnsi="Times New Roman" w:eastAsiaTheme="minorEastAsia"/>
          <w:color w:val="auto"/>
        </w:rPr>
        <w:t>表8-2-2  营运期监测内容及频率</w:t>
      </w:r>
    </w:p>
    <w:tbl>
      <w:tblPr>
        <w:tblStyle w:val="53"/>
        <w:tblW w:w="9174" w:type="dxa"/>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805"/>
        <w:gridCol w:w="1523"/>
        <w:gridCol w:w="1837"/>
        <w:gridCol w:w="1747"/>
        <w:gridCol w:w="3262"/>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90" w:hRule="atLeast"/>
        </w:trPr>
        <w:tc>
          <w:tcPr>
            <w:tcW w:w="805" w:type="dxa"/>
            <w:vAlign w:val="center"/>
          </w:tcPr>
          <w:p>
            <w:pPr>
              <w:pStyle w:val="246"/>
              <w:rPr>
                <w:rFonts w:eastAsiaTheme="minorEastAsia"/>
                <w:color w:val="auto"/>
              </w:rPr>
            </w:pPr>
            <w:r>
              <w:rPr>
                <w:rFonts w:eastAsiaTheme="minorEastAsia"/>
                <w:color w:val="auto"/>
              </w:rPr>
              <w:t>类别</w:t>
            </w:r>
          </w:p>
        </w:tc>
        <w:tc>
          <w:tcPr>
            <w:tcW w:w="1523" w:type="dxa"/>
            <w:vAlign w:val="center"/>
          </w:tcPr>
          <w:p>
            <w:pPr>
              <w:pStyle w:val="246"/>
              <w:rPr>
                <w:rFonts w:eastAsiaTheme="minorEastAsia"/>
                <w:color w:val="auto"/>
              </w:rPr>
            </w:pPr>
            <w:r>
              <w:rPr>
                <w:rFonts w:eastAsiaTheme="minorEastAsia"/>
                <w:color w:val="auto"/>
              </w:rPr>
              <w:t>监测点位</w:t>
            </w:r>
          </w:p>
        </w:tc>
        <w:tc>
          <w:tcPr>
            <w:tcW w:w="1837" w:type="dxa"/>
            <w:vAlign w:val="center"/>
          </w:tcPr>
          <w:p>
            <w:pPr>
              <w:pStyle w:val="246"/>
              <w:rPr>
                <w:rFonts w:eastAsiaTheme="minorEastAsia"/>
                <w:color w:val="auto"/>
              </w:rPr>
            </w:pPr>
            <w:r>
              <w:rPr>
                <w:rFonts w:eastAsiaTheme="minorEastAsia"/>
                <w:color w:val="auto"/>
              </w:rPr>
              <w:t>监测因子</w:t>
            </w:r>
          </w:p>
        </w:tc>
        <w:tc>
          <w:tcPr>
            <w:tcW w:w="1747" w:type="dxa"/>
            <w:vAlign w:val="center"/>
          </w:tcPr>
          <w:p>
            <w:pPr>
              <w:pStyle w:val="246"/>
              <w:rPr>
                <w:rFonts w:eastAsiaTheme="minorEastAsia"/>
                <w:color w:val="auto"/>
              </w:rPr>
            </w:pPr>
            <w:r>
              <w:rPr>
                <w:rFonts w:eastAsiaTheme="minorEastAsia"/>
                <w:color w:val="auto"/>
              </w:rPr>
              <w:t>监测频率</w:t>
            </w:r>
          </w:p>
        </w:tc>
        <w:tc>
          <w:tcPr>
            <w:tcW w:w="3262" w:type="dxa"/>
            <w:vAlign w:val="center"/>
          </w:tcPr>
          <w:p>
            <w:pPr>
              <w:pStyle w:val="246"/>
              <w:rPr>
                <w:rFonts w:eastAsiaTheme="minorEastAsia"/>
                <w:color w:val="auto"/>
              </w:rPr>
            </w:pPr>
            <w:r>
              <w:rPr>
                <w:rFonts w:eastAsiaTheme="minorEastAsia"/>
                <w:color w:val="auto"/>
              </w:rPr>
              <w:t>控制目标</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2" w:hRule="atLeast"/>
        </w:trPr>
        <w:tc>
          <w:tcPr>
            <w:tcW w:w="805" w:type="dxa"/>
            <w:vMerge w:val="restart"/>
            <w:vAlign w:val="center"/>
          </w:tcPr>
          <w:p>
            <w:pPr>
              <w:pStyle w:val="246"/>
              <w:rPr>
                <w:rFonts w:eastAsiaTheme="minorEastAsia"/>
                <w:color w:val="auto"/>
              </w:rPr>
            </w:pPr>
            <w:r>
              <w:rPr>
                <w:rFonts w:eastAsiaTheme="minorEastAsia"/>
                <w:color w:val="auto"/>
              </w:rPr>
              <w:t>废气</w:t>
            </w:r>
          </w:p>
        </w:tc>
        <w:tc>
          <w:tcPr>
            <w:tcW w:w="1523" w:type="dxa"/>
            <w:vAlign w:val="center"/>
          </w:tcPr>
          <w:p>
            <w:pPr>
              <w:pStyle w:val="246"/>
              <w:rPr>
                <w:rFonts w:eastAsiaTheme="minorEastAsia"/>
                <w:color w:val="auto"/>
              </w:rPr>
            </w:pPr>
            <w:r>
              <w:rPr>
                <w:rFonts w:eastAsiaTheme="minorEastAsia"/>
                <w:color w:val="auto"/>
              </w:rPr>
              <w:t>厂界</w:t>
            </w:r>
          </w:p>
        </w:tc>
        <w:tc>
          <w:tcPr>
            <w:tcW w:w="1837" w:type="dxa"/>
            <w:vAlign w:val="center"/>
          </w:tcPr>
          <w:p>
            <w:pPr>
              <w:pStyle w:val="246"/>
              <w:rPr>
                <w:rFonts w:eastAsiaTheme="minorEastAsia"/>
                <w:color w:val="auto"/>
              </w:rPr>
            </w:pPr>
            <w:r>
              <w:rPr>
                <w:rFonts w:eastAsiaTheme="minorEastAsia"/>
                <w:color w:val="auto"/>
              </w:rPr>
              <w:t>颗粒物</w:t>
            </w:r>
          </w:p>
        </w:tc>
        <w:tc>
          <w:tcPr>
            <w:tcW w:w="1747" w:type="dxa"/>
            <w:vAlign w:val="center"/>
          </w:tcPr>
          <w:p>
            <w:pPr>
              <w:pStyle w:val="246"/>
              <w:rPr>
                <w:rFonts w:eastAsiaTheme="minorEastAsia"/>
                <w:color w:val="auto"/>
              </w:rPr>
            </w:pPr>
            <w:r>
              <w:rPr>
                <w:rFonts w:eastAsiaTheme="minorEastAsia"/>
                <w:color w:val="auto"/>
              </w:rPr>
              <w:t>1次/季</w:t>
            </w:r>
          </w:p>
        </w:tc>
        <w:tc>
          <w:tcPr>
            <w:tcW w:w="3262" w:type="dxa"/>
            <w:vAlign w:val="center"/>
          </w:tcPr>
          <w:p>
            <w:pPr>
              <w:pStyle w:val="246"/>
              <w:rPr>
                <w:rFonts w:eastAsiaTheme="minorEastAsia"/>
                <w:color w:val="auto"/>
              </w:rPr>
            </w:pPr>
            <w:r>
              <w:rPr>
                <w:rFonts w:eastAsiaTheme="minorEastAsia"/>
                <w:color w:val="auto"/>
              </w:rPr>
              <w:t>满足《大气污染物综合排放标准》16297-1996无组织排放监控浓度限值要求</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2" w:hRule="atLeast"/>
        </w:trPr>
        <w:tc>
          <w:tcPr>
            <w:tcW w:w="805" w:type="dxa"/>
            <w:vMerge w:val="continue"/>
            <w:vAlign w:val="center"/>
          </w:tcPr>
          <w:p>
            <w:pPr>
              <w:pStyle w:val="246"/>
              <w:rPr>
                <w:rFonts w:eastAsiaTheme="minorEastAsia"/>
                <w:color w:val="auto"/>
              </w:rPr>
            </w:pPr>
          </w:p>
        </w:tc>
        <w:tc>
          <w:tcPr>
            <w:tcW w:w="1523" w:type="dxa"/>
            <w:vAlign w:val="center"/>
          </w:tcPr>
          <w:p>
            <w:pPr>
              <w:pStyle w:val="246"/>
              <w:rPr>
                <w:rFonts w:eastAsiaTheme="minorEastAsia"/>
                <w:color w:val="auto"/>
              </w:rPr>
            </w:pPr>
            <w:r>
              <w:rPr>
                <w:rFonts w:eastAsiaTheme="minorEastAsia"/>
                <w:color w:val="auto"/>
              </w:rPr>
              <w:t>破碎筛分工艺排气筒</w:t>
            </w:r>
          </w:p>
        </w:tc>
        <w:tc>
          <w:tcPr>
            <w:tcW w:w="1837" w:type="dxa"/>
            <w:vAlign w:val="center"/>
          </w:tcPr>
          <w:p>
            <w:pPr>
              <w:pStyle w:val="246"/>
              <w:rPr>
                <w:rFonts w:eastAsiaTheme="minorEastAsia"/>
                <w:color w:val="auto"/>
              </w:rPr>
            </w:pPr>
            <w:r>
              <w:rPr>
                <w:rFonts w:eastAsiaTheme="minorEastAsia"/>
                <w:color w:val="auto"/>
              </w:rPr>
              <w:t>颗粒物</w:t>
            </w:r>
          </w:p>
        </w:tc>
        <w:tc>
          <w:tcPr>
            <w:tcW w:w="1747" w:type="dxa"/>
            <w:vAlign w:val="center"/>
          </w:tcPr>
          <w:p>
            <w:pPr>
              <w:pStyle w:val="246"/>
              <w:rPr>
                <w:rFonts w:eastAsiaTheme="minorEastAsia"/>
                <w:color w:val="auto"/>
              </w:rPr>
            </w:pPr>
            <w:r>
              <w:rPr>
                <w:rFonts w:eastAsiaTheme="minorEastAsia"/>
                <w:color w:val="auto"/>
              </w:rPr>
              <w:t>1次/季</w:t>
            </w:r>
          </w:p>
        </w:tc>
        <w:tc>
          <w:tcPr>
            <w:tcW w:w="3262" w:type="dxa"/>
            <w:vAlign w:val="center"/>
          </w:tcPr>
          <w:p>
            <w:pPr>
              <w:pStyle w:val="246"/>
              <w:rPr>
                <w:rFonts w:eastAsiaTheme="minorEastAsia"/>
                <w:color w:val="auto"/>
              </w:rPr>
            </w:pPr>
            <w:r>
              <w:rPr>
                <w:rFonts w:eastAsiaTheme="minorEastAsia"/>
                <w:color w:val="auto"/>
              </w:rPr>
              <w:t>满足《大气污染物综合排放标准》16297-1996表2标准二级标准</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896" w:hRule="atLeast"/>
        </w:trPr>
        <w:tc>
          <w:tcPr>
            <w:tcW w:w="805" w:type="dxa"/>
            <w:vAlign w:val="center"/>
          </w:tcPr>
          <w:p>
            <w:pPr>
              <w:pStyle w:val="246"/>
              <w:rPr>
                <w:rFonts w:eastAsiaTheme="minorEastAsia"/>
                <w:color w:val="auto"/>
              </w:rPr>
            </w:pPr>
            <w:r>
              <w:rPr>
                <w:rFonts w:eastAsiaTheme="minorEastAsia"/>
                <w:color w:val="auto"/>
              </w:rPr>
              <w:t>噪声</w:t>
            </w:r>
          </w:p>
        </w:tc>
        <w:tc>
          <w:tcPr>
            <w:tcW w:w="1523" w:type="dxa"/>
            <w:vAlign w:val="center"/>
          </w:tcPr>
          <w:p>
            <w:pPr>
              <w:pStyle w:val="246"/>
              <w:rPr>
                <w:rFonts w:eastAsiaTheme="minorEastAsia"/>
                <w:color w:val="auto"/>
              </w:rPr>
            </w:pPr>
            <w:r>
              <w:rPr>
                <w:rFonts w:eastAsiaTheme="minorEastAsia"/>
                <w:color w:val="auto"/>
              </w:rPr>
              <w:t>厂界外1m</w:t>
            </w:r>
          </w:p>
        </w:tc>
        <w:tc>
          <w:tcPr>
            <w:tcW w:w="1837" w:type="dxa"/>
            <w:vAlign w:val="center"/>
          </w:tcPr>
          <w:p>
            <w:pPr>
              <w:pStyle w:val="246"/>
              <w:rPr>
                <w:rFonts w:eastAsiaTheme="minorEastAsia"/>
                <w:color w:val="auto"/>
              </w:rPr>
            </w:pPr>
            <w:r>
              <w:rPr>
                <w:rFonts w:eastAsiaTheme="minorEastAsia"/>
                <w:color w:val="auto"/>
              </w:rPr>
              <w:t>等效声级</w:t>
            </w:r>
          </w:p>
        </w:tc>
        <w:tc>
          <w:tcPr>
            <w:tcW w:w="1747" w:type="dxa"/>
            <w:vAlign w:val="center"/>
          </w:tcPr>
          <w:p>
            <w:pPr>
              <w:pStyle w:val="246"/>
              <w:rPr>
                <w:rFonts w:eastAsiaTheme="minorEastAsia"/>
                <w:color w:val="auto"/>
              </w:rPr>
            </w:pPr>
            <w:r>
              <w:rPr>
                <w:rFonts w:eastAsiaTheme="minorEastAsia"/>
                <w:color w:val="auto"/>
              </w:rPr>
              <w:t>1次/季，每次2天，分为昼间和夜间</w:t>
            </w:r>
          </w:p>
        </w:tc>
        <w:tc>
          <w:tcPr>
            <w:tcW w:w="3262" w:type="dxa"/>
            <w:vAlign w:val="center"/>
          </w:tcPr>
          <w:p>
            <w:pPr>
              <w:pStyle w:val="246"/>
              <w:rPr>
                <w:rFonts w:eastAsiaTheme="minorEastAsia"/>
                <w:color w:val="auto"/>
              </w:rPr>
            </w:pPr>
            <w:r>
              <w:rPr>
                <w:rFonts w:eastAsiaTheme="minorEastAsia"/>
                <w:color w:val="auto"/>
              </w:rPr>
              <w:t>满足《工业企业厂界环境噪声排放标准》GB12348-2008中2类标准</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896" w:hRule="atLeast"/>
        </w:trPr>
        <w:tc>
          <w:tcPr>
            <w:tcW w:w="805" w:type="dxa"/>
            <w:vAlign w:val="center"/>
          </w:tcPr>
          <w:p>
            <w:pPr>
              <w:pStyle w:val="246"/>
              <w:rPr>
                <w:rFonts w:eastAsiaTheme="minorEastAsia"/>
                <w:color w:val="auto"/>
              </w:rPr>
            </w:pPr>
            <w:r>
              <w:rPr>
                <w:rFonts w:eastAsiaTheme="minorEastAsia"/>
                <w:color w:val="auto"/>
              </w:rPr>
              <w:t>生态（服务期满）</w:t>
            </w:r>
          </w:p>
        </w:tc>
        <w:tc>
          <w:tcPr>
            <w:tcW w:w="1523" w:type="dxa"/>
            <w:vAlign w:val="center"/>
          </w:tcPr>
          <w:p>
            <w:pPr>
              <w:pStyle w:val="246"/>
              <w:rPr>
                <w:rFonts w:eastAsiaTheme="minorEastAsia"/>
                <w:color w:val="auto"/>
              </w:rPr>
            </w:pPr>
            <w:r>
              <w:rPr>
                <w:rFonts w:eastAsiaTheme="minorEastAsia"/>
                <w:color w:val="auto"/>
              </w:rPr>
              <w:t>复垦区</w:t>
            </w:r>
          </w:p>
        </w:tc>
        <w:tc>
          <w:tcPr>
            <w:tcW w:w="1837" w:type="dxa"/>
            <w:vAlign w:val="center"/>
          </w:tcPr>
          <w:p>
            <w:pPr>
              <w:pStyle w:val="246"/>
              <w:rPr>
                <w:rFonts w:eastAsiaTheme="minorEastAsia"/>
                <w:color w:val="auto"/>
              </w:rPr>
            </w:pPr>
            <w:r>
              <w:rPr>
                <w:rFonts w:eastAsiaTheme="minorEastAsia"/>
                <w:color w:val="auto"/>
              </w:rPr>
              <w:t>植被覆盖率</w:t>
            </w:r>
          </w:p>
        </w:tc>
        <w:tc>
          <w:tcPr>
            <w:tcW w:w="1747" w:type="dxa"/>
            <w:vAlign w:val="center"/>
          </w:tcPr>
          <w:p>
            <w:pPr>
              <w:pStyle w:val="246"/>
              <w:rPr>
                <w:rFonts w:eastAsiaTheme="minorEastAsia"/>
                <w:color w:val="auto"/>
              </w:rPr>
            </w:pPr>
            <w:r>
              <w:rPr>
                <w:rFonts w:eastAsiaTheme="minorEastAsia"/>
                <w:color w:val="auto"/>
              </w:rPr>
              <w:t>退役3年内，每年1次</w:t>
            </w:r>
          </w:p>
        </w:tc>
        <w:tc>
          <w:tcPr>
            <w:tcW w:w="3262" w:type="dxa"/>
            <w:vAlign w:val="center"/>
          </w:tcPr>
          <w:p>
            <w:pPr>
              <w:pStyle w:val="246"/>
              <w:rPr>
                <w:rFonts w:eastAsiaTheme="minorEastAsia"/>
                <w:color w:val="auto"/>
              </w:rPr>
            </w:pPr>
            <w:r>
              <w:rPr>
                <w:rFonts w:eastAsiaTheme="minorEastAsia"/>
                <w:color w:val="auto"/>
              </w:rPr>
              <w:t>/</w:t>
            </w:r>
          </w:p>
        </w:tc>
      </w:tr>
      <w:bookmarkEnd w:id="294"/>
      <w:bookmarkEnd w:id="295"/>
    </w:tbl>
    <w:p>
      <w:pPr>
        <w:pStyle w:val="238"/>
        <w:rPr>
          <w:rFonts w:hAnsi="Times New Roman" w:eastAsiaTheme="minorEastAsia"/>
          <w:color w:val="auto"/>
        </w:rPr>
      </w:pPr>
      <w:bookmarkStart w:id="296" w:name="_Toc519693595"/>
      <w:bookmarkStart w:id="297" w:name="_Toc429169792"/>
      <w:bookmarkStart w:id="298" w:name="_Toc440973860"/>
      <w:bookmarkStart w:id="299" w:name="_Toc440973594"/>
      <w:r>
        <w:rPr>
          <w:rFonts w:hAnsi="Times New Roman" w:eastAsiaTheme="minorEastAsia"/>
          <w:color w:val="auto"/>
        </w:rPr>
        <w:t>8.3“三同时”验收内容</w:t>
      </w:r>
      <w:bookmarkEnd w:id="296"/>
      <w:bookmarkEnd w:id="297"/>
      <w:bookmarkEnd w:id="298"/>
      <w:bookmarkEnd w:id="299"/>
    </w:p>
    <w:p>
      <w:pPr>
        <w:spacing w:line="500" w:lineRule="exact"/>
        <w:ind w:firstLine="480" w:firstLineChars="200"/>
        <w:rPr>
          <w:rFonts w:eastAsiaTheme="minorEastAsia"/>
          <w:color w:val="auto"/>
        </w:rPr>
      </w:pPr>
      <w:r>
        <w:rPr>
          <w:rFonts w:eastAsiaTheme="minorEastAsia"/>
          <w:color w:val="auto"/>
        </w:rPr>
        <w:t>建设单位在工程投产后正常生产工况下，应按照《建设项目环境保护设施验收管理规定》中的有关要求，及时向环保主管部门提出环保设施竣工验收申请，进行验收。本工程环保设施竣工验收一览表见表8-3-1。</w:t>
      </w:r>
    </w:p>
    <w:p>
      <w:pPr>
        <w:pStyle w:val="284"/>
        <w:rPr>
          <w:rFonts w:ascii="Times New Roman" w:hAnsi="Times New Roman" w:eastAsiaTheme="minorEastAsia"/>
          <w:color w:val="auto"/>
        </w:rPr>
      </w:pPr>
      <w:r>
        <w:rPr>
          <w:rFonts w:ascii="Times New Roman" w:hAnsi="Times New Roman" w:eastAsiaTheme="minorEastAsia"/>
          <w:color w:val="auto"/>
        </w:rPr>
        <w:t>表8-3-1  本工程“三同时”竣工验收一览表</w:t>
      </w:r>
    </w:p>
    <w:tbl>
      <w:tblPr>
        <w:tblStyle w:val="53"/>
        <w:tblW w:w="8306" w:type="dxa"/>
        <w:jc w:val="center"/>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457"/>
        <w:gridCol w:w="940"/>
        <w:gridCol w:w="4186"/>
        <w:gridCol w:w="2723"/>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784" w:hRule="atLeast"/>
          <w:jc w:val="center"/>
        </w:trPr>
        <w:tc>
          <w:tcPr>
            <w:tcW w:w="457" w:type="dxa"/>
            <w:vAlign w:val="center"/>
          </w:tcPr>
          <w:p>
            <w:pPr>
              <w:pStyle w:val="246"/>
              <w:spacing w:line="240" w:lineRule="auto"/>
              <w:rPr>
                <w:rFonts w:eastAsiaTheme="minorEastAsia"/>
                <w:color w:val="auto"/>
              </w:rPr>
            </w:pPr>
            <w:r>
              <w:rPr>
                <w:rFonts w:eastAsiaTheme="minorEastAsia"/>
                <w:color w:val="auto"/>
              </w:rPr>
              <w:t>序号</w:t>
            </w:r>
          </w:p>
        </w:tc>
        <w:tc>
          <w:tcPr>
            <w:tcW w:w="940" w:type="dxa"/>
            <w:vAlign w:val="center"/>
          </w:tcPr>
          <w:p>
            <w:pPr>
              <w:pStyle w:val="246"/>
              <w:spacing w:line="240" w:lineRule="auto"/>
              <w:rPr>
                <w:rFonts w:eastAsiaTheme="minorEastAsia"/>
                <w:color w:val="auto"/>
              </w:rPr>
            </w:pPr>
            <w:r>
              <w:rPr>
                <w:rFonts w:eastAsiaTheme="minorEastAsia"/>
                <w:color w:val="auto"/>
              </w:rPr>
              <w:t>项目</w:t>
            </w:r>
          </w:p>
        </w:tc>
        <w:tc>
          <w:tcPr>
            <w:tcW w:w="4186" w:type="dxa"/>
            <w:vAlign w:val="center"/>
          </w:tcPr>
          <w:p>
            <w:pPr>
              <w:pStyle w:val="246"/>
              <w:spacing w:line="240" w:lineRule="auto"/>
              <w:rPr>
                <w:rFonts w:eastAsiaTheme="minorEastAsia"/>
                <w:color w:val="auto"/>
              </w:rPr>
            </w:pPr>
            <w:r>
              <w:rPr>
                <w:rFonts w:eastAsiaTheme="minorEastAsia"/>
                <w:color w:val="auto"/>
              </w:rPr>
              <w:t>验收内容</w:t>
            </w:r>
          </w:p>
        </w:tc>
        <w:tc>
          <w:tcPr>
            <w:tcW w:w="2723" w:type="dxa"/>
            <w:tcBorders>
              <w:bottom w:val="single" w:color="auto" w:sz="4" w:space="0"/>
            </w:tcBorders>
            <w:vAlign w:val="center"/>
          </w:tcPr>
          <w:p>
            <w:pPr>
              <w:pStyle w:val="246"/>
              <w:spacing w:line="240" w:lineRule="auto"/>
              <w:rPr>
                <w:rFonts w:eastAsiaTheme="minorEastAsia"/>
                <w:color w:val="auto"/>
              </w:rPr>
            </w:pPr>
            <w:r>
              <w:rPr>
                <w:rFonts w:eastAsiaTheme="minorEastAsia"/>
                <w:color w:val="auto"/>
              </w:rPr>
              <w:t>验收标准</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784" w:hRule="atLeast"/>
          <w:jc w:val="center"/>
        </w:trPr>
        <w:tc>
          <w:tcPr>
            <w:tcW w:w="457" w:type="dxa"/>
            <w:vAlign w:val="center"/>
          </w:tcPr>
          <w:p>
            <w:pPr>
              <w:pStyle w:val="246"/>
              <w:spacing w:line="240" w:lineRule="auto"/>
              <w:rPr>
                <w:rFonts w:eastAsiaTheme="minorEastAsia"/>
                <w:color w:val="auto"/>
              </w:rPr>
            </w:pPr>
            <w:r>
              <w:rPr>
                <w:rFonts w:eastAsiaTheme="minorEastAsia"/>
                <w:color w:val="auto"/>
              </w:rPr>
              <w:t>1</w:t>
            </w:r>
          </w:p>
        </w:tc>
        <w:tc>
          <w:tcPr>
            <w:tcW w:w="940" w:type="dxa"/>
            <w:vAlign w:val="center"/>
          </w:tcPr>
          <w:p>
            <w:pPr>
              <w:pStyle w:val="55"/>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 xml:space="preserve">凿岩穿孔、爆破、集堆铲装 </w:t>
            </w:r>
          </w:p>
          <w:p>
            <w:pPr>
              <w:pStyle w:val="246"/>
              <w:spacing w:line="240" w:lineRule="auto"/>
              <w:rPr>
                <w:rFonts w:eastAsiaTheme="minorEastAsia"/>
                <w:color w:val="auto"/>
              </w:rPr>
            </w:pPr>
          </w:p>
        </w:tc>
        <w:tc>
          <w:tcPr>
            <w:tcW w:w="4186" w:type="dxa"/>
            <w:vAlign w:val="center"/>
          </w:tcPr>
          <w:p>
            <w:pPr>
              <w:pStyle w:val="55"/>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 xml:space="preserve">洒水装置及配套设施 </w:t>
            </w:r>
          </w:p>
          <w:p>
            <w:pPr>
              <w:pStyle w:val="246"/>
              <w:spacing w:line="240" w:lineRule="auto"/>
              <w:rPr>
                <w:rFonts w:eastAsiaTheme="minorEastAsia"/>
                <w:color w:val="auto"/>
              </w:rPr>
            </w:pPr>
          </w:p>
        </w:tc>
        <w:tc>
          <w:tcPr>
            <w:tcW w:w="2723" w:type="dxa"/>
            <w:vMerge w:val="restart"/>
            <w:vAlign w:val="center"/>
          </w:tcPr>
          <w:p>
            <w:pPr>
              <w:pStyle w:val="55"/>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周界外浓度颗粒物≤1.0mg/m</w:t>
            </w:r>
            <w:r>
              <w:rPr>
                <w:rFonts w:ascii="Times New Roman" w:hAnsi="Times New Roman" w:cs="Times New Roman" w:eastAsiaTheme="minorEastAsia"/>
                <w:color w:val="auto"/>
                <w:sz w:val="14"/>
                <w:szCs w:val="14"/>
              </w:rPr>
              <w:t>3</w:t>
            </w:r>
            <w:r>
              <w:rPr>
                <w:rFonts w:ascii="Times New Roman" w:hAnsi="Times New Roman" w:cs="Times New Roman" w:eastAsiaTheme="minorEastAsia"/>
                <w:color w:val="auto"/>
                <w:sz w:val="21"/>
                <w:szCs w:val="21"/>
              </w:rPr>
              <w:t xml:space="preserve">，满足《大气污染物综合排放标准》（GB16297-1996）表2无组织排放监控浓度限值 </w:t>
            </w:r>
          </w:p>
          <w:p>
            <w:pPr>
              <w:pStyle w:val="246"/>
              <w:spacing w:line="240" w:lineRule="auto"/>
              <w:rPr>
                <w:rFonts w:eastAsiaTheme="minorEastAsia"/>
                <w:color w:val="auto"/>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960" w:hRule="atLeast"/>
          <w:jc w:val="center"/>
        </w:trPr>
        <w:tc>
          <w:tcPr>
            <w:tcW w:w="457" w:type="dxa"/>
            <w:vAlign w:val="center"/>
          </w:tcPr>
          <w:p>
            <w:pPr>
              <w:pStyle w:val="246"/>
              <w:spacing w:line="240" w:lineRule="auto"/>
              <w:rPr>
                <w:rFonts w:eastAsiaTheme="minorEastAsia"/>
                <w:color w:val="auto"/>
              </w:rPr>
            </w:pPr>
            <w:r>
              <w:rPr>
                <w:rFonts w:eastAsiaTheme="minorEastAsia"/>
                <w:color w:val="auto"/>
              </w:rPr>
              <w:t>2</w:t>
            </w:r>
          </w:p>
        </w:tc>
        <w:tc>
          <w:tcPr>
            <w:tcW w:w="940" w:type="dxa"/>
            <w:vAlign w:val="center"/>
          </w:tcPr>
          <w:p>
            <w:pPr>
              <w:pStyle w:val="246"/>
              <w:spacing w:line="240" w:lineRule="auto"/>
              <w:rPr>
                <w:rFonts w:eastAsiaTheme="minorEastAsia"/>
                <w:color w:val="auto"/>
              </w:rPr>
            </w:pPr>
            <w:r>
              <w:rPr>
                <w:rFonts w:eastAsiaTheme="minorEastAsia"/>
                <w:color w:val="auto"/>
              </w:rPr>
              <w:t>破碎、筛分</w:t>
            </w:r>
          </w:p>
        </w:tc>
        <w:tc>
          <w:tcPr>
            <w:tcW w:w="4186" w:type="dxa"/>
            <w:vAlign w:val="center"/>
          </w:tcPr>
          <w:p>
            <w:pPr>
              <w:pStyle w:val="55"/>
              <w:jc w:val="both"/>
              <w:rPr>
                <w:rFonts w:eastAsiaTheme="minorEastAsia"/>
                <w:color w:val="auto"/>
              </w:rPr>
            </w:pPr>
            <w:r>
              <w:rPr>
                <w:rFonts w:ascii="Times New Roman" w:hAnsi="Times New Roman" w:cs="Times New Roman" w:eastAsiaTheme="minorEastAsia"/>
                <w:color w:val="auto"/>
                <w:sz w:val="21"/>
                <w:szCs w:val="21"/>
              </w:rPr>
              <w:t>将破碎机及振动筛设备四周设置彩钢板使其处于完全封闭，留有检修及维护仓门，入料口位于封闭仓内，石料从破碎机送至振动筛过程采用全封闭皮带式廊道运输，在出料口处沿传送皮带设置10m全封闭出口廊道，皮带输送机进料口及下料点设置喷淋抑尘装置，石粉仓密闭。</w:t>
            </w:r>
          </w:p>
        </w:tc>
        <w:tc>
          <w:tcPr>
            <w:tcW w:w="2723" w:type="dxa"/>
            <w:vMerge w:val="continue"/>
            <w:vAlign w:val="center"/>
          </w:tcPr>
          <w:p>
            <w:pPr>
              <w:pStyle w:val="246"/>
              <w:spacing w:line="240" w:lineRule="auto"/>
              <w:rPr>
                <w:rFonts w:eastAsiaTheme="minorEastAsia"/>
                <w:color w:val="auto"/>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960" w:hRule="atLeast"/>
          <w:jc w:val="center"/>
        </w:trPr>
        <w:tc>
          <w:tcPr>
            <w:tcW w:w="457" w:type="dxa"/>
            <w:vAlign w:val="center"/>
          </w:tcPr>
          <w:p>
            <w:pPr>
              <w:pStyle w:val="246"/>
              <w:spacing w:line="240" w:lineRule="auto"/>
              <w:rPr>
                <w:rFonts w:eastAsiaTheme="minorEastAsia"/>
                <w:color w:val="auto"/>
              </w:rPr>
            </w:pPr>
            <w:r>
              <w:rPr>
                <w:rFonts w:eastAsiaTheme="minorEastAsia"/>
                <w:color w:val="auto"/>
              </w:rPr>
              <w:t>3</w:t>
            </w:r>
          </w:p>
        </w:tc>
        <w:tc>
          <w:tcPr>
            <w:tcW w:w="940" w:type="dxa"/>
            <w:vAlign w:val="center"/>
          </w:tcPr>
          <w:p>
            <w:pPr>
              <w:pStyle w:val="246"/>
              <w:spacing w:line="240" w:lineRule="auto"/>
              <w:rPr>
                <w:rFonts w:eastAsiaTheme="minorEastAsia"/>
                <w:color w:val="auto"/>
              </w:rPr>
            </w:pPr>
            <w:r>
              <w:rPr>
                <w:rFonts w:eastAsiaTheme="minorEastAsia"/>
                <w:color w:val="auto"/>
              </w:rPr>
              <w:t>临时堆土场、原矿堆场</w:t>
            </w:r>
          </w:p>
        </w:tc>
        <w:tc>
          <w:tcPr>
            <w:tcW w:w="4186" w:type="dxa"/>
            <w:vAlign w:val="center"/>
          </w:tcPr>
          <w:p>
            <w:pPr>
              <w:pStyle w:val="55"/>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移动式洒水喷淋装置</w:t>
            </w:r>
          </w:p>
        </w:tc>
        <w:tc>
          <w:tcPr>
            <w:tcW w:w="2723" w:type="dxa"/>
            <w:vMerge w:val="continue"/>
            <w:vAlign w:val="center"/>
          </w:tcPr>
          <w:p>
            <w:pPr>
              <w:pStyle w:val="246"/>
              <w:spacing w:line="240" w:lineRule="auto"/>
              <w:rPr>
                <w:rFonts w:eastAsiaTheme="minorEastAsia"/>
                <w:color w:val="auto"/>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960" w:hRule="atLeast"/>
          <w:jc w:val="center"/>
        </w:trPr>
        <w:tc>
          <w:tcPr>
            <w:tcW w:w="457" w:type="dxa"/>
            <w:vAlign w:val="center"/>
          </w:tcPr>
          <w:p>
            <w:pPr>
              <w:pStyle w:val="246"/>
              <w:spacing w:line="240" w:lineRule="auto"/>
              <w:rPr>
                <w:rFonts w:hint="eastAsia" w:eastAsiaTheme="minorEastAsia"/>
                <w:color w:val="auto"/>
                <w:lang w:eastAsia="zh-CN"/>
              </w:rPr>
            </w:pPr>
            <w:r>
              <w:rPr>
                <w:rFonts w:hint="eastAsia" w:eastAsiaTheme="minorEastAsia"/>
                <w:color w:val="auto"/>
                <w:lang w:val="en-US" w:eastAsia="zh-CN"/>
              </w:rPr>
              <w:t>4</w:t>
            </w:r>
          </w:p>
        </w:tc>
        <w:tc>
          <w:tcPr>
            <w:tcW w:w="940" w:type="dxa"/>
            <w:vAlign w:val="center"/>
          </w:tcPr>
          <w:p>
            <w:pPr>
              <w:pStyle w:val="246"/>
              <w:spacing w:line="240" w:lineRule="auto"/>
              <w:rPr>
                <w:rFonts w:eastAsiaTheme="minorEastAsia"/>
                <w:color w:val="auto"/>
              </w:rPr>
            </w:pPr>
            <w:r>
              <w:rPr>
                <w:rFonts w:eastAsiaTheme="minorEastAsia"/>
                <w:color w:val="auto"/>
              </w:rPr>
              <w:t>运输道路</w:t>
            </w:r>
          </w:p>
        </w:tc>
        <w:tc>
          <w:tcPr>
            <w:tcW w:w="4186" w:type="dxa"/>
            <w:vAlign w:val="center"/>
          </w:tcPr>
          <w:p>
            <w:pPr>
              <w:pStyle w:val="55"/>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洒水车洒水、加盖苫布、限速行驶</w:t>
            </w:r>
          </w:p>
        </w:tc>
        <w:tc>
          <w:tcPr>
            <w:tcW w:w="2723" w:type="dxa"/>
            <w:vMerge w:val="continue"/>
            <w:vAlign w:val="center"/>
          </w:tcPr>
          <w:p>
            <w:pPr>
              <w:pStyle w:val="246"/>
              <w:spacing w:line="240" w:lineRule="auto"/>
              <w:rPr>
                <w:rFonts w:eastAsiaTheme="minorEastAsia"/>
                <w:color w:val="auto"/>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960" w:hRule="atLeast"/>
          <w:jc w:val="center"/>
        </w:trPr>
        <w:tc>
          <w:tcPr>
            <w:tcW w:w="457" w:type="dxa"/>
            <w:vAlign w:val="center"/>
          </w:tcPr>
          <w:p>
            <w:pPr>
              <w:pStyle w:val="246"/>
              <w:spacing w:line="240" w:lineRule="auto"/>
              <w:rPr>
                <w:rFonts w:hint="eastAsia" w:eastAsiaTheme="minorEastAsia"/>
                <w:color w:val="auto"/>
                <w:lang w:eastAsia="zh-CN"/>
              </w:rPr>
            </w:pPr>
            <w:r>
              <w:rPr>
                <w:rFonts w:hint="eastAsia" w:eastAsiaTheme="minorEastAsia"/>
                <w:color w:val="auto"/>
                <w:lang w:val="en-US" w:eastAsia="zh-CN"/>
              </w:rPr>
              <w:t>5</w:t>
            </w:r>
          </w:p>
        </w:tc>
        <w:tc>
          <w:tcPr>
            <w:tcW w:w="940" w:type="dxa"/>
            <w:vAlign w:val="center"/>
          </w:tcPr>
          <w:p>
            <w:pPr>
              <w:pStyle w:val="55"/>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 xml:space="preserve">破碎、筛分工序除尘设施 </w:t>
            </w:r>
          </w:p>
          <w:p>
            <w:pPr>
              <w:pStyle w:val="246"/>
              <w:spacing w:line="240" w:lineRule="auto"/>
              <w:rPr>
                <w:rFonts w:eastAsiaTheme="minorEastAsia"/>
                <w:color w:val="auto"/>
              </w:rPr>
            </w:pPr>
          </w:p>
        </w:tc>
        <w:tc>
          <w:tcPr>
            <w:tcW w:w="4186" w:type="dxa"/>
            <w:vAlign w:val="center"/>
          </w:tcPr>
          <w:p>
            <w:pPr>
              <w:pStyle w:val="55"/>
              <w:jc w:val="center"/>
              <w:rPr>
                <w:rFonts w:ascii="Times New Roman" w:hAnsi="Times New Roman" w:cs="Times New Roman" w:eastAsiaTheme="minorEastAsia"/>
                <w:color w:val="auto"/>
                <w:sz w:val="21"/>
                <w:szCs w:val="21"/>
              </w:rPr>
            </w:pPr>
            <w:r>
              <w:rPr>
                <w:rFonts w:hint="eastAsia" w:ascii="Times New Roman" w:hAnsi="Times New Roman" w:cs="Times New Roman" w:eastAsiaTheme="minorEastAsia"/>
                <w:color w:val="auto"/>
                <w:sz w:val="21"/>
                <w:szCs w:val="21"/>
                <w:lang w:eastAsia="zh-CN"/>
              </w:rPr>
              <w:t>粗碎</w:t>
            </w:r>
            <w:r>
              <w:rPr>
                <w:rFonts w:ascii="Times New Roman" w:hAnsi="Times New Roman" w:cs="Times New Roman" w:eastAsiaTheme="minorEastAsia"/>
                <w:color w:val="auto"/>
                <w:sz w:val="21"/>
                <w:szCs w:val="21"/>
              </w:rPr>
              <w:t>破碎机</w:t>
            </w:r>
            <w:r>
              <w:rPr>
                <w:rFonts w:hint="eastAsia" w:ascii="Times New Roman" w:hAnsi="Times New Roman" w:cs="Times New Roman" w:eastAsiaTheme="minorEastAsia"/>
                <w:color w:val="auto"/>
                <w:sz w:val="21"/>
                <w:szCs w:val="21"/>
                <w:lang w:eastAsia="zh-CN"/>
              </w:rPr>
              <w:t>、细碎</w:t>
            </w:r>
            <w:r>
              <w:rPr>
                <w:rFonts w:ascii="Times New Roman" w:hAnsi="Times New Roman" w:cs="Times New Roman" w:eastAsiaTheme="minorEastAsia"/>
                <w:color w:val="auto"/>
                <w:sz w:val="21"/>
                <w:szCs w:val="21"/>
              </w:rPr>
              <w:t>破碎机</w:t>
            </w:r>
            <w:r>
              <w:rPr>
                <w:rFonts w:hint="eastAsia" w:ascii="Times New Roman" w:hAnsi="Times New Roman" w:cs="Times New Roman" w:eastAsiaTheme="minorEastAsia"/>
                <w:color w:val="auto"/>
                <w:sz w:val="21"/>
                <w:szCs w:val="21"/>
                <w:lang w:eastAsia="zh-CN"/>
              </w:rPr>
              <w:t>、</w:t>
            </w:r>
            <w:r>
              <w:rPr>
                <w:rFonts w:ascii="Times New Roman" w:hAnsi="Times New Roman" w:cs="Times New Roman" w:eastAsiaTheme="minorEastAsia"/>
                <w:color w:val="auto"/>
                <w:sz w:val="21"/>
                <w:szCs w:val="21"/>
              </w:rPr>
              <w:t>振动筛</w:t>
            </w:r>
            <w:r>
              <w:rPr>
                <w:rFonts w:hint="eastAsia" w:ascii="Times New Roman" w:hAnsi="Times New Roman" w:cs="Times New Roman" w:eastAsiaTheme="minorEastAsia"/>
                <w:color w:val="auto"/>
                <w:sz w:val="21"/>
                <w:szCs w:val="21"/>
                <w:lang w:eastAsia="zh-CN"/>
              </w:rPr>
              <w:t>分别</w:t>
            </w:r>
            <w:r>
              <w:rPr>
                <w:rFonts w:ascii="Times New Roman" w:hAnsi="Times New Roman" w:cs="Times New Roman" w:eastAsiaTheme="minorEastAsia"/>
                <w:color w:val="auto"/>
                <w:sz w:val="21"/>
                <w:szCs w:val="21"/>
              </w:rPr>
              <w:t>配备布袋除尘器，废气分别经布袋除尘器处理</w:t>
            </w:r>
            <w:r>
              <w:rPr>
                <w:rFonts w:hint="eastAsia" w:ascii="Times New Roman" w:hAnsi="Times New Roman" w:cs="Times New Roman" w:eastAsiaTheme="minorEastAsia"/>
                <w:color w:val="auto"/>
                <w:sz w:val="21"/>
                <w:szCs w:val="21"/>
                <w:lang w:eastAsia="zh-CN"/>
              </w:rPr>
              <w:t>后</w:t>
            </w:r>
            <w:r>
              <w:rPr>
                <w:rFonts w:ascii="Times New Roman" w:hAnsi="Times New Roman" w:cs="Times New Roman" w:eastAsiaTheme="minorEastAsia"/>
                <w:color w:val="auto"/>
                <w:sz w:val="21"/>
                <w:szCs w:val="21"/>
              </w:rPr>
              <w:t>，经15m高排气筒排放。</w:t>
            </w:r>
          </w:p>
        </w:tc>
        <w:tc>
          <w:tcPr>
            <w:tcW w:w="2723" w:type="dxa"/>
            <w:vAlign w:val="center"/>
          </w:tcPr>
          <w:p>
            <w:pPr>
              <w:pStyle w:val="246"/>
              <w:spacing w:line="240" w:lineRule="auto"/>
              <w:rPr>
                <w:rFonts w:eastAsiaTheme="minorEastAsia"/>
                <w:color w:val="auto"/>
              </w:rPr>
            </w:pPr>
            <w:r>
              <w:rPr>
                <w:rFonts w:eastAsiaTheme="minorEastAsia"/>
                <w:color w:val="auto"/>
              </w:rPr>
              <w:t>颗粒物浓度≤120mg/m</w:t>
            </w:r>
            <w:r>
              <w:rPr>
                <w:rFonts w:eastAsiaTheme="minorEastAsia"/>
                <w:color w:val="auto"/>
                <w:vertAlign w:val="superscript"/>
              </w:rPr>
              <w:t>3</w:t>
            </w:r>
            <w:r>
              <w:rPr>
                <w:rFonts w:eastAsiaTheme="minorEastAsia"/>
                <w:color w:val="auto"/>
              </w:rPr>
              <w:t>，颗粒物速率≤3.5kg/h，满足《大气污染物综合排放标准》（GB16297-1996）表2二级标准</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960" w:hRule="atLeast"/>
          <w:jc w:val="center"/>
        </w:trPr>
        <w:tc>
          <w:tcPr>
            <w:tcW w:w="457" w:type="dxa"/>
            <w:vAlign w:val="center"/>
          </w:tcPr>
          <w:p>
            <w:pPr>
              <w:pStyle w:val="246"/>
              <w:spacing w:line="240" w:lineRule="auto"/>
              <w:rPr>
                <w:rFonts w:hint="eastAsia" w:eastAsiaTheme="minorEastAsia"/>
                <w:color w:val="auto"/>
                <w:lang w:eastAsia="zh-CN"/>
              </w:rPr>
            </w:pPr>
            <w:r>
              <w:rPr>
                <w:rFonts w:hint="eastAsia" w:eastAsiaTheme="minorEastAsia"/>
                <w:color w:val="auto"/>
                <w:lang w:val="en-US" w:eastAsia="zh-CN"/>
              </w:rPr>
              <w:t>6</w:t>
            </w:r>
          </w:p>
        </w:tc>
        <w:tc>
          <w:tcPr>
            <w:tcW w:w="940" w:type="dxa"/>
            <w:vAlign w:val="center"/>
          </w:tcPr>
          <w:p>
            <w:pPr>
              <w:pStyle w:val="55"/>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汇水及生活污水防治措施</w:t>
            </w:r>
          </w:p>
        </w:tc>
        <w:tc>
          <w:tcPr>
            <w:tcW w:w="4186" w:type="dxa"/>
            <w:vAlign w:val="center"/>
          </w:tcPr>
          <w:p>
            <w:pPr>
              <w:pStyle w:val="55"/>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采场上方设置截流沟，工业场地内设导流渠和1个</w:t>
            </w:r>
            <w:r>
              <w:rPr>
                <w:rFonts w:hint="eastAsia" w:ascii="Times New Roman" w:hAnsi="Times New Roman" w:cs="Times New Roman" w:eastAsiaTheme="minorEastAsia"/>
                <w:color w:val="auto"/>
                <w:sz w:val="21"/>
                <w:szCs w:val="21"/>
                <w:lang w:val="en-US" w:eastAsia="zh-CN"/>
              </w:rPr>
              <w:t>900</w:t>
            </w:r>
            <w:r>
              <w:rPr>
                <w:rFonts w:ascii="Times New Roman" w:hAnsi="Times New Roman" w:cs="Times New Roman" w:eastAsiaTheme="minorEastAsia"/>
                <w:color w:val="auto"/>
                <w:sz w:val="21"/>
                <w:szCs w:val="21"/>
              </w:rPr>
              <w:t xml:space="preserve"> m</w:t>
            </w:r>
            <w:r>
              <w:rPr>
                <w:rFonts w:ascii="Times New Roman" w:hAnsi="Times New Roman" w:cs="Times New Roman" w:eastAsiaTheme="minorEastAsia"/>
                <w:color w:val="auto"/>
                <w:sz w:val="21"/>
                <w:szCs w:val="21"/>
                <w:vertAlign w:val="superscript"/>
              </w:rPr>
              <w:t>3</w:t>
            </w:r>
            <w:r>
              <w:rPr>
                <w:rFonts w:ascii="Times New Roman" w:hAnsi="Times New Roman" w:cs="Times New Roman" w:eastAsiaTheme="minorEastAsia"/>
                <w:color w:val="auto"/>
                <w:sz w:val="21"/>
                <w:szCs w:val="21"/>
              </w:rPr>
              <w:t xml:space="preserve">贮水池，生活污水排入厂区自建的防渗旱厕，定期清掏，外运堆肥 </w:t>
            </w:r>
          </w:p>
        </w:tc>
        <w:tc>
          <w:tcPr>
            <w:tcW w:w="2723" w:type="dxa"/>
            <w:vAlign w:val="center"/>
          </w:tcPr>
          <w:p>
            <w:pPr>
              <w:pStyle w:val="55"/>
              <w:jc w:val="center"/>
              <w:rPr>
                <w:rFonts w:eastAsiaTheme="minorEastAsia"/>
                <w:color w:val="auto"/>
              </w:rPr>
            </w:pPr>
            <w:r>
              <w:rPr>
                <w:rFonts w:ascii="Times New Roman" w:hAnsi="Times New Roman" w:cs="Times New Roman" w:eastAsiaTheme="minorEastAsia"/>
                <w:color w:val="auto"/>
                <w:sz w:val="21"/>
                <w:szCs w:val="21"/>
              </w:rPr>
              <w:t xml:space="preserve">收集矿区汇水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960" w:hRule="atLeast"/>
          <w:jc w:val="center"/>
        </w:trPr>
        <w:tc>
          <w:tcPr>
            <w:tcW w:w="457" w:type="dxa"/>
            <w:vAlign w:val="center"/>
          </w:tcPr>
          <w:p>
            <w:pPr>
              <w:pStyle w:val="246"/>
              <w:spacing w:line="240" w:lineRule="auto"/>
              <w:rPr>
                <w:rFonts w:hint="eastAsia" w:eastAsiaTheme="minorEastAsia"/>
                <w:color w:val="auto"/>
                <w:lang w:val="en-US" w:eastAsia="zh-CN"/>
              </w:rPr>
            </w:pPr>
            <w:r>
              <w:rPr>
                <w:rFonts w:hint="eastAsia" w:eastAsiaTheme="minorEastAsia"/>
                <w:color w:val="auto"/>
                <w:lang w:val="en-US" w:eastAsia="zh-CN"/>
              </w:rPr>
              <w:t>7</w:t>
            </w:r>
          </w:p>
        </w:tc>
        <w:tc>
          <w:tcPr>
            <w:tcW w:w="940" w:type="dxa"/>
            <w:vAlign w:val="center"/>
          </w:tcPr>
          <w:p>
            <w:pPr>
              <w:pStyle w:val="55"/>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 xml:space="preserve">噪声控制 </w:t>
            </w:r>
          </w:p>
        </w:tc>
        <w:tc>
          <w:tcPr>
            <w:tcW w:w="4186" w:type="dxa"/>
            <w:vAlign w:val="center"/>
          </w:tcPr>
          <w:p>
            <w:pPr>
              <w:pStyle w:val="55"/>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 xml:space="preserve">破碎机、筛分等设备隔声减振，空压机等设备消声隔声 </w:t>
            </w:r>
          </w:p>
        </w:tc>
        <w:tc>
          <w:tcPr>
            <w:tcW w:w="2723" w:type="dxa"/>
            <w:vAlign w:val="center"/>
          </w:tcPr>
          <w:p>
            <w:pPr>
              <w:pStyle w:val="55"/>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 xml:space="preserve">《工业企业厂界环境噪声排放标准》（GB12348-2008）2类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427" w:hRule="atLeast"/>
          <w:jc w:val="center"/>
        </w:trPr>
        <w:tc>
          <w:tcPr>
            <w:tcW w:w="457" w:type="dxa"/>
            <w:vAlign w:val="center"/>
          </w:tcPr>
          <w:p>
            <w:pPr>
              <w:pStyle w:val="246"/>
              <w:spacing w:line="240" w:lineRule="auto"/>
              <w:rPr>
                <w:rFonts w:eastAsiaTheme="minorEastAsia"/>
                <w:color w:val="auto"/>
              </w:rPr>
            </w:pPr>
            <w:r>
              <w:rPr>
                <w:rFonts w:eastAsiaTheme="minorEastAsia"/>
                <w:color w:val="auto"/>
              </w:rPr>
              <w:t>8</w:t>
            </w:r>
          </w:p>
        </w:tc>
        <w:tc>
          <w:tcPr>
            <w:tcW w:w="940" w:type="dxa"/>
            <w:vAlign w:val="center"/>
          </w:tcPr>
          <w:p>
            <w:pPr>
              <w:pStyle w:val="246"/>
              <w:spacing w:line="240" w:lineRule="auto"/>
              <w:rPr>
                <w:rFonts w:eastAsiaTheme="minorEastAsia"/>
                <w:color w:val="auto"/>
              </w:rPr>
            </w:pPr>
            <w:r>
              <w:rPr>
                <w:rFonts w:eastAsiaTheme="minorEastAsia"/>
                <w:color w:val="auto"/>
              </w:rPr>
              <w:t>固废</w:t>
            </w:r>
          </w:p>
        </w:tc>
        <w:tc>
          <w:tcPr>
            <w:tcW w:w="4186" w:type="dxa"/>
            <w:vAlign w:val="center"/>
          </w:tcPr>
          <w:p>
            <w:pPr>
              <w:pStyle w:val="55"/>
              <w:jc w:val="center"/>
              <w:rPr>
                <w:rFonts w:eastAsiaTheme="minorEastAsia"/>
                <w:color w:val="auto"/>
              </w:rPr>
            </w:pPr>
            <w:r>
              <w:rPr>
                <w:rFonts w:ascii="Times New Roman" w:hAnsi="Times New Roman" w:cs="Times New Roman" w:eastAsiaTheme="minorEastAsia"/>
                <w:color w:val="auto"/>
                <w:sz w:val="21"/>
                <w:szCs w:val="21"/>
              </w:rPr>
              <w:t>废包装物、剥离土岩生活垃圾按一般固废处置，设置1个危废暂存间，危险废物应单独收集，用设明显标识的密闭桶盛装，暂存于危废暂存间， 交由有资质单位进行处置 。设置</w:t>
            </w:r>
            <w:r>
              <w:rPr>
                <w:rFonts w:hint="eastAsia" w:ascii="Times New Roman" w:hAnsi="Times New Roman" w:cs="Times New Roman" w:eastAsiaTheme="minorEastAsia"/>
                <w:color w:val="auto"/>
                <w:sz w:val="21"/>
                <w:szCs w:val="21"/>
                <w:lang w:val="en-US" w:eastAsia="zh-CN"/>
              </w:rPr>
              <w:t>30</w:t>
            </w:r>
            <w:r>
              <w:rPr>
                <w:rFonts w:ascii="Times New Roman" w:hAnsi="Times New Roman" w:cs="Times New Roman" w:eastAsiaTheme="minorEastAsia"/>
                <w:color w:val="auto"/>
                <w:sz w:val="21"/>
                <w:szCs w:val="21"/>
              </w:rPr>
              <w:t>t封闭石粉仓。</w:t>
            </w:r>
          </w:p>
        </w:tc>
        <w:tc>
          <w:tcPr>
            <w:tcW w:w="2723" w:type="dxa"/>
            <w:vAlign w:val="center"/>
          </w:tcPr>
          <w:p>
            <w:pPr>
              <w:pStyle w:val="246"/>
              <w:spacing w:line="240" w:lineRule="auto"/>
              <w:rPr>
                <w:rFonts w:eastAsiaTheme="minorEastAsia"/>
                <w:color w:val="auto"/>
              </w:rPr>
            </w:pPr>
            <w:r>
              <w:rPr>
                <w:rFonts w:eastAsiaTheme="minorEastAsia"/>
                <w:color w:val="auto"/>
              </w:rPr>
              <w:t>《一般工业固体废物贮存、处置场污染控制标准》（GB18599-2001）及2013年修改单</w:t>
            </w:r>
          </w:p>
          <w:p>
            <w:pPr>
              <w:pStyle w:val="246"/>
              <w:spacing w:line="240" w:lineRule="auto"/>
              <w:rPr>
                <w:rFonts w:eastAsiaTheme="minorEastAsia"/>
                <w:color w:val="auto"/>
              </w:rPr>
            </w:pPr>
            <w:r>
              <w:rPr>
                <w:rFonts w:eastAsiaTheme="minorEastAsia"/>
                <w:color w:val="auto"/>
              </w:rPr>
              <w:t>危险废物执行《危险废物贮存污染控制标准》（GB18597-2001） 及修改单</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427" w:hRule="atLeast"/>
          <w:jc w:val="center"/>
        </w:trPr>
        <w:tc>
          <w:tcPr>
            <w:tcW w:w="457" w:type="dxa"/>
            <w:vAlign w:val="center"/>
          </w:tcPr>
          <w:p>
            <w:pPr>
              <w:pStyle w:val="246"/>
              <w:spacing w:line="240" w:lineRule="auto"/>
              <w:rPr>
                <w:rFonts w:eastAsiaTheme="minorEastAsia"/>
                <w:color w:val="auto"/>
              </w:rPr>
            </w:pPr>
            <w:r>
              <w:rPr>
                <w:rFonts w:eastAsiaTheme="minorEastAsia"/>
                <w:color w:val="auto"/>
              </w:rPr>
              <w:t>9</w:t>
            </w:r>
          </w:p>
        </w:tc>
        <w:tc>
          <w:tcPr>
            <w:tcW w:w="940" w:type="dxa"/>
            <w:vAlign w:val="center"/>
          </w:tcPr>
          <w:p>
            <w:pPr>
              <w:pStyle w:val="246"/>
              <w:spacing w:line="240" w:lineRule="auto"/>
              <w:rPr>
                <w:rFonts w:eastAsiaTheme="minorEastAsia"/>
                <w:color w:val="auto"/>
              </w:rPr>
            </w:pPr>
            <w:r>
              <w:rPr>
                <w:rFonts w:eastAsiaTheme="minorEastAsia"/>
                <w:color w:val="auto"/>
              </w:rPr>
              <w:t>生态恢复</w:t>
            </w:r>
          </w:p>
        </w:tc>
        <w:tc>
          <w:tcPr>
            <w:tcW w:w="4186" w:type="dxa"/>
            <w:vAlign w:val="center"/>
          </w:tcPr>
          <w:p>
            <w:pPr>
              <w:pStyle w:val="55"/>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土地平整、客土回填、绿化等措施，植被恢复。</w:t>
            </w:r>
          </w:p>
          <w:p>
            <w:pPr>
              <w:pStyle w:val="55"/>
              <w:jc w:val="center"/>
              <w:rPr>
                <w:rFonts w:ascii="Times New Roman" w:hAnsi="Times New Roman" w:cs="Times New Roman" w:eastAsiaTheme="minorEastAsia"/>
                <w:color w:val="auto"/>
                <w:sz w:val="21"/>
                <w:szCs w:val="21"/>
              </w:rPr>
            </w:pPr>
          </w:p>
        </w:tc>
        <w:tc>
          <w:tcPr>
            <w:tcW w:w="2723" w:type="dxa"/>
            <w:vAlign w:val="center"/>
          </w:tcPr>
          <w:p>
            <w:pPr>
              <w:pStyle w:val="246"/>
              <w:spacing w:line="240" w:lineRule="auto"/>
              <w:rPr>
                <w:rFonts w:eastAsiaTheme="minorEastAsia"/>
                <w:color w:val="auto"/>
              </w:rPr>
            </w:pPr>
            <w:r>
              <w:rPr>
                <w:rFonts w:eastAsiaTheme="minorEastAsia"/>
                <w:color w:val="auto"/>
              </w:rPr>
              <w:t>满足当地环保局要求</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427" w:hRule="atLeast"/>
          <w:jc w:val="center"/>
        </w:trPr>
        <w:tc>
          <w:tcPr>
            <w:tcW w:w="457" w:type="dxa"/>
            <w:vAlign w:val="center"/>
          </w:tcPr>
          <w:p>
            <w:pPr>
              <w:pStyle w:val="246"/>
              <w:spacing w:line="240" w:lineRule="auto"/>
              <w:rPr>
                <w:rFonts w:eastAsiaTheme="minorEastAsia"/>
                <w:color w:val="auto"/>
              </w:rPr>
            </w:pPr>
            <w:r>
              <w:rPr>
                <w:rFonts w:eastAsiaTheme="minorEastAsia"/>
                <w:color w:val="auto"/>
              </w:rPr>
              <w:t>10</w:t>
            </w:r>
          </w:p>
        </w:tc>
        <w:tc>
          <w:tcPr>
            <w:tcW w:w="940" w:type="dxa"/>
            <w:vAlign w:val="center"/>
          </w:tcPr>
          <w:p>
            <w:pPr>
              <w:pStyle w:val="246"/>
              <w:spacing w:line="240" w:lineRule="auto"/>
              <w:rPr>
                <w:rFonts w:eastAsiaTheme="minorEastAsia"/>
                <w:color w:val="auto"/>
              </w:rPr>
            </w:pPr>
            <w:r>
              <w:rPr>
                <w:rFonts w:eastAsiaTheme="minorEastAsia"/>
                <w:color w:val="auto"/>
              </w:rPr>
              <w:t>环境风险</w:t>
            </w:r>
          </w:p>
        </w:tc>
        <w:tc>
          <w:tcPr>
            <w:tcW w:w="4186" w:type="dxa"/>
            <w:vAlign w:val="center"/>
          </w:tcPr>
          <w:p>
            <w:pPr>
              <w:pStyle w:val="55"/>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临时堆土场设置挡土墙，编制突发环境事件应急预案</w:t>
            </w:r>
          </w:p>
        </w:tc>
        <w:tc>
          <w:tcPr>
            <w:tcW w:w="2723" w:type="dxa"/>
            <w:vAlign w:val="center"/>
          </w:tcPr>
          <w:p>
            <w:pPr>
              <w:pStyle w:val="246"/>
              <w:spacing w:line="240" w:lineRule="auto"/>
              <w:rPr>
                <w:rFonts w:eastAsiaTheme="minorEastAsia"/>
                <w:color w:val="auto"/>
              </w:rPr>
            </w:pPr>
            <w:r>
              <w:rPr>
                <w:rFonts w:eastAsiaTheme="minorEastAsia"/>
                <w:color w:val="auto"/>
              </w:rPr>
              <w:t>防止土堆坍塌、垮坝</w:t>
            </w:r>
          </w:p>
        </w:tc>
      </w:tr>
    </w:tbl>
    <w:p>
      <w:pPr>
        <w:pStyle w:val="238"/>
        <w:rPr>
          <w:rFonts w:hAnsi="Times New Roman" w:eastAsiaTheme="minorEastAsia"/>
          <w:color w:val="auto"/>
        </w:rPr>
      </w:pPr>
      <w:bookmarkStart w:id="300" w:name="_Toc519693596"/>
      <w:r>
        <w:rPr>
          <w:rFonts w:hAnsi="Times New Roman" w:eastAsiaTheme="minorEastAsia"/>
          <w:color w:val="auto"/>
        </w:rPr>
        <w:t>8.4污染物总量控制分析</w:t>
      </w:r>
      <w:bookmarkEnd w:id="300"/>
    </w:p>
    <w:p>
      <w:pPr>
        <w:ind w:firstLine="480"/>
        <w:rPr>
          <w:rFonts w:eastAsiaTheme="minorEastAsia"/>
          <w:snapToGrid w:val="0"/>
          <w:color w:val="auto"/>
          <w:kern w:val="0"/>
        </w:rPr>
      </w:pPr>
      <w:r>
        <w:rPr>
          <w:rFonts w:hint="eastAsia" w:eastAsiaTheme="minorEastAsia"/>
          <w:bCs/>
          <w:iCs/>
          <w:color w:val="auto"/>
          <w:lang w:eastAsia="zh-CN"/>
        </w:rPr>
        <w:t>佳木斯市郊区佳华石料厂</w:t>
      </w:r>
      <w:r>
        <w:rPr>
          <w:rFonts w:eastAsiaTheme="minorEastAsia"/>
          <w:snapToGrid w:val="0"/>
          <w:color w:val="auto"/>
          <w:kern w:val="0"/>
        </w:rPr>
        <w:t>，总量控制应该以</w:t>
      </w:r>
      <w:r>
        <w:rPr>
          <w:rFonts w:hint="eastAsia" w:eastAsiaTheme="minorEastAsia"/>
          <w:snapToGrid w:val="0"/>
          <w:color w:val="auto"/>
          <w:kern w:val="0"/>
          <w:lang w:eastAsia="zh-CN"/>
        </w:rPr>
        <w:t>佳木斯</w:t>
      </w:r>
      <w:r>
        <w:rPr>
          <w:rFonts w:eastAsiaTheme="minorEastAsia"/>
          <w:snapToGrid w:val="0"/>
          <w:color w:val="auto"/>
          <w:kern w:val="0"/>
        </w:rPr>
        <w:t>市总量控制规划为目标，按照本项目所提出的污染防治措施，将该项目排污量纳入其区域环境中，实现区域污染物排放总量控制。</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8.4.1污染物排放总量控制因子</w:t>
      </w:r>
    </w:p>
    <w:p>
      <w:pPr>
        <w:ind w:firstLine="480"/>
        <w:rPr>
          <w:rFonts w:eastAsiaTheme="minorEastAsia"/>
          <w:snapToGrid w:val="0"/>
          <w:color w:val="auto"/>
          <w:kern w:val="0"/>
        </w:rPr>
      </w:pPr>
      <w:r>
        <w:rPr>
          <w:rFonts w:eastAsiaTheme="minorEastAsia"/>
          <w:snapToGrid w:val="0"/>
          <w:color w:val="auto"/>
          <w:kern w:val="0"/>
        </w:rPr>
        <w:t>本项目为安山岩矿开采工程，大气污染物排放为采矿、运输等过程中排放的粉尘，经洒水降尘等措施后达标排放。本项目服务期</w:t>
      </w:r>
      <w:r>
        <w:rPr>
          <w:rFonts w:hint="eastAsia" w:eastAsiaTheme="minorEastAsia"/>
          <w:snapToGrid w:val="0"/>
          <w:color w:val="auto"/>
          <w:kern w:val="0"/>
          <w:lang w:eastAsia="zh-CN"/>
        </w:rPr>
        <w:t>3年</w:t>
      </w:r>
      <w:r>
        <w:rPr>
          <w:rFonts w:eastAsiaTheme="minorEastAsia"/>
          <w:snapToGrid w:val="0"/>
          <w:color w:val="auto"/>
          <w:kern w:val="0"/>
        </w:rPr>
        <w:t>，每年生产</w:t>
      </w:r>
      <w:r>
        <w:rPr>
          <w:rFonts w:hint="eastAsia" w:eastAsiaTheme="minorEastAsia"/>
          <w:snapToGrid w:val="0"/>
          <w:color w:val="auto"/>
          <w:kern w:val="0"/>
          <w:lang w:eastAsia="zh-CN"/>
        </w:rPr>
        <w:t>240天</w:t>
      </w:r>
      <w:r>
        <w:rPr>
          <w:rFonts w:eastAsiaTheme="minorEastAsia"/>
          <w:snapToGrid w:val="0"/>
          <w:color w:val="auto"/>
          <w:kern w:val="0"/>
        </w:rPr>
        <w:t>，无采暖锅炉。因此，确定本项目总量控制指标如下：</w:t>
      </w:r>
    </w:p>
    <w:p>
      <w:pPr>
        <w:ind w:firstLine="480"/>
        <w:rPr>
          <w:rFonts w:eastAsiaTheme="minorEastAsia"/>
          <w:snapToGrid w:val="0"/>
          <w:color w:val="auto"/>
          <w:kern w:val="0"/>
        </w:rPr>
      </w:pPr>
      <w:r>
        <w:rPr>
          <w:rFonts w:eastAsiaTheme="minorEastAsia"/>
          <w:snapToGrid w:val="0"/>
          <w:color w:val="auto"/>
          <w:kern w:val="0"/>
        </w:rPr>
        <w:t>废气：工业粉尘。</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8.4.2污染物排放总量控制</w:t>
      </w:r>
    </w:p>
    <w:p>
      <w:pPr>
        <w:ind w:firstLine="480"/>
        <w:rPr>
          <w:rFonts w:eastAsiaTheme="minorEastAsia"/>
          <w:color w:val="auto"/>
          <w:szCs w:val="24"/>
        </w:rPr>
      </w:pPr>
      <w:r>
        <w:rPr>
          <w:rFonts w:eastAsiaTheme="minorEastAsia"/>
          <w:color w:val="auto"/>
          <w:szCs w:val="24"/>
        </w:rPr>
        <w:t>矿山生产区主要为剥离、穿孔、爆破、采装、破碎筛分过程中产生的粉尘。爆破瞬间有大量的粉尘产生，含有一定量的CO、NO</w:t>
      </w:r>
      <w:r>
        <w:rPr>
          <w:rFonts w:eastAsiaTheme="minorEastAsia"/>
          <w:color w:val="auto"/>
          <w:szCs w:val="24"/>
          <w:vertAlign w:val="subscript"/>
        </w:rPr>
        <w:t>X</w:t>
      </w:r>
      <w:r>
        <w:rPr>
          <w:rFonts w:eastAsiaTheme="minorEastAsia"/>
          <w:color w:val="auto"/>
          <w:szCs w:val="24"/>
        </w:rPr>
        <w:t>，其产生量与爆破方法、爆破技术、炸药种类、炸药量、矿岩理化性质等众多因素有关，爆破作业后一般要通风3-4小时，再进行采矿等作业。本项目污染物控制总量见表8-4-1。</w:t>
      </w:r>
    </w:p>
    <w:p>
      <w:pPr>
        <w:pStyle w:val="244"/>
        <w:rPr>
          <w:rFonts w:eastAsiaTheme="minorEastAsia"/>
          <w:color w:val="auto"/>
        </w:rPr>
      </w:pPr>
      <w:r>
        <w:rPr>
          <w:rFonts w:eastAsiaTheme="minorEastAsia"/>
          <w:color w:val="auto"/>
        </w:rPr>
        <w:t>表8-4-1  污染物控制总量</w:t>
      </w:r>
    </w:p>
    <w:tbl>
      <w:tblPr>
        <w:tblStyle w:val="53"/>
        <w:tblW w:w="7874" w:type="dxa"/>
        <w:tblInd w:w="0" w:type="dxa"/>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698"/>
        <w:gridCol w:w="1658"/>
        <w:gridCol w:w="2259"/>
        <w:gridCol w:w="2259"/>
      </w:tblGrid>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3356" w:type="dxa"/>
            <w:gridSpan w:val="2"/>
            <w:vMerge w:val="restart"/>
            <w:vAlign w:val="center"/>
          </w:tcPr>
          <w:p>
            <w:pPr>
              <w:pStyle w:val="246"/>
              <w:rPr>
                <w:rFonts w:eastAsiaTheme="minorEastAsia"/>
                <w:color w:val="auto"/>
              </w:rPr>
            </w:pPr>
            <w:r>
              <w:rPr>
                <w:rFonts w:eastAsiaTheme="minorEastAsia"/>
                <w:color w:val="auto"/>
              </w:rPr>
              <w:t>污染源名称</w:t>
            </w:r>
          </w:p>
          <w:p>
            <w:pPr>
              <w:pStyle w:val="246"/>
              <w:rPr>
                <w:rFonts w:eastAsiaTheme="minorEastAsia"/>
                <w:color w:val="auto"/>
              </w:rPr>
            </w:pPr>
            <w:r>
              <w:rPr>
                <w:rFonts w:eastAsiaTheme="minorEastAsia"/>
                <w:color w:val="auto"/>
              </w:rPr>
              <w:t>产生工序</w:t>
            </w:r>
          </w:p>
        </w:tc>
        <w:tc>
          <w:tcPr>
            <w:tcW w:w="2259" w:type="dxa"/>
            <w:vAlign w:val="center"/>
          </w:tcPr>
          <w:p>
            <w:pPr>
              <w:pStyle w:val="246"/>
              <w:rPr>
                <w:rFonts w:eastAsiaTheme="minorEastAsia"/>
                <w:color w:val="auto"/>
              </w:rPr>
            </w:pPr>
            <w:r>
              <w:rPr>
                <w:rFonts w:eastAsiaTheme="minorEastAsia"/>
                <w:color w:val="auto"/>
              </w:rPr>
              <w:t>预测排放量t/a</w:t>
            </w:r>
          </w:p>
        </w:tc>
        <w:tc>
          <w:tcPr>
            <w:tcW w:w="2259" w:type="dxa"/>
          </w:tcPr>
          <w:p>
            <w:pPr>
              <w:pStyle w:val="246"/>
              <w:rPr>
                <w:rFonts w:eastAsiaTheme="minorEastAsia"/>
                <w:color w:val="auto"/>
              </w:rPr>
            </w:pPr>
            <w:r>
              <w:rPr>
                <w:rFonts w:eastAsiaTheme="minorEastAsia"/>
                <w:color w:val="auto"/>
              </w:rPr>
              <w:t>核定排放量t/a</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3356" w:type="dxa"/>
            <w:gridSpan w:val="2"/>
            <w:vMerge w:val="continue"/>
            <w:vAlign w:val="center"/>
          </w:tcPr>
          <w:p>
            <w:pPr>
              <w:pStyle w:val="246"/>
              <w:rPr>
                <w:rFonts w:eastAsiaTheme="minorEastAsia"/>
                <w:color w:val="auto"/>
              </w:rPr>
            </w:pPr>
          </w:p>
        </w:tc>
        <w:tc>
          <w:tcPr>
            <w:tcW w:w="2259" w:type="dxa"/>
            <w:vAlign w:val="center"/>
          </w:tcPr>
          <w:p>
            <w:pPr>
              <w:pStyle w:val="246"/>
              <w:rPr>
                <w:rFonts w:eastAsiaTheme="minorEastAsia"/>
                <w:color w:val="auto"/>
              </w:rPr>
            </w:pPr>
            <w:r>
              <w:rPr>
                <w:rFonts w:eastAsiaTheme="minorEastAsia"/>
                <w:color w:val="auto"/>
              </w:rPr>
              <w:t>粉尘</w:t>
            </w:r>
          </w:p>
        </w:tc>
        <w:tc>
          <w:tcPr>
            <w:tcW w:w="2259" w:type="dxa"/>
          </w:tcPr>
          <w:p>
            <w:pPr>
              <w:pStyle w:val="246"/>
              <w:rPr>
                <w:rFonts w:eastAsiaTheme="minorEastAsia"/>
                <w:color w:val="auto"/>
              </w:rPr>
            </w:pPr>
            <w:r>
              <w:rPr>
                <w:rFonts w:eastAsiaTheme="minorEastAsia"/>
                <w:color w:val="auto"/>
              </w:rPr>
              <w:t>粉尘</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1698" w:type="dxa"/>
            <w:vMerge w:val="restart"/>
            <w:vAlign w:val="center"/>
          </w:tcPr>
          <w:p>
            <w:pPr>
              <w:pStyle w:val="246"/>
              <w:rPr>
                <w:rFonts w:eastAsiaTheme="minorEastAsia"/>
                <w:color w:val="auto"/>
              </w:rPr>
            </w:pPr>
            <w:r>
              <w:rPr>
                <w:rFonts w:eastAsiaTheme="minorEastAsia"/>
                <w:color w:val="auto"/>
              </w:rPr>
              <w:t>无组织</w:t>
            </w:r>
          </w:p>
        </w:tc>
        <w:tc>
          <w:tcPr>
            <w:tcW w:w="1658" w:type="dxa"/>
            <w:vAlign w:val="center"/>
          </w:tcPr>
          <w:p>
            <w:pPr>
              <w:pStyle w:val="246"/>
              <w:rPr>
                <w:rFonts w:eastAsiaTheme="minorEastAsia"/>
                <w:color w:val="auto"/>
              </w:rPr>
            </w:pPr>
            <w:r>
              <w:rPr>
                <w:rFonts w:eastAsiaTheme="minorEastAsia"/>
                <w:color w:val="auto"/>
              </w:rPr>
              <w:t>钻孔</w:t>
            </w:r>
          </w:p>
        </w:tc>
        <w:tc>
          <w:tcPr>
            <w:tcW w:w="2259" w:type="dxa"/>
            <w:vAlign w:val="center"/>
          </w:tcPr>
          <w:p>
            <w:pPr>
              <w:pStyle w:val="246"/>
              <w:rPr>
                <w:rFonts w:eastAsiaTheme="minorEastAsia"/>
                <w:color w:val="auto"/>
              </w:rPr>
            </w:pPr>
            <w:r>
              <w:rPr>
                <w:rFonts w:eastAsiaTheme="minorEastAsia"/>
                <w:color w:val="auto"/>
              </w:rPr>
              <w:t>0.</w:t>
            </w:r>
            <w:r>
              <w:rPr>
                <w:rFonts w:hint="eastAsia" w:eastAsiaTheme="minorEastAsia"/>
                <w:color w:val="auto"/>
                <w:lang w:val="en-US" w:eastAsia="zh-CN"/>
              </w:rPr>
              <w:t>04</w:t>
            </w:r>
          </w:p>
        </w:tc>
        <w:tc>
          <w:tcPr>
            <w:tcW w:w="2259" w:type="dxa"/>
            <w:vAlign w:val="center"/>
          </w:tcPr>
          <w:p>
            <w:pPr>
              <w:pStyle w:val="246"/>
              <w:rPr>
                <w:rFonts w:eastAsiaTheme="minorEastAsia"/>
                <w:color w:val="auto"/>
              </w:rPr>
            </w:pPr>
            <w:r>
              <w:rPr>
                <w:rFonts w:eastAsiaTheme="minorEastAsia"/>
                <w:color w:val="auto"/>
              </w:rPr>
              <w:t>0.</w:t>
            </w:r>
            <w:r>
              <w:rPr>
                <w:rFonts w:hint="eastAsia" w:eastAsiaTheme="minorEastAsia"/>
                <w:color w:val="auto"/>
                <w:lang w:val="en-US" w:eastAsia="zh-CN"/>
              </w:rPr>
              <w:t>04</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1698" w:type="dxa"/>
            <w:vMerge w:val="continue"/>
            <w:vAlign w:val="center"/>
          </w:tcPr>
          <w:p>
            <w:pPr>
              <w:pStyle w:val="246"/>
              <w:rPr>
                <w:rFonts w:eastAsiaTheme="minorEastAsia"/>
                <w:color w:val="auto"/>
              </w:rPr>
            </w:pPr>
          </w:p>
        </w:tc>
        <w:tc>
          <w:tcPr>
            <w:tcW w:w="1658" w:type="dxa"/>
            <w:vAlign w:val="center"/>
          </w:tcPr>
          <w:p>
            <w:pPr>
              <w:pStyle w:val="246"/>
              <w:rPr>
                <w:rFonts w:eastAsiaTheme="minorEastAsia"/>
                <w:color w:val="auto"/>
              </w:rPr>
            </w:pPr>
            <w:r>
              <w:rPr>
                <w:rFonts w:eastAsiaTheme="minorEastAsia"/>
                <w:color w:val="auto"/>
              </w:rPr>
              <w:t>爆破</w:t>
            </w:r>
          </w:p>
        </w:tc>
        <w:tc>
          <w:tcPr>
            <w:tcW w:w="2259" w:type="dxa"/>
            <w:vAlign w:val="center"/>
          </w:tcPr>
          <w:p>
            <w:pPr>
              <w:pStyle w:val="246"/>
              <w:rPr>
                <w:rFonts w:eastAsiaTheme="minorEastAsia"/>
                <w:color w:val="auto"/>
              </w:rPr>
            </w:pPr>
            <w:r>
              <w:rPr>
                <w:rFonts w:eastAsiaTheme="minorEastAsia"/>
                <w:color w:val="auto"/>
              </w:rPr>
              <w:t>0.</w:t>
            </w:r>
            <w:r>
              <w:rPr>
                <w:rFonts w:hint="eastAsia" w:eastAsiaTheme="minorEastAsia"/>
                <w:color w:val="auto"/>
                <w:lang w:val="en-US" w:eastAsia="zh-CN"/>
              </w:rPr>
              <w:t>1</w:t>
            </w:r>
            <w:r>
              <w:rPr>
                <w:rFonts w:eastAsiaTheme="minorEastAsia"/>
                <w:color w:val="auto"/>
              </w:rPr>
              <w:t>5</w:t>
            </w:r>
          </w:p>
        </w:tc>
        <w:tc>
          <w:tcPr>
            <w:tcW w:w="2259" w:type="dxa"/>
            <w:vAlign w:val="center"/>
          </w:tcPr>
          <w:p>
            <w:pPr>
              <w:pStyle w:val="246"/>
              <w:rPr>
                <w:rFonts w:eastAsiaTheme="minorEastAsia"/>
                <w:color w:val="auto"/>
              </w:rPr>
            </w:pPr>
            <w:r>
              <w:rPr>
                <w:rFonts w:eastAsiaTheme="minorEastAsia"/>
                <w:color w:val="auto"/>
              </w:rPr>
              <w:t>0.</w:t>
            </w:r>
            <w:r>
              <w:rPr>
                <w:rFonts w:hint="eastAsia" w:eastAsiaTheme="minorEastAsia"/>
                <w:color w:val="auto"/>
                <w:lang w:val="en-US" w:eastAsia="zh-CN"/>
              </w:rPr>
              <w:t>1</w:t>
            </w:r>
            <w:r>
              <w:rPr>
                <w:rFonts w:eastAsiaTheme="minorEastAsia"/>
                <w:color w:val="auto"/>
              </w:rPr>
              <w:t>5</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1698" w:type="dxa"/>
            <w:vMerge w:val="continue"/>
            <w:vAlign w:val="center"/>
          </w:tcPr>
          <w:p>
            <w:pPr>
              <w:pStyle w:val="246"/>
              <w:rPr>
                <w:rFonts w:eastAsiaTheme="minorEastAsia"/>
                <w:color w:val="auto"/>
              </w:rPr>
            </w:pPr>
          </w:p>
        </w:tc>
        <w:tc>
          <w:tcPr>
            <w:tcW w:w="1658" w:type="dxa"/>
            <w:vAlign w:val="center"/>
          </w:tcPr>
          <w:p>
            <w:pPr>
              <w:pStyle w:val="246"/>
              <w:rPr>
                <w:rFonts w:eastAsiaTheme="minorEastAsia"/>
                <w:color w:val="auto"/>
              </w:rPr>
            </w:pPr>
            <w:r>
              <w:rPr>
                <w:rFonts w:eastAsiaTheme="minorEastAsia"/>
                <w:color w:val="auto"/>
              </w:rPr>
              <w:t>集堆、铲装</w:t>
            </w:r>
          </w:p>
        </w:tc>
        <w:tc>
          <w:tcPr>
            <w:tcW w:w="2259" w:type="dxa"/>
            <w:vAlign w:val="center"/>
          </w:tcPr>
          <w:p>
            <w:pPr>
              <w:pStyle w:val="246"/>
              <w:rPr>
                <w:rFonts w:eastAsiaTheme="minorEastAsia"/>
                <w:color w:val="auto"/>
              </w:rPr>
            </w:pPr>
            <w:r>
              <w:rPr>
                <w:rFonts w:eastAsiaTheme="minorEastAsia"/>
                <w:color w:val="auto"/>
              </w:rPr>
              <w:t>0.0</w:t>
            </w:r>
            <w:r>
              <w:rPr>
                <w:rFonts w:hint="eastAsia" w:eastAsiaTheme="minorEastAsia"/>
                <w:color w:val="auto"/>
                <w:lang w:val="en-US" w:eastAsia="zh-CN"/>
              </w:rPr>
              <w:t>5</w:t>
            </w:r>
          </w:p>
        </w:tc>
        <w:tc>
          <w:tcPr>
            <w:tcW w:w="2259" w:type="dxa"/>
            <w:vAlign w:val="center"/>
          </w:tcPr>
          <w:p>
            <w:pPr>
              <w:pStyle w:val="246"/>
              <w:rPr>
                <w:rFonts w:eastAsiaTheme="minorEastAsia"/>
                <w:color w:val="auto"/>
              </w:rPr>
            </w:pPr>
            <w:r>
              <w:rPr>
                <w:rFonts w:eastAsiaTheme="minorEastAsia"/>
                <w:color w:val="auto"/>
              </w:rPr>
              <w:t>0.0</w:t>
            </w:r>
            <w:r>
              <w:rPr>
                <w:rFonts w:hint="eastAsia" w:eastAsiaTheme="minorEastAsia"/>
                <w:color w:val="auto"/>
                <w:lang w:val="en-US" w:eastAsia="zh-CN"/>
              </w:rPr>
              <w:t>5</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1698" w:type="dxa"/>
            <w:vMerge w:val="continue"/>
            <w:vAlign w:val="center"/>
          </w:tcPr>
          <w:p>
            <w:pPr>
              <w:pStyle w:val="246"/>
              <w:rPr>
                <w:rFonts w:eastAsiaTheme="minorEastAsia"/>
                <w:color w:val="auto"/>
              </w:rPr>
            </w:pPr>
          </w:p>
        </w:tc>
        <w:tc>
          <w:tcPr>
            <w:tcW w:w="1658" w:type="dxa"/>
            <w:vAlign w:val="center"/>
          </w:tcPr>
          <w:p>
            <w:pPr>
              <w:pStyle w:val="246"/>
              <w:rPr>
                <w:rFonts w:eastAsiaTheme="minorEastAsia"/>
                <w:color w:val="auto"/>
              </w:rPr>
            </w:pPr>
            <w:r>
              <w:rPr>
                <w:rFonts w:eastAsiaTheme="minorEastAsia"/>
                <w:color w:val="auto"/>
              </w:rPr>
              <w:t>道路运输</w:t>
            </w:r>
          </w:p>
        </w:tc>
        <w:tc>
          <w:tcPr>
            <w:tcW w:w="2259" w:type="dxa"/>
            <w:vAlign w:val="center"/>
          </w:tcPr>
          <w:p>
            <w:pPr>
              <w:pStyle w:val="246"/>
              <w:rPr>
                <w:rFonts w:eastAsiaTheme="minorEastAsia"/>
                <w:color w:val="auto"/>
              </w:rPr>
            </w:pPr>
            <w:r>
              <w:rPr>
                <w:rFonts w:hint="eastAsia" w:eastAsiaTheme="minorEastAsia"/>
                <w:color w:val="auto"/>
                <w:lang w:val="en-US" w:eastAsia="zh-CN"/>
              </w:rPr>
              <w:t>0.32</w:t>
            </w:r>
          </w:p>
        </w:tc>
        <w:tc>
          <w:tcPr>
            <w:tcW w:w="2259" w:type="dxa"/>
            <w:vAlign w:val="center"/>
          </w:tcPr>
          <w:p>
            <w:pPr>
              <w:pStyle w:val="246"/>
              <w:rPr>
                <w:rFonts w:eastAsiaTheme="minorEastAsia"/>
                <w:color w:val="auto"/>
              </w:rPr>
            </w:pPr>
            <w:r>
              <w:rPr>
                <w:rFonts w:hint="eastAsia" w:eastAsiaTheme="minorEastAsia"/>
                <w:color w:val="auto"/>
                <w:lang w:val="en-US" w:eastAsia="zh-CN"/>
              </w:rPr>
              <w:t>0.32</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1698" w:type="dxa"/>
            <w:vMerge w:val="continue"/>
            <w:vAlign w:val="center"/>
          </w:tcPr>
          <w:p>
            <w:pPr>
              <w:pStyle w:val="246"/>
              <w:rPr>
                <w:rFonts w:eastAsiaTheme="minorEastAsia"/>
                <w:color w:val="auto"/>
              </w:rPr>
            </w:pPr>
          </w:p>
        </w:tc>
        <w:tc>
          <w:tcPr>
            <w:tcW w:w="1658" w:type="dxa"/>
            <w:vAlign w:val="center"/>
          </w:tcPr>
          <w:p>
            <w:pPr>
              <w:pStyle w:val="246"/>
              <w:rPr>
                <w:rFonts w:eastAsiaTheme="minorEastAsia"/>
                <w:color w:val="auto"/>
              </w:rPr>
            </w:pPr>
            <w:r>
              <w:rPr>
                <w:rFonts w:eastAsiaTheme="minorEastAsia"/>
                <w:color w:val="auto"/>
              </w:rPr>
              <w:t>成品料场</w:t>
            </w:r>
          </w:p>
        </w:tc>
        <w:tc>
          <w:tcPr>
            <w:tcW w:w="2259" w:type="dxa"/>
            <w:vAlign w:val="center"/>
          </w:tcPr>
          <w:p>
            <w:pPr>
              <w:pStyle w:val="246"/>
              <w:rPr>
                <w:rFonts w:eastAsiaTheme="minorEastAsia"/>
                <w:color w:val="auto"/>
              </w:rPr>
            </w:pPr>
            <w:r>
              <w:rPr>
                <w:rFonts w:eastAsiaTheme="minorEastAsia"/>
                <w:color w:val="auto"/>
              </w:rPr>
              <w:t>0.</w:t>
            </w:r>
            <w:r>
              <w:rPr>
                <w:rFonts w:hint="eastAsia" w:eastAsiaTheme="minorEastAsia"/>
                <w:color w:val="auto"/>
                <w:lang w:val="en-US" w:eastAsia="zh-CN"/>
              </w:rPr>
              <w:t>02</w:t>
            </w:r>
          </w:p>
        </w:tc>
        <w:tc>
          <w:tcPr>
            <w:tcW w:w="2259" w:type="dxa"/>
            <w:vAlign w:val="center"/>
          </w:tcPr>
          <w:p>
            <w:pPr>
              <w:pStyle w:val="246"/>
              <w:rPr>
                <w:rFonts w:eastAsiaTheme="minorEastAsia"/>
                <w:color w:val="auto"/>
              </w:rPr>
            </w:pPr>
            <w:r>
              <w:rPr>
                <w:rFonts w:eastAsiaTheme="minorEastAsia"/>
                <w:color w:val="auto"/>
              </w:rPr>
              <w:t>0.</w:t>
            </w:r>
            <w:r>
              <w:rPr>
                <w:rFonts w:hint="eastAsia" w:eastAsiaTheme="minorEastAsia"/>
                <w:color w:val="auto"/>
                <w:lang w:val="en-US" w:eastAsia="zh-CN"/>
              </w:rPr>
              <w:t>02</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1698" w:type="dxa"/>
            <w:vMerge w:val="continue"/>
            <w:vAlign w:val="center"/>
          </w:tcPr>
          <w:p>
            <w:pPr>
              <w:pStyle w:val="246"/>
              <w:rPr>
                <w:rFonts w:eastAsiaTheme="minorEastAsia"/>
                <w:color w:val="auto"/>
              </w:rPr>
            </w:pPr>
          </w:p>
        </w:tc>
        <w:tc>
          <w:tcPr>
            <w:tcW w:w="1658" w:type="dxa"/>
            <w:vAlign w:val="center"/>
          </w:tcPr>
          <w:p>
            <w:pPr>
              <w:pStyle w:val="246"/>
              <w:rPr>
                <w:rFonts w:eastAsiaTheme="minorEastAsia"/>
                <w:color w:val="auto"/>
              </w:rPr>
            </w:pPr>
            <w:r>
              <w:rPr>
                <w:rFonts w:eastAsiaTheme="minorEastAsia"/>
                <w:color w:val="auto"/>
              </w:rPr>
              <w:t>临时堆土场</w:t>
            </w:r>
          </w:p>
        </w:tc>
        <w:tc>
          <w:tcPr>
            <w:tcW w:w="2259" w:type="dxa"/>
            <w:vAlign w:val="center"/>
          </w:tcPr>
          <w:p>
            <w:pPr>
              <w:pStyle w:val="246"/>
              <w:rPr>
                <w:rFonts w:eastAsiaTheme="minorEastAsia"/>
                <w:color w:val="auto"/>
              </w:rPr>
            </w:pPr>
            <w:r>
              <w:rPr>
                <w:rFonts w:eastAsiaTheme="minorEastAsia"/>
                <w:color w:val="auto"/>
              </w:rPr>
              <w:t>0.</w:t>
            </w:r>
            <w:r>
              <w:rPr>
                <w:rFonts w:hint="eastAsia" w:eastAsiaTheme="minorEastAsia"/>
                <w:color w:val="auto"/>
                <w:lang w:val="en-US" w:eastAsia="zh-CN"/>
              </w:rPr>
              <w:t>001</w:t>
            </w:r>
          </w:p>
        </w:tc>
        <w:tc>
          <w:tcPr>
            <w:tcW w:w="2259" w:type="dxa"/>
            <w:vAlign w:val="center"/>
          </w:tcPr>
          <w:p>
            <w:pPr>
              <w:pStyle w:val="246"/>
              <w:rPr>
                <w:rFonts w:eastAsiaTheme="minorEastAsia"/>
                <w:color w:val="auto"/>
              </w:rPr>
            </w:pPr>
            <w:r>
              <w:rPr>
                <w:rFonts w:eastAsiaTheme="minorEastAsia"/>
                <w:color w:val="auto"/>
              </w:rPr>
              <w:t>0.</w:t>
            </w:r>
            <w:r>
              <w:rPr>
                <w:rFonts w:hint="eastAsia" w:eastAsiaTheme="minorEastAsia"/>
                <w:color w:val="auto"/>
                <w:lang w:val="en-US" w:eastAsia="zh-CN"/>
              </w:rPr>
              <w:t>001</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1698" w:type="dxa"/>
            <w:vMerge w:val="continue"/>
            <w:vAlign w:val="center"/>
          </w:tcPr>
          <w:p>
            <w:pPr>
              <w:pStyle w:val="246"/>
              <w:rPr>
                <w:rFonts w:eastAsiaTheme="minorEastAsia"/>
                <w:color w:val="auto"/>
              </w:rPr>
            </w:pPr>
          </w:p>
        </w:tc>
        <w:tc>
          <w:tcPr>
            <w:tcW w:w="1658" w:type="dxa"/>
            <w:vAlign w:val="center"/>
          </w:tcPr>
          <w:p>
            <w:pPr>
              <w:pStyle w:val="246"/>
              <w:rPr>
                <w:rFonts w:eastAsiaTheme="minorEastAsia"/>
                <w:color w:val="auto"/>
              </w:rPr>
            </w:pPr>
            <w:r>
              <w:rPr>
                <w:rFonts w:eastAsiaTheme="minorEastAsia"/>
                <w:color w:val="auto"/>
              </w:rPr>
              <w:t>石粉仓</w:t>
            </w:r>
          </w:p>
        </w:tc>
        <w:tc>
          <w:tcPr>
            <w:tcW w:w="2259" w:type="dxa"/>
            <w:vAlign w:val="center"/>
          </w:tcPr>
          <w:p>
            <w:pPr>
              <w:pStyle w:val="246"/>
              <w:rPr>
                <w:rFonts w:eastAsiaTheme="minorEastAsia"/>
                <w:color w:val="auto"/>
              </w:rPr>
            </w:pPr>
            <w:r>
              <w:rPr>
                <w:rFonts w:eastAsiaTheme="minorEastAsia"/>
                <w:color w:val="auto"/>
              </w:rPr>
              <w:t>0.0</w:t>
            </w:r>
            <w:r>
              <w:rPr>
                <w:rFonts w:hint="eastAsia" w:eastAsiaTheme="minorEastAsia"/>
                <w:color w:val="auto"/>
                <w:lang w:val="en-US" w:eastAsia="zh-CN"/>
              </w:rPr>
              <w:t>04</w:t>
            </w:r>
          </w:p>
        </w:tc>
        <w:tc>
          <w:tcPr>
            <w:tcW w:w="2259" w:type="dxa"/>
            <w:vAlign w:val="center"/>
          </w:tcPr>
          <w:p>
            <w:pPr>
              <w:pStyle w:val="246"/>
              <w:rPr>
                <w:rFonts w:eastAsiaTheme="minorEastAsia"/>
                <w:color w:val="auto"/>
              </w:rPr>
            </w:pPr>
            <w:r>
              <w:rPr>
                <w:rFonts w:eastAsiaTheme="minorEastAsia"/>
                <w:color w:val="auto"/>
              </w:rPr>
              <w:t>0.0</w:t>
            </w:r>
            <w:r>
              <w:rPr>
                <w:rFonts w:hint="eastAsia" w:eastAsiaTheme="minorEastAsia"/>
                <w:color w:val="auto"/>
                <w:lang w:val="en-US" w:eastAsia="zh-CN"/>
              </w:rPr>
              <w:t>04</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1698" w:type="dxa"/>
            <w:vMerge w:val="continue"/>
            <w:vAlign w:val="center"/>
          </w:tcPr>
          <w:p>
            <w:pPr>
              <w:pStyle w:val="246"/>
              <w:rPr>
                <w:rFonts w:eastAsiaTheme="minorEastAsia"/>
                <w:color w:val="auto"/>
              </w:rPr>
            </w:pPr>
          </w:p>
        </w:tc>
        <w:tc>
          <w:tcPr>
            <w:tcW w:w="1658" w:type="dxa"/>
            <w:vAlign w:val="center"/>
          </w:tcPr>
          <w:p>
            <w:pPr>
              <w:pStyle w:val="246"/>
              <w:rPr>
                <w:rFonts w:eastAsiaTheme="minorEastAsia"/>
                <w:color w:val="auto"/>
              </w:rPr>
            </w:pPr>
            <w:r>
              <w:rPr>
                <w:rFonts w:eastAsiaTheme="minorEastAsia"/>
                <w:color w:val="auto"/>
              </w:rPr>
              <w:t>原矿堆场</w:t>
            </w:r>
          </w:p>
        </w:tc>
        <w:tc>
          <w:tcPr>
            <w:tcW w:w="2259" w:type="dxa"/>
            <w:vAlign w:val="center"/>
          </w:tcPr>
          <w:p>
            <w:pPr>
              <w:pStyle w:val="246"/>
              <w:rPr>
                <w:rFonts w:eastAsiaTheme="minorEastAsia"/>
                <w:color w:val="auto"/>
              </w:rPr>
            </w:pPr>
            <w:r>
              <w:rPr>
                <w:rFonts w:eastAsiaTheme="minorEastAsia"/>
                <w:color w:val="auto"/>
              </w:rPr>
              <w:t>0.0</w:t>
            </w:r>
            <w:r>
              <w:rPr>
                <w:rFonts w:hint="eastAsia" w:eastAsiaTheme="minorEastAsia"/>
                <w:color w:val="auto"/>
                <w:lang w:val="en-US" w:eastAsia="zh-CN"/>
              </w:rPr>
              <w:t>1</w:t>
            </w:r>
          </w:p>
        </w:tc>
        <w:tc>
          <w:tcPr>
            <w:tcW w:w="2259" w:type="dxa"/>
            <w:vAlign w:val="center"/>
          </w:tcPr>
          <w:p>
            <w:pPr>
              <w:pStyle w:val="246"/>
              <w:rPr>
                <w:rFonts w:eastAsiaTheme="minorEastAsia"/>
                <w:color w:val="auto"/>
              </w:rPr>
            </w:pPr>
            <w:r>
              <w:rPr>
                <w:rFonts w:eastAsiaTheme="minorEastAsia"/>
                <w:color w:val="auto"/>
              </w:rPr>
              <w:t>0.0</w:t>
            </w:r>
            <w:r>
              <w:rPr>
                <w:rFonts w:hint="eastAsia" w:eastAsiaTheme="minorEastAsia"/>
                <w:color w:val="auto"/>
                <w:lang w:val="en-US" w:eastAsia="zh-CN"/>
              </w:rPr>
              <w:t>1</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1698" w:type="dxa"/>
            <w:vAlign w:val="center"/>
          </w:tcPr>
          <w:p>
            <w:pPr>
              <w:pStyle w:val="246"/>
              <w:rPr>
                <w:rFonts w:eastAsiaTheme="minorEastAsia"/>
                <w:color w:val="auto"/>
              </w:rPr>
            </w:pPr>
            <w:r>
              <w:rPr>
                <w:rFonts w:eastAsiaTheme="minorEastAsia"/>
                <w:color w:val="auto"/>
              </w:rPr>
              <w:t>有组织</w:t>
            </w:r>
          </w:p>
        </w:tc>
        <w:tc>
          <w:tcPr>
            <w:tcW w:w="1658" w:type="dxa"/>
            <w:vAlign w:val="center"/>
          </w:tcPr>
          <w:p>
            <w:pPr>
              <w:pStyle w:val="246"/>
              <w:rPr>
                <w:rFonts w:eastAsiaTheme="minorEastAsia"/>
                <w:color w:val="auto"/>
              </w:rPr>
            </w:pPr>
            <w:r>
              <w:rPr>
                <w:rFonts w:hint="eastAsia" w:eastAsiaTheme="minorEastAsia"/>
                <w:color w:val="auto"/>
                <w:lang w:eastAsia="zh-CN"/>
              </w:rPr>
              <w:t>粗碎</w:t>
            </w:r>
          </w:p>
        </w:tc>
        <w:tc>
          <w:tcPr>
            <w:tcW w:w="2259" w:type="dxa"/>
            <w:vAlign w:val="center"/>
          </w:tcPr>
          <w:p>
            <w:pPr>
              <w:pStyle w:val="246"/>
              <w:rPr>
                <w:rFonts w:eastAsiaTheme="minorEastAsia"/>
                <w:color w:val="auto"/>
              </w:rPr>
            </w:pPr>
            <w:r>
              <w:rPr>
                <w:rFonts w:hint="eastAsia" w:eastAsiaTheme="minorEastAsia"/>
                <w:color w:val="auto"/>
                <w:lang w:val="en-US" w:eastAsia="zh-CN"/>
              </w:rPr>
              <w:t>0.0465</w:t>
            </w:r>
          </w:p>
        </w:tc>
        <w:tc>
          <w:tcPr>
            <w:tcW w:w="2259" w:type="dxa"/>
            <w:vAlign w:val="center"/>
          </w:tcPr>
          <w:p>
            <w:pPr>
              <w:pStyle w:val="246"/>
              <w:rPr>
                <w:rFonts w:eastAsiaTheme="minorEastAsia"/>
                <w:color w:val="auto"/>
              </w:rPr>
            </w:pPr>
            <w:r>
              <w:rPr>
                <w:rFonts w:hint="eastAsia" w:eastAsiaTheme="minorEastAsia"/>
                <w:color w:val="auto"/>
                <w:lang w:val="en-US" w:eastAsia="zh-CN"/>
              </w:rPr>
              <w:t>0.0465</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1698" w:type="dxa"/>
            <w:vAlign w:val="center"/>
          </w:tcPr>
          <w:p>
            <w:pPr>
              <w:pStyle w:val="246"/>
              <w:rPr>
                <w:rFonts w:eastAsiaTheme="minorEastAsia"/>
                <w:color w:val="auto"/>
              </w:rPr>
            </w:pPr>
          </w:p>
        </w:tc>
        <w:tc>
          <w:tcPr>
            <w:tcW w:w="1658" w:type="dxa"/>
            <w:vAlign w:val="center"/>
          </w:tcPr>
          <w:p>
            <w:pPr>
              <w:pStyle w:val="246"/>
              <w:rPr>
                <w:rFonts w:eastAsiaTheme="minorEastAsia"/>
                <w:color w:val="auto"/>
              </w:rPr>
            </w:pPr>
            <w:r>
              <w:rPr>
                <w:rFonts w:hint="eastAsia" w:eastAsiaTheme="minorEastAsia"/>
                <w:color w:val="auto"/>
                <w:lang w:eastAsia="zh-CN"/>
              </w:rPr>
              <w:t>细碎</w:t>
            </w:r>
          </w:p>
        </w:tc>
        <w:tc>
          <w:tcPr>
            <w:tcW w:w="2259" w:type="dxa"/>
            <w:vAlign w:val="center"/>
          </w:tcPr>
          <w:p>
            <w:pPr>
              <w:pStyle w:val="246"/>
              <w:rPr>
                <w:rFonts w:eastAsiaTheme="minorEastAsia"/>
                <w:color w:val="auto"/>
              </w:rPr>
            </w:pPr>
            <w:r>
              <w:rPr>
                <w:rFonts w:hint="eastAsia" w:eastAsiaTheme="minorEastAsia"/>
                <w:color w:val="auto"/>
                <w:lang w:val="en-US" w:eastAsia="zh-CN"/>
              </w:rPr>
              <w:t>0.0478</w:t>
            </w:r>
          </w:p>
        </w:tc>
        <w:tc>
          <w:tcPr>
            <w:tcW w:w="2259" w:type="dxa"/>
            <w:vAlign w:val="center"/>
          </w:tcPr>
          <w:p>
            <w:pPr>
              <w:pStyle w:val="246"/>
              <w:rPr>
                <w:rFonts w:eastAsiaTheme="minorEastAsia"/>
                <w:color w:val="auto"/>
              </w:rPr>
            </w:pPr>
            <w:r>
              <w:rPr>
                <w:rFonts w:hint="eastAsia" w:eastAsiaTheme="minorEastAsia"/>
                <w:color w:val="auto"/>
                <w:lang w:val="en-US" w:eastAsia="zh-CN"/>
              </w:rPr>
              <w:t>0.0478</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1698" w:type="dxa"/>
            <w:vAlign w:val="center"/>
          </w:tcPr>
          <w:p>
            <w:pPr>
              <w:pStyle w:val="246"/>
              <w:rPr>
                <w:rFonts w:eastAsiaTheme="minorEastAsia"/>
                <w:color w:val="auto"/>
              </w:rPr>
            </w:pPr>
          </w:p>
        </w:tc>
        <w:tc>
          <w:tcPr>
            <w:tcW w:w="1658" w:type="dxa"/>
            <w:vAlign w:val="center"/>
          </w:tcPr>
          <w:p>
            <w:pPr>
              <w:pStyle w:val="246"/>
              <w:rPr>
                <w:rFonts w:eastAsiaTheme="minorEastAsia"/>
                <w:color w:val="auto"/>
              </w:rPr>
            </w:pPr>
            <w:r>
              <w:rPr>
                <w:rFonts w:hint="eastAsia" w:eastAsiaTheme="minorEastAsia"/>
                <w:color w:val="auto"/>
                <w:lang w:eastAsia="zh-CN"/>
              </w:rPr>
              <w:t>筛分</w:t>
            </w:r>
          </w:p>
        </w:tc>
        <w:tc>
          <w:tcPr>
            <w:tcW w:w="2259" w:type="dxa"/>
            <w:vAlign w:val="center"/>
          </w:tcPr>
          <w:p>
            <w:pPr>
              <w:pStyle w:val="246"/>
              <w:rPr>
                <w:rFonts w:eastAsiaTheme="minorEastAsia"/>
                <w:color w:val="auto"/>
              </w:rPr>
            </w:pPr>
            <w:r>
              <w:rPr>
                <w:rFonts w:hint="eastAsia" w:eastAsiaTheme="minorEastAsia"/>
                <w:color w:val="auto"/>
                <w:lang w:val="en-US" w:eastAsia="zh-CN"/>
              </w:rPr>
              <w:t>0.0488</w:t>
            </w:r>
          </w:p>
        </w:tc>
        <w:tc>
          <w:tcPr>
            <w:tcW w:w="2259" w:type="dxa"/>
            <w:vAlign w:val="center"/>
          </w:tcPr>
          <w:p>
            <w:pPr>
              <w:pStyle w:val="246"/>
              <w:rPr>
                <w:rFonts w:eastAsiaTheme="minorEastAsia"/>
                <w:color w:val="auto"/>
              </w:rPr>
            </w:pPr>
            <w:r>
              <w:rPr>
                <w:rFonts w:hint="eastAsia" w:eastAsiaTheme="minorEastAsia"/>
                <w:color w:val="auto"/>
                <w:lang w:val="en-US" w:eastAsia="zh-CN"/>
              </w:rPr>
              <w:t>0.0488</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3356" w:type="dxa"/>
            <w:gridSpan w:val="2"/>
            <w:vAlign w:val="center"/>
          </w:tcPr>
          <w:p>
            <w:pPr>
              <w:pStyle w:val="246"/>
              <w:rPr>
                <w:rFonts w:eastAsiaTheme="minorEastAsia"/>
                <w:color w:val="auto"/>
              </w:rPr>
            </w:pPr>
            <w:r>
              <w:rPr>
                <w:rFonts w:eastAsiaTheme="minorEastAsia"/>
                <w:color w:val="auto"/>
              </w:rPr>
              <w:t>合计</w:t>
            </w:r>
          </w:p>
        </w:tc>
        <w:tc>
          <w:tcPr>
            <w:tcW w:w="2259" w:type="dxa"/>
            <w:vAlign w:val="center"/>
          </w:tcPr>
          <w:p>
            <w:pPr>
              <w:pStyle w:val="246"/>
              <w:rPr>
                <w:rFonts w:hint="eastAsia" w:eastAsiaTheme="minorEastAsia"/>
                <w:color w:val="auto"/>
                <w:lang w:val="en-US" w:eastAsia="zh-CN"/>
              </w:rPr>
            </w:pPr>
            <w:r>
              <w:rPr>
                <w:rFonts w:hint="eastAsia" w:eastAsiaTheme="minorEastAsia"/>
                <w:color w:val="auto"/>
                <w:lang w:val="en-US" w:eastAsia="zh-CN"/>
              </w:rPr>
              <w:t>0.742</w:t>
            </w:r>
          </w:p>
        </w:tc>
        <w:tc>
          <w:tcPr>
            <w:tcW w:w="2259" w:type="dxa"/>
            <w:vAlign w:val="center"/>
          </w:tcPr>
          <w:p>
            <w:pPr>
              <w:pStyle w:val="246"/>
              <w:rPr>
                <w:rFonts w:eastAsiaTheme="minorEastAsia"/>
                <w:color w:val="auto"/>
              </w:rPr>
            </w:pPr>
            <w:r>
              <w:rPr>
                <w:rFonts w:hint="eastAsia" w:eastAsiaTheme="minorEastAsia"/>
                <w:color w:val="auto"/>
                <w:lang w:val="en-US" w:eastAsia="zh-CN"/>
              </w:rPr>
              <w:t>0.742</w:t>
            </w:r>
          </w:p>
        </w:tc>
      </w:tr>
    </w:tbl>
    <w:p>
      <w:pPr>
        <w:ind w:firstLine="480"/>
        <w:rPr>
          <w:rFonts w:hint="eastAsia" w:eastAsiaTheme="minorEastAsia"/>
          <w:snapToGrid w:val="0"/>
          <w:color w:val="auto"/>
          <w:kern w:val="0"/>
          <w:lang w:val="en-US" w:eastAsia="zh-CN"/>
        </w:rPr>
      </w:pPr>
    </w:p>
    <w:p>
      <w:pPr>
        <w:ind w:firstLine="480"/>
        <w:rPr>
          <w:rFonts w:eastAsiaTheme="minorEastAsia"/>
          <w:snapToGrid w:val="0"/>
          <w:color w:val="auto"/>
          <w:kern w:val="0"/>
        </w:rPr>
      </w:pPr>
    </w:p>
    <w:p>
      <w:pPr>
        <w:rPr>
          <w:rFonts w:eastAsiaTheme="minorEastAsia"/>
          <w:color w:val="auto"/>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pPr>
        <w:pStyle w:val="3"/>
        <w:spacing w:before="0" w:after="0" w:line="700" w:lineRule="exact"/>
        <w:rPr>
          <w:rFonts w:eastAsiaTheme="minorEastAsia"/>
          <w:b w:val="0"/>
          <w:color w:val="auto"/>
          <w:sz w:val="32"/>
          <w:szCs w:val="32"/>
        </w:rPr>
      </w:pPr>
      <w:bookmarkStart w:id="301" w:name="_Toc440973615"/>
      <w:bookmarkStart w:id="302" w:name="_Toc392154103"/>
      <w:bookmarkStart w:id="303" w:name="_Toc437784012"/>
      <w:bookmarkStart w:id="304" w:name="_Toc440973881"/>
      <w:bookmarkStart w:id="305" w:name="_Toc519693597"/>
      <w:bookmarkStart w:id="306" w:name="_Toc233779723"/>
      <w:r>
        <w:rPr>
          <w:rFonts w:eastAsiaTheme="minorEastAsia"/>
          <w:b w:val="0"/>
          <w:color w:val="auto"/>
          <w:sz w:val="32"/>
          <w:szCs w:val="32"/>
        </w:rPr>
        <w:t>9环境影响评价结论</w:t>
      </w:r>
      <w:bookmarkEnd w:id="301"/>
      <w:bookmarkEnd w:id="302"/>
      <w:bookmarkEnd w:id="303"/>
      <w:bookmarkEnd w:id="304"/>
      <w:bookmarkEnd w:id="305"/>
    </w:p>
    <w:bookmarkEnd w:id="306"/>
    <w:p>
      <w:pPr>
        <w:pStyle w:val="238"/>
        <w:rPr>
          <w:rFonts w:hAnsi="Times New Roman" w:eastAsiaTheme="minorEastAsia"/>
          <w:color w:val="auto"/>
        </w:rPr>
      </w:pPr>
      <w:bookmarkStart w:id="307" w:name="_Toc438414542"/>
      <w:bookmarkStart w:id="308" w:name="_Toc440973616"/>
      <w:bookmarkStart w:id="309" w:name="_Toc440973882"/>
      <w:bookmarkStart w:id="310" w:name="_Toc519693598"/>
      <w:bookmarkStart w:id="311" w:name="_Toc392154104"/>
      <w:r>
        <w:rPr>
          <w:rFonts w:hAnsi="Times New Roman" w:eastAsiaTheme="minorEastAsia"/>
          <w:color w:val="auto"/>
        </w:rPr>
        <w:t>9.1建设项目概况</w:t>
      </w:r>
      <w:bookmarkEnd w:id="307"/>
      <w:bookmarkEnd w:id="308"/>
      <w:bookmarkEnd w:id="309"/>
      <w:bookmarkEnd w:id="310"/>
    </w:p>
    <w:bookmarkEnd w:id="311"/>
    <w:p>
      <w:pPr>
        <w:pStyle w:val="276"/>
        <w:jc w:val="both"/>
        <w:rPr>
          <w:rFonts w:eastAsiaTheme="minorEastAsia"/>
          <w:color w:val="auto"/>
        </w:rPr>
      </w:pPr>
      <w:r>
        <w:rPr>
          <w:rFonts w:hint="eastAsia" w:eastAsiaTheme="minorEastAsia"/>
          <w:color w:val="auto"/>
          <w:lang w:eastAsia="zh-CN"/>
        </w:rPr>
        <w:t>佳木斯市郊区新华采石场佳华分厂</w:t>
      </w:r>
      <w:r>
        <w:rPr>
          <w:rFonts w:eastAsiaTheme="minorEastAsia"/>
          <w:color w:val="auto"/>
        </w:rPr>
        <w:t>位于</w:t>
      </w:r>
      <w:r>
        <w:rPr>
          <w:rFonts w:hint="eastAsia" w:eastAsiaTheme="minorEastAsia"/>
          <w:color w:val="auto"/>
          <w:lang w:eastAsia="zh-CN"/>
        </w:rPr>
        <w:t>佳木斯市郊区沿江乡新华村南约450m处</w:t>
      </w:r>
      <w:r>
        <w:rPr>
          <w:rFonts w:eastAsiaTheme="minorEastAsia"/>
          <w:color w:val="auto"/>
        </w:rPr>
        <w:t>，地理坐标：东经</w:t>
      </w:r>
      <w:r>
        <w:rPr>
          <w:rFonts w:hint="eastAsia" w:eastAsiaTheme="minorEastAsia"/>
          <w:color w:val="auto"/>
        </w:rPr>
        <w:t>130.188995°</w:t>
      </w:r>
      <w:r>
        <w:rPr>
          <w:rFonts w:eastAsiaTheme="minorEastAsia"/>
          <w:color w:val="auto"/>
        </w:rPr>
        <w:t>，北纬：</w:t>
      </w:r>
      <w:r>
        <w:rPr>
          <w:rFonts w:hint="eastAsia" w:eastAsiaTheme="minorEastAsia"/>
          <w:color w:val="auto"/>
        </w:rPr>
        <w:t>46.746032°</w:t>
      </w:r>
      <w:r>
        <w:rPr>
          <w:rFonts w:eastAsiaTheme="minorEastAsia"/>
          <w:color w:val="auto"/>
        </w:rPr>
        <w:t>。矿区</w:t>
      </w:r>
      <w:r>
        <w:rPr>
          <w:rFonts w:hint="eastAsia" w:eastAsiaTheme="minorEastAsia"/>
          <w:color w:val="auto"/>
          <w:lang w:eastAsia="zh-CN"/>
        </w:rPr>
        <w:t>南侧</w:t>
      </w:r>
      <w:r>
        <w:rPr>
          <w:rFonts w:eastAsiaTheme="minorEastAsia"/>
          <w:color w:val="auto"/>
        </w:rPr>
        <w:t>有少量</w:t>
      </w:r>
      <w:r>
        <w:rPr>
          <w:rFonts w:hint="eastAsia" w:eastAsiaTheme="minorEastAsia"/>
          <w:color w:val="auto"/>
          <w:lang w:eastAsia="zh-CN"/>
        </w:rPr>
        <w:t>林地</w:t>
      </w:r>
      <w:r>
        <w:rPr>
          <w:rFonts w:eastAsiaTheme="minorEastAsia"/>
          <w:color w:val="auto"/>
        </w:rPr>
        <w:t>，</w:t>
      </w:r>
      <w:r>
        <w:rPr>
          <w:rFonts w:hint="eastAsia" w:eastAsiaTheme="minorEastAsia"/>
          <w:color w:val="auto"/>
          <w:lang w:eastAsia="zh-CN"/>
        </w:rPr>
        <w:t>其余周边均为耕地</w:t>
      </w:r>
      <w:r>
        <w:rPr>
          <w:rFonts w:eastAsiaTheme="minorEastAsia"/>
          <w:color w:val="auto"/>
        </w:rPr>
        <w:t>，项目用地为工矿建设用地。本项目总占地面积</w:t>
      </w:r>
      <w:r>
        <w:rPr>
          <w:rFonts w:hint="eastAsia" w:eastAsiaTheme="minorEastAsia"/>
          <w:color w:val="auto"/>
          <w:lang w:eastAsia="zh-CN"/>
        </w:rPr>
        <w:t>0.014185</w:t>
      </w:r>
      <w:r>
        <w:rPr>
          <w:rFonts w:eastAsiaTheme="minorEastAsia"/>
          <w:color w:val="auto"/>
        </w:rPr>
        <w:t>km</w:t>
      </w:r>
      <w:r>
        <w:rPr>
          <w:rFonts w:eastAsiaTheme="minorEastAsia"/>
          <w:color w:val="auto"/>
          <w:vertAlign w:val="superscript"/>
        </w:rPr>
        <w:t>2</w:t>
      </w:r>
      <w:r>
        <w:rPr>
          <w:rFonts w:eastAsiaTheme="minorEastAsia"/>
          <w:color w:val="auto"/>
        </w:rPr>
        <w:t xml:space="preserve">，其中开采区面积 </w:t>
      </w:r>
      <w:r>
        <w:rPr>
          <w:rFonts w:hint="eastAsia" w:eastAsiaTheme="minorEastAsia"/>
          <w:color w:val="auto"/>
          <w:lang w:eastAsia="zh-CN"/>
        </w:rPr>
        <w:t>0.003555</w:t>
      </w:r>
      <w:r>
        <w:rPr>
          <w:rFonts w:eastAsiaTheme="minorEastAsia"/>
          <w:color w:val="auto"/>
        </w:rPr>
        <w:t>km</w:t>
      </w:r>
      <w:r>
        <w:rPr>
          <w:rFonts w:eastAsiaTheme="minorEastAsia"/>
          <w:color w:val="auto"/>
          <w:vertAlign w:val="superscript"/>
        </w:rPr>
        <w:t>2</w:t>
      </w:r>
      <w:r>
        <w:rPr>
          <w:rFonts w:eastAsiaTheme="minorEastAsia"/>
          <w:color w:val="auto"/>
        </w:rPr>
        <w:t>，开采深度</w:t>
      </w:r>
      <w:r>
        <w:rPr>
          <w:rFonts w:hint="eastAsia" w:eastAsiaTheme="minorEastAsia"/>
          <w:color w:val="auto"/>
          <w:lang w:eastAsia="zh-CN"/>
        </w:rPr>
        <w:t>121m-107m</w:t>
      </w:r>
      <w:r>
        <w:rPr>
          <w:rFonts w:eastAsiaTheme="minorEastAsia"/>
          <w:color w:val="auto"/>
        </w:rPr>
        <w:t>m。可采储量</w:t>
      </w:r>
      <w:r>
        <w:rPr>
          <w:rFonts w:hint="eastAsia" w:eastAsiaTheme="minorEastAsia"/>
          <w:color w:val="auto"/>
          <w:lang w:val="en-US" w:eastAsia="zh-CN"/>
        </w:rPr>
        <w:t>90122</w:t>
      </w:r>
      <w:r>
        <w:rPr>
          <w:rFonts w:eastAsiaTheme="minorEastAsia"/>
          <w:color w:val="auto"/>
        </w:rPr>
        <w:t>m</w:t>
      </w:r>
      <w:r>
        <w:rPr>
          <w:rFonts w:eastAsiaTheme="minorEastAsia"/>
          <w:color w:val="auto"/>
          <w:vertAlign w:val="superscript"/>
        </w:rPr>
        <w:t>3</w:t>
      </w:r>
      <w:r>
        <w:rPr>
          <w:rFonts w:eastAsiaTheme="minorEastAsia"/>
          <w:color w:val="auto"/>
        </w:rPr>
        <w:t>/a</w:t>
      </w:r>
      <w:r>
        <w:rPr>
          <w:rFonts w:hint="eastAsia" w:eastAsiaTheme="minorEastAsia"/>
          <w:color w:val="auto"/>
          <w:lang w:eastAsia="zh-CN"/>
        </w:rPr>
        <w:t>，</w:t>
      </w:r>
      <w:r>
        <w:rPr>
          <w:rFonts w:eastAsiaTheme="minorEastAsia"/>
          <w:color w:val="auto"/>
        </w:rPr>
        <w:t>矿山建筑用碎石生产能力</w:t>
      </w:r>
      <w:r>
        <w:rPr>
          <w:rFonts w:hint="eastAsia" w:eastAsiaTheme="minorEastAsia"/>
          <w:color w:val="auto"/>
          <w:lang w:val="en-US" w:eastAsia="zh-CN"/>
        </w:rPr>
        <w:t>3</w:t>
      </w:r>
      <w:r>
        <w:rPr>
          <w:rFonts w:eastAsiaTheme="minorEastAsia"/>
          <w:color w:val="auto"/>
        </w:rPr>
        <w:t>万m</w:t>
      </w:r>
      <w:r>
        <w:rPr>
          <w:rFonts w:eastAsiaTheme="minorEastAsia"/>
          <w:color w:val="auto"/>
          <w:vertAlign w:val="superscript"/>
        </w:rPr>
        <w:t>3</w:t>
      </w:r>
      <w:r>
        <w:rPr>
          <w:rFonts w:eastAsiaTheme="minorEastAsia"/>
          <w:color w:val="auto"/>
        </w:rPr>
        <w:t>/a，矿山服务年限为</w:t>
      </w:r>
      <w:r>
        <w:rPr>
          <w:rFonts w:hint="eastAsia" w:eastAsiaTheme="minorEastAsia"/>
          <w:color w:val="auto"/>
          <w:lang w:eastAsia="zh-CN"/>
        </w:rPr>
        <w:t>3年</w:t>
      </w:r>
      <w:r>
        <w:rPr>
          <w:rFonts w:eastAsiaTheme="minorEastAsia"/>
          <w:color w:val="auto"/>
        </w:rPr>
        <w:t>。矿山开采顺序为自上而下分层推进开采，项目总投资</w:t>
      </w:r>
      <w:r>
        <w:rPr>
          <w:rFonts w:hint="eastAsia" w:eastAsiaTheme="minorEastAsia"/>
          <w:color w:val="auto"/>
          <w:lang w:eastAsia="zh-CN"/>
        </w:rPr>
        <w:t>300万</w:t>
      </w:r>
      <w:r>
        <w:rPr>
          <w:rFonts w:eastAsiaTheme="minorEastAsia"/>
          <w:color w:val="auto"/>
        </w:rPr>
        <w:t>元。</w:t>
      </w:r>
    </w:p>
    <w:p>
      <w:pPr>
        <w:pStyle w:val="238"/>
        <w:rPr>
          <w:rFonts w:hAnsi="Times New Roman" w:eastAsiaTheme="minorEastAsia"/>
          <w:color w:val="auto"/>
        </w:rPr>
      </w:pPr>
      <w:bookmarkStart w:id="312" w:name="_Toc440973621"/>
      <w:bookmarkStart w:id="313" w:name="_Toc519693599"/>
      <w:bookmarkStart w:id="314" w:name="_Toc392154107"/>
      <w:bookmarkStart w:id="315" w:name="_Toc437784016"/>
      <w:bookmarkStart w:id="316" w:name="_Toc440973887"/>
      <w:bookmarkStart w:id="317" w:name="_Toc233779748"/>
      <w:r>
        <w:rPr>
          <w:rFonts w:hAnsi="Times New Roman" w:eastAsiaTheme="minorEastAsia"/>
          <w:color w:val="auto"/>
        </w:rPr>
        <w:t>9.2环境质量现状评价结论</w:t>
      </w:r>
      <w:bookmarkEnd w:id="312"/>
      <w:bookmarkEnd w:id="313"/>
      <w:bookmarkEnd w:id="314"/>
      <w:bookmarkEnd w:id="315"/>
      <w:bookmarkEnd w:id="316"/>
    </w:p>
    <w:bookmarkEnd w:id="317"/>
    <w:p>
      <w:pPr>
        <w:pStyle w:val="240"/>
        <w:rPr>
          <w:rFonts w:ascii="Times New Roman" w:hAnsi="Times New Roman" w:cs="Times New Roman" w:eastAsiaTheme="minorEastAsia"/>
          <w:color w:val="auto"/>
        </w:rPr>
      </w:pPr>
      <w:bookmarkStart w:id="318" w:name="_Toc440973888"/>
      <w:bookmarkStart w:id="319" w:name="_Toc440973622"/>
      <w:bookmarkStart w:id="320" w:name="_Toc440973252"/>
      <w:bookmarkStart w:id="321" w:name="_Toc233779749"/>
      <w:r>
        <w:rPr>
          <w:rFonts w:ascii="Times New Roman" w:hAnsi="Times New Roman" w:cs="Times New Roman" w:eastAsiaTheme="minorEastAsia"/>
          <w:color w:val="auto"/>
        </w:rPr>
        <w:t>9.2.1环境空气质量现状</w:t>
      </w:r>
      <w:bookmarkEnd w:id="318"/>
      <w:bookmarkEnd w:id="319"/>
      <w:bookmarkEnd w:id="320"/>
    </w:p>
    <w:bookmarkEnd w:id="321"/>
    <w:p>
      <w:pPr>
        <w:ind w:firstLine="480" w:firstLineChars="200"/>
        <w:rPr>
          <w:rFonts w:hint="eastAsia" w:ascii="仿宋_GB2312"/>
          <w:color w:val="auto"/>
          <w:sz w:val="24"/>
          <w:szCs w:val="24"/>
        </w:rPr>
      </w:pPr>
      <w:r>
        <w:rPr>
          <w:rFonts w:hint="eastAsia" w:ascii="仿宋_GB2312"/>
          <w:color w:val="auto"/>
          <w:sz w:val="24"/>
          <w:szCs w:val="24"/>
        </w:rPr>
        <w:t>项目所在地属环境空气质量功能区划中的二类区。本报告引用《2017年佳木斯市环境质量简报》</w:t>
      </w:r>
      <w:r>
        <w:rPr>
          <w:rFonts w:hint="eastAsia" w:ascii="仿宋_GB2312" w:hAnsi="宋体" w:cs="宋体"/>
          <w:color w:val="auto"/>
          <w:sz w:val="24"/>
          <w:szCs w:val="24"/>
        </w:rPr>
        <w:t>中的数据。</w:t>
      </w:r>
      <w:r>
        <w:rPr>
          <w:rFonts w:hint="eastAsia" w:ascii="仿宋_GB2312"/>
          <w:color w:val="auto"/>
          <w:sz w:val="24"/>
          <w:szCs w:val="24"/>
        </w:rPr>
        <w:t>2017年佳木斯市区环境空气质量指数AQI达到和好于二级的优良天数为324天，达标比例为88.8%；污染天数为41天，其中轻度污染为21天，中度污染为8天，重度污染为8天，严重污染为4天。佳木斯市环境空气中，首要污染物主要为细颗粒物（PM2.5）、其次为O3-8h。从综合污染指数看，采暖期综合指数明显高于非采暖期，表明佳木斯市采暖期空气污染重于非采暖期。各项污染物年均值除细颗粒物（PM2.5）超标外，其余项目均不超标，细颗粒物（PM2.5）年均值为38μg /m</w:t>
      </w:r>
      <w:r>
        <w:rPr>
          <w:rFonts w:hint="eastAsia" w:ascii="仿宋_GB2312"/>
          <w:color w:val="auto"/>
          <w:sz w:val="24"/>
          <w:szCs w:val="24"/>
          <w:vertAlign w:val="superscript"/>
        </w:rPr>
        <w:t>3</w:t>
      </w:r>
      <w:r>
        <w:rPr>
          <w:rFonts w:hint="eastAsia" w:ascii="仿宋_GB2312"/>
          <w:color w:val="auto"/>
          <w:sz w:val="24"/>
          <w:szCs w:val="24"/>
        </w:rPr>
        <w:t>，超标0.09倍；可吸入颗粒物（PM10）、细颗粒物（PM2.5）、二氧化氮、臭氧日均值均有超标现象</w:t>
      </w:r>
      <w:r>
        <w:rPr>
          <w:rFonts w:hint="eastAsia" w:ascii="仿宋_GB2312"/>
          <w:color w:val="auto"/>
          <w:sz w:val="24"/>
          <w:szCs w:val="24"/>
          <w:lang w:eastAsia="zh-CN"/>
        </w:rPr>
        <w:t>，不能满足</w:t>
      </w:r>
      <w:r>
        <w:rPr>
          <w:rFonts w:hint="eastAsia" w:ascii="仿宋_GB2312"/>
          <w:color w:val="auto"/>
          <w:sz w:val="24"/>
          <w:szCs w:val="24"/>
        </w:rPr>
        <w:t>《环境空气质量标准》(GB3095-2012)中二级标准</w:t>
      </w:r>
      <w:r>
        <w:rPr>
          <w:rFonts w:hint="eastAsia" w:ascii="仿宋_GB2312"/>
          <w:color w:val="auto"/>
          <w:sz w:val="24"/>
          <w:szCs w:val="24"/>
          <w:lang w:eastAsia="zh-CN"/>
        </w:rPr>
        <w:t>要求</w:t>
      </w:r>
      <w:r>
        <w:rPr>
          <w:rFonts w:hint="eastAsia" w:ascii="仿宋_GB2312"/>
          <w:color w:val="auto"/>
          <w:sz w:val="24"/>
          <w:szCs w:val="24"/>
        </w:rPr>
        <w:t>。</w:t>
      </w:r>
    </w:p>
    <w:p>
      <w:pPr>
        <w:pStyle w:val="240"/>
        <w:rPr>
          <w:rFonts w:ascii="Times New Roman" w:hAnsi="Times New Roman" w:cs="Times New Roman" w:eastAsiaTheme="minorEastAsia"/>
          <w:color w:val="auto"/>
        </w:rPr>
      </w:pPr>
      <w:bookmarkStart w:id="322" w:name="_Toc440973253"/>
      <w:bookmarkStart w:id="323" w:name="_Toc440973623"/>
      <w:bookmarkStart w:id="324" w:name="_Toc440973889"/>
      <w:r>
        <w:rPr>
          <w:rFonts w:ascii="Times New Roman" w:hAnsi="Times New Roman" w:cs="Times New Roman" w:eastAsiaTheme="minorEastAsia"/>
          <w:color w:val="auto"/>
        </w:rPr>
        <w:t>9.2.2地表水环境质量现状</w:t>
      </w:r>
      <w:bookmarkEnd w:id="322"/>
      <w:bookmarkEnd w:id="323"/>
      <w:bookmarkEnd w:id="324"/>
    </w:p>
    <w:p>
      <w:pPr>
        <w:ind w:firstLine="480" w:firstLineChars="200"/>
        <w:rPr>
          <w:rFonts w:cs="Times New Roman"/>
          <w:color w:val="auto"/>
        </w:rPr>
      </w:pPr>
      <w:bookmarkStart w:id="325" w:name="_Toc440973625"/>
      <w:bookmarkStart w:id="326" w:name="_Toc440973891"/>
      <w:bookmarkStart w:id="327" w:name="_Toc440973255"/>
      <w:r>
        <w:rPr>
          <w:rFonts w:cs="Times New Roman"/>
          <w:color w:val="auto"/>
        </w:rPr>
        <w:t>监测结果</w:t>
      </w:r>
      <w:r>
        <w:rPr>
          <w:rFonts w:hint="eastAsia" w:cs="Times New Roman"/>
          <w:color w:val="auto"/>
          <w:lang w:eastAsia="zh-CN"/>
        </w:rPr>
        <w:t>表明</w:t>
      </w:r>
      <w:r>
        <w:rPr>
          <w:rFonts w:hint="eastAsia" w:cs="Times New Roman"/>
          <w:color w:val="auto"/>
        </w:rPr>
        <w:t>，松花江佳木斯3</w:t>
      </w:r>
      <w:r>
        <w:rPr>
          <w:rFonts w:cs="Times New Roman"/>
          <w:color w:val="auto"/>
        </w:rPr>
        <w:t>个断面的监测项目</w:t>
      </w:r>
      <w:r>
        <w:rPr>
          <w:rFonts w:hint="eastAsia" w:cs="Times New Roman"/>
          <w:color w:val="auto"/>
        </w:rPr>
        <w:t>中，各断面</w:t>
      </w:r>
      <w:r>
        <w:rPr>
          <w:rFonts w:cs="Times New Roman"/>
          <w:color w:val="auto"/>
        </w:rPr>
        <w:t>均未出现超标</w:t>
      </w:r>
      <w:r>
        <w:rPr>
          <w:rFonts w:hint="eastAsia" w:cs="Times New Roman"/>
          <w:color w:val="auto"/>
        </w:rPr>
        <w:t>现象</w:t>
      </w:r>
      <w:r>
        <w:rPr>
          <w:rFonts w:cs="Times New Roman"/>
          <w:color w:val="auto"/>
        </w:rPr>
        <w:t>，水质能够达到《地表水环境质量标准》（GB3838-2002）</w:t>
      </w:r>
      <w:r>
        <w:rPr>
          <w:rFonts w:hint="eastAsia" w:cs="Times New Roman"/>
          <w:color w:val="auto"/>
        </w:rPr>
        <w:t>IV</w:t>
      </w:r>
      <w:r>
        <w:rPr>
          <w:rFonts w:cs="Times New Roman"/>
          <w:color w:val="auto"/>
        </w:rPr>
        <w:t>类标准。</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9.2.3声环境质量现状</w:t>
      </w:r>
      <w:bookmarkEnd w:id="325"/>
      <w:bookmarkEnd w:id="326"/>
      <w:bookmarkEnd w:id="327"/>
    </w:p>
    <w:p>
      <w:pPr>
        <w:ind w:firstLine="480" w:firstLineChars="200"/>
        <w:rPr>
          <w:rFonts w:hint="eastAsia" w:eastAsiaTheme="minorEastAsia"/>
          <w:color w:val="auto"/>
          <w:lang w:eastAsia="zh-CN"/>
        </w:rPr>
      </w:pPr>
      <w:bookmarkStart w:id="328" w:name="_Toc440973256"/>
      <w:bookmarkStart w:id="329" w:name="_Toc440973626"/>
      <w:bookmarkStart w:id="330" w:name="_Toc440973892"/>
      <w:r>
        <w:rPr>
          <w:rFonts w:hint="eastAsia" w:eastAsiaTheme="minorEastAsia"/>
          <w:color w:val="auto"/>
          <w:lang w:eastAsia="zh-CN"/>
        </w:rPr>
        <w:t>本项目厂界声环境质量</w:t>
      </w:r>
      <w:r>
        <w:rPr>
          <w:rFonts w:eastAsiaTheme="minorEastAsia"/>
          <w:color w:val="auto"/>
        </w:rPr>
        <w:t>满足《声环境质量标准》（GB3096-2008）中2类标准</w:t>
      </w:r>
      <w:r>
        <w:rPr>
          <w:rFonts w:hint="eastAsia" w:eastAsiaTheme="minorEastAsia"/>
          <w:color w:val="auto"/>
          <w:lang w:eastAsia="zh-CN"/>
        </w:rPr>
        <w:t>要求</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9.2.4生态环境</w:t>
      </w:r>
      <w:bookmarkEnd w:id="328"/>
      <w:bookmarkEnd w:id="329"/>
      <w:bookmarkEnd w:id="330"/>
    </w:p>
    <w:p>
      <w:pPr>
        <w:ind w:firstLine="480" w:firstLineChars="200"/>
        <w:rPr>
          <w:rFonts w:eastAsiaTheme="minorEastAsia"/>
          <w:color w:val="auto"/>
        </w:rPr>
      </w:pPr>
      <w:bookmarkStart w:id="331" w:name="_Toc440973257"/>
      <w:bookmarkStart w:id="332" w:name="_Toc440973893"/>
      <w:bookmarkStart w:id="333" w:name="_Toc440973627"/>
      <w:r>
        <w:rPr>
          <w:rFonts w:eastAsiaTheme="minorEastAsia"/>
          <w:color w:val="auto"/>
        </w:rPr>
        <w:t>生态现状为本评价区内主要生态系统为森林生态系统。</w:t>
      </w:r>
      <w:r>
        <w:rPr>
          <w:rFonts w:hint="eastAsia" w:eastAsiaTheme="minorEastAsia"/>
          <w:color w:val="auto"/>
          <w:lang w:eastAsia="zh-CN"/>
        </w:rPr>
        <w:t>本项目占地类型为采矿用地，项目周边为林地及耕地，因此，评价区</w:t>
      </w:r>
      <w:r>
        <w:rPr>
          <w:rFonts w:eastAsiaTheme="minorEastAsia"/>
          <w:color w:val="auto"/>
        </w:rPr>
        <w:t>内主要用地类型为采矿用地</w:t>
      </w:r>
      <w:r>
        <w:rPr>
          <w:rFonts w:hint="eastAsia" w:eastAsiaTheme="minorEastAsia"/>
          <w:color w:val="auto"/>
          <w:lang w:eastAsia="zh-CN"/>
        </w:rPr>
        <w:t>、林地、耕地。</w:t>
      </w:r>
      <w:r>
        <w:rPr>
          <w:rFonts w:eastAsiaTheme="minorEastAsia"/>
          <w:color w:val="auto"/>
        </w:rPr>
        <w:t>在林地中，主要树种为杨树，其它植被包括山丁子、黄蒿及万年蒿，项目评价区域内无国家级重点保护珍稀濒危物种、黑龙江省重点保护物种和古树名木，故对当地生态影响不大。评价区内工矿用地导致裸露地面较多，对评价区内生态系统内部的物种、能量、营养物质的流通形成一定的阻隔作用，是生态系统目前面临的压力。随着采矿迹地的恢复和采矿境界内绿化工作的进行，工矿用地对生态系统的阻隔作用会逐渐减少，生态系统总体变化趋势是向系统更稳定、生物多样性更高的方向发展。</w:t>
      </w:r>
    </w:p>
    <w:bookmarkEnd w:id="331"/>
    <w:bookmarkEnd w:id="332"/>
    <w:bookmarkEnd w:id="333"/>
    <w:p>
      <w:pPr>
        <w:pStyle w:val="238"/>
        <w:rPr>
          <w:rFonts w:hAnsi="Times New Roman" w:eastAsiaTheme="minorEastAsia"/>
          <w:color w:val="auto"/>
        </w:rPr>
      </w:pPr>
      <w:bookmarkStart w:id="334" w:name="_Toc440973894"/>
      <w:bookmarkStart w:id="335" w:name="_Toc437784017"/>
      <w:bookmarkStart w:id="336" w:name="_Toc440973628"/>
      <w:bookmarkStart w:id="337" w:name="_Toc392154108"/>
      <w:bookmarkStart w:id="338" w:name="_Toc519693600"/>
      <w:r>
        <w:rPr>
          <w:rFonts w:hAnsi="Times New Roman" w:eastAsiaTheme="minorEastAsia"/>
          <w:color w:val="auto"/>
        </w:rPr>
        <w:t>9.3环境影响评价结论</w:t>
      </w:r>
      <w:bookmarkEnd w:id="334"/>
      <w:bookmarkEnd w:id="335"/>
      <w:bookmarkEnd w:id="336"/>
      <w:bookmarkEnd w:id="337"/>
      <w:bookmarkEnd w:id="338"/>
    </w:p>
    <w:p>
      <w:pPr>
        <w:pStyle w:val="240"/>
        <w:rPr>
          <w:rFonts w:ascii="Times New Roman" w:hAnsi="Times New Roman" w:cs="Times New Roman" w:eastAsiaTheme="minorEastAsia"/>
          <w:color w:val="auto"/>
        </w:rPr>
      </w:pPr>
      <w:bookmarkStart w:id="339" w:name="_Toc440973259"/>
      <w:bookmarkStart w:id="340" w:name="_Toc440973629"/>
      <w:bookmarkStart w:id="341" w:name="_Toc440973895"/>
      <w:r>
        <w:rPr>
          <w:rFonts w:ascii="Times New Roman" w:hAnsi="Times New Roman" w:cs="Times New Roman" w:eastAsiaTheme="minorEastAsia"/>
          <w:color w:val="auto"/>
        </w:rPr>
        <w:t>9.3.1生态环境影响分析</w:t>
      </w:r>
      <w:bookmarkEnd w:id="339"/>
      <w:bookmarkEnd w:id="340"/>
      <w:bookmarkEnd w:id="341"/>
    </w:p>
    <w:p>
      <w:pPr>
        <w:spacing w:line="500" w:lineRule="exact"/>
        <w:ind w:firstLine="480" w:firstLineChars="200"/>
        <w:jc w:val="left"/>
        <w:rPr>
          <w:rFonts w:eastAsiaTheme="minorEastAsia"/>
          <w:color w:val="auto"/>
          <w:szCs w:val="24"/>
        </w:rPr>
      </w:pPr>
      <w:r>
        <w:rPr>
          <w:rFonts w:eastAsiaTheme="minorEastAsia"/>
          <w:color w:val="auto"/>
          <w:szCs w:val="24"/>
        </w:rPr>
        <w:t xml:space="preserve">本项目运营期，形成了矿山开采活动这一干扰强烈的人工生态系统斑块，虽然该斑块内生态系统稳定性、复杂性降低，但就整个区域而言，森林景观仍然为评价范围内的基质，森林生态系统在评价区的生态功能方面起控制作用，项目运营对森林生态系统的整体性和连续性的影响相对较小，评价区的主要服务功能为防止水土流失、维持生物物种多样性、涵养水源等，项目运营不会导致评价区域生态体系组成和服务功能发生明显变化，对区域生态环境的影响是可以接受的。根据上述分析结果，本项目应对露天采区服务期满后，通过边坡治理，场地平整，植被恢复等措施，可使因本项目对生态环境影响程度降到最低。生态环境影响分析该项目建设是可行的。 </w:t>
      </w:r>
    </w:p>
    <w:p>
      <w:pPr>
        <w:pStyle w:val="240"/>
        <w:rPr>
          <w:rFonts w:ascii="Times New Roman" w:hAnsi="Times New Roman" w:cs="Times New Roman" w:eastAsiaTheme="minorEastAsia"/>
          <w:color w:val="auto"/>
        </w:rPr>
      </w:pPr>
      <w:bookmarkStart w:id="342" w:name="_Toc440973260"/>
      <w:bookmarkStart w:id="343" w:name="_Toc440973630"/>
      <w:bookmarkStart w:id="344" w:name="_Toc440973896"/>
      <w:r>
        <w:rPr>
          <w:rFonts w:ascii="Times New Roman" w:hAnsi="Times New Roman" w:cs="Times New Roman" w:eastAsiaTheme="minorEastAsia"/>
          <w:color w:val="auto"/>
        </w:rPr>
        <w:t>9.3.2大气环境影响分析</w:t>
      </w:r>
      <w:bookmarkEnd w:id="342"/>
      <w:bookmarkEnd w:id="343"/>
      <w:bookmarkEnd w:id="344"/>
    </w:p>
    <w:p>
      <w:pPr>
        <w:pStyle w:val="276"/>
        <w:rPr>
          <w:rFonts w:eastAsiaTheme="minorEastAsia"/>
          <w:color w:val="auto"/>
        </w:rPr>
      </w:pPr>
      <w:r>
        <w:rPr>
          <w:rFonts w:eastAsiaTheme="minorEastAsia"/>
          <w:color w:val="auto"/>
        </w:rPr>
        <w:t>该项目在矿石凿岩打孔、爆破、集堆、铲装运输、破碎筛分及土岩堆存等均会产生粉尘，排放方式分为有组织排放和无组织排放。</w:t>
      </w:r>
    </w:p>
    <w:p>
      <w:pPr>
        <w:pStyle w:val="276"/>
        <w:adjustRightInd w:val="0"/>
        <w:snapToGrid w:val="0"/>
        <w:jc w:val="both"/>
        <w:rPr>
          <w:rFonts w:eastAsiaTheme="minorEastAsia"/>
          <w:color w:val="auto"/>
        </w:rPr>
      </w:pPr>
      <w:r>
        <w:rPr>
          <w:rFonts w:eastAsiaTheme="minorEastAsia"/>
          <w:color w:val="auto"/>
        </w:rPr>
        <w:t>正常工况下项目排放的污染物为PM</w:t>
      </w:r>
      <w:r>
        <w:rPr>
          <w:rFonts w:eastAsiaTheme="minorEastAsia"/>
          <w:color w:val="auto"/>
          <w:vertAlign w:val="subscript"/>
        </w:rPr>
        <w:t>10</w:t>
      </w:r>
      <w:r>
        <w:rPr>
          <w:rFonts w:eastAsiaTheme="minorEastAsia"/>
          <w:color w:val="auto"/>
        </w:rPr>
        <w:t>，污染因子质量浓度最大占标率均小于10%，项目在采取环保治理措施后排放的污染物对环境的影响不大，当地环境空气质量可维持现状水平。 通过采取本环评提出的抑尘措施，本项目无组织排放的粉尘对周围大气环境质量的影响较小，厂界处粉尘浓度最大值为0.0698mg/m</w:t>
      </w:r>
      <w:r>
        <w:rPr>
          <w:rFonts w:eastAsiaTheme="minorEastAsia"/>
          <w:color w:val="auto"/>
          <w:vertAlign w:val="superscript"/>
        </w:rPr>
        <w:t>3</w:t>
      </w:r>
      <w:r>
        <w:rPr>
          <w:rFonts w:eastAsiaTheme="minorEastAsia"/>
          <w:color w:val="auto"/>
        </w:rPr>
        <w:t>，周界外浓度最高点满足《大气污染物综合排放标准》（GB16297-1996）表2中无组织排放监控浓度限值的要求。</w:t>
      </w:r>
    </w:p>
    <w:p>
      <w:pPr>
        <w:pStyle w:val="240"/>
        <w:rPr>
          <w:rFonts w:ascii="Times New Roman" w:hAnsi="Times New Roman" w:cs="Times New Roman" w:eastAsiaTheme="minorEastAsia"/>
          <w:color w:val="auto"/>
        </w:rPr>
      </w:pPr>
      <w:bookmarkStart w:id="345" w:name="_Toc440973631"/>
      <w:bookmarkStart w:id="346" w:name="_Toc440973897"/>
      <w:bookmarkStart w:id="347" w:name="_Toc440973261"/>
      <w:r>
        <w:rPr>
          <w:rFonts w:ascii="Times New Roman" w:hAnsi="Times New Roman" w:cs="Times New Roman" w:eastAsiaTheme="minorEastAsia"/>
          <w:color w:val="auto"/>
        </w:rPr>
        <w:t>9.3.3水环境影响分析</w:t>
      </w:r>
      <w:bookmarkEnd w:id="345"/>
      <w:bookmarkEnd w:id="346"/>
      <w:bookmarkEnd w:id="347"/>
    </w:p>
    <w:p>
      <w:pPr>
        <w:ind w:firstLine="480" w:firstLineChars="200"/>
        <w:rPr>
          <w:rFonts w:eastAsiaTheme="minorEastAsia"/>
          <w:color w:val="auto"/>
          <w:szCs w:val="24"/>
        </w:rPr>
      </w:pPr>
      <w:bookmarkStart w:id="348" w:name="_Toc440973898"/>
      <w:bookmarkStart w:id="349" w:name="_Toc440973262"/>
      <w:bookmarkStart w:id="350" w:name="_Toc440973632"/>
      <w:r>
        <w:rPr>
          <w:rFonts w:eastAsiaTheme="minorEastAsia"/>
          <w:color w:val="auto"/>
          <w:szCs w:val="24"/>
        </w:rPr>
        <w:t>本项目产生的废水为抑尘废水、生活污水和径流集水。抑尘废水全部蒸发损耗不外排；生活污水排入防渗旱厕，</w:t>
      </w:r>
      <w:r>
        <w:rPr>
          <w:rFonts w:eastAsiaTheme="minorEastAsia"/>
          <w:color w:val="auto"/>
        </w:rPr>
        <w:t>定期清掏外运堆肥处置</w:t>
      </w:r>
      <w:r>
        <w:rPr>
          <w:rFonts w:eastAsiaTheme="minorEastAsia"/>
          <w:color w:val="auto"/>
          <w:szCs w:val="24"/>
        </w:rPr>
        <w:t>，不外排；矿区径流收集沉淀后全部用于采矿加工洒水和道路洒水等用水，不外排；对地表水环境影响较小。</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9.3.4噪声影响分析</w:t>
      </w:r>
    </w:p>
    <w:p>
      <w:pPr>
        <w:ind w:firstLine="360" w:firstLineChars="150"/>
        <w:rPr>
          <w:rFonts w:eastAsiaTheme="minorEastAsia"/>
          <w:color w:val="auto"/>
          <w:sz w:val="21"/>
          <w:szCs w:val="21"/>
        </w:rPr>
      </w:pPr>
      <w:r>
        <w:rPr>
          <w:rFonts w:eastAsiaTheme="minorEastAsia"/>
          <w:bCs/>
          <w:color w:val="auto"/>
          <w:kern w:val="0"/>
        </w:rPr>
        <w:t>本项目厂界处噪声满足《工业企业厂界环境噪声排放标准》（GB12348-2008）2类标准。</w:t>
      </w:r>
      <w:r>
        <w:rPr>
          <w:rFonts w:eastAsiaTheme="minorEastAsia"/>
          <w:color w:val="auto"/>
          <w:szCs w:val="24"/>
        </w:rPr>
        <w:t>通过控制装药量，采取多段微差起爆，定向爆破，控制爆破频次，合理安排爆破时间和爆破的强度，并在爆破前对周边居民进行公示爆破时间告知，尽量减少对敏感目标的影响。</w:t>
      </w:r>
      <w:r>
        <w:rPr>
          <w:rFonts w:eastAsiaTheme="minorEastAsia"/>
          <w:bCs/>
          <w:color w:val="auto"/>
          <w:kern w:val="0"/>
        </w:rPr>
        <w:t>由于爆破噪声属于短时、定时、定点的瞬时噪声，通过矿坑陡坎的反射、树木的吸收，爆破噪声，对敏感目标的影响可以接受。针对运输噪声通过低速行驶，合理安排运输时间、限制鸣笛等措施，可将对运输路线沿途居民的影响降至最低，因此，本项目建设对区域声环境的影响可以被环境所接受。</w:t>
      </w:r>
    </w:p>
    <w:p>
      <w:pPr>
        <w:spacing w:line="480" w:lineRule="exact"/>
        <w:ind w:firstLine="480" w:firstLineChars="200"/>
        <w:rPr>
          <w:rFonts w:eastAsiaTheme="minorEastAsia"/>
          <w:bCs/>
          <w:color w:val="auto"/>
          <w:kern w:val="0"/>
        </w:rPr>
      </w:pPr>
      <w:r>
        <w:rPr>
          <w:rFonts w:eastAsiaTheme="minorEastAsia"/>
          <w:bCs/>
          <w:color w:val="auto"/>
          <w:kern w:val="0"/>
        </w:rPr>
        <w:t>综上所述，本项目在采取本报告所提出的各项噪声治理措施前提下，从声环境角度分析，本项目建设是可行的。</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9.3.5振动影响分析</w:t>
      </w:r>
    </w:p>
    <w:p>
      <w:pPr>
        <w:ind w:firstLine="480" w:firstLineChars="200"/>
        <w:rPr>
          <w:rFonts w:eastAsiaTheme="minorEastAsia"/>
          <w:color w:val="auto"/>
        </w:rPr>
      </w:pPr>
      <w:r>
        <w:rPr>
          <w:rFonts w:eastAsiaTheme="minorEastAsia"/>
          <w:color w:val="auto"/>
        </w:rPr>
        <w:t>本项目属于间歇式爆破振动，最大爆破采取多段微差起爆，且装药量较小。经预测评价，本项目最大安全距离为300m，由于</w:t>
      </w:r>
      <w:r>
        <w:rPr>
          <w:rFonts w:eastAsiaTheme="minorEastAsia"/>
          <w:color w:val="auto"/>
          <w:szCs w:val="24"/>
        </w:rPr>
        <w:t>本项目采矿区中爆破区域距最近村屯</w:t>
      </w:r>
      <w:r>
        <w:rPr>
          <w:rFonts w:hint="eastAsia" w:eastAsiaTheme="minorEastAsia"/>
          <w:color w:val="auto"/>
          <w:lang w:eastAsia="zh-CN"/>
        </w:rPr>
        <w:t>新华村450m</w:t>
      </w:r>
      <w:r>
        <w:rPr>
          <w:rFonts w:eastAsiaTheme="minorEastAsia"/>
          <w:color w:val="auto"/>
        </w:rPr>
        <w:t>，其距离大于最大安全距离，因此爆破对周围村庄建筑物及居民的影响较小。</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9.3.6固体废物影响分析</w:t>
      </w:r>
      <w:bookmarkEnd w:id="348"/>
      <w:bookmarkEnd w:id="349"/>
      <w:bookmarkEnd w:id="350"/>
    </w:p>
    <w:p>
      <w:pPr>
        <w:tabs>
          <w:tab w:val="left" w:pos="2410"/>
        </w:tabs>
        <w:autoSpaceDE w:val="0"/>
        <w:autoSpaceDN w:val="0"/>
        <w:adjustRightInd w:val="0"/>
        <w:spacing w:line="500" w:lineRule="exact"/>
        <w:ind w:firstLine="480" w:firstLineChars="200"/>
        <w:rPr>
          <w:rFonts w:eastAsiaTheme="minorEastAsia"/>
          <w:color w:val="auto"/>
          <w:szCs w:val="24"/>
        </w:rPr>
      </w:pPr>
      <w:r>
        <w:rPr>
          <w:rFonts w:eastAsiaTheme="minorEastAsia"/>
          <w:color w:val="auto"/>
          <w:szCs w:val="24"/>
        </w:rPr>
        <w:t>本项目在运行时产生的固体废物主要是剥离的土岩、炸药包装物（纸壳、塑料等）粉尘和生活垃圾。</w:t>
      </w:r>
      <w:r>
        <w:rPr>
          <w:rFonts w:eastAsiaTheme="minorEastAsia"/>
          <w:color w:val="auto"/>
        </w:rPr>
        <w:t>剥离掉的土岩外售，综合利用；</w:t>
      </w:r>
      <w:r>
        <w:rPr>
          <w:rFonts w:eastAsiaTheme="minorEastAsia"/>
          <w:color w:val="auto"/>
          <w:szCs w:val="24"/>
        </w:rPr>
        <w:t>炸药包装物</w:t>
      </w:r>
      <w:r>
        <w:rPr>
          <w:rFonts w:eastAsiaTheme="minorEastAsia"/>
          <w:color w:val="auto"/>
        </w:rPr>
        <w:t>统一收集，由爆破部门进行回收再利用</w:t>
      </w:r>
      <w:r>
        <w:rPr>
          <w:rFonts w:eastAsiaTheme="minorEastAsia"/>
          <w:color w:val="auto"/>
          <w:szCs w:val="24"/>
        </w:rPr>
        <w:t>；废机油属于危险废物（HW08），应单独收集，用设明显标识的密闭桶盛装，暂存于危废暂存间，交由有资质单位处置。</w:t>
      </w:r>
      <w:r>
        <w:rPr>
          <w:rFonts w:eastAsiaTheme="minorEastAsia"/>
          <w:color w:val="auto"/>
        </w:rPr>
        <w:t>本项目产生的固体废物在落实报告书提出的治理措施的前提下，均得到了妥善的处理，对外环境的影响较小，可被外环境接受</w:t>
      </w:r>
      <w:r>
        <w:rPr>
          <w:rFonts w:eastAsiaTheme="minorEastAsia"/>
          <w:color w:val="auto"/>
          <w:sz w:val="23"/>
          <w:szCs w:val="23"/>
        </w:rPr>
        <w:t>。</w:t>
      </w:r>
    </w:p>
    <w:p>
      <w:pPr>
        <w:pStyle w:val="240"/>
        <w:rPr>
          <w:rFonts w:ascii="Times New Roman" w:hAnsi="Times New Roman" w:cs="Times New Roman" w:eastAsiaTheme="minorEastAsia"/>
          <w:color w:val="auto"/>
        </w:rPr>
      </w:pPr>
      <w:bookmarkStart w:id="351" w:name="_Toc440973900"/>
      <w:bookmarkStart w:id="352" w:name="_Toc440973634"/>
      <w:bookmarkStart w:id="353" w:name="_Toc392154110"/>
      <w:bookmarkStart w:id="354" w:name="_Toc437784019"/>
      <w:r>
        <w:rPr>
          <w:rFonts w:ascii="Times New Roman" w:hAnsi="Times New Roman" w:cs="Times New Roman" w:eastAsiaTheme="minorEastAsia"/>
          <w:color w:val="auto"/>
        </w:rPr>
        <w:t>9.3.7环境风险分析</w:t>
      </w:r>
    </w:p>
    <w:bookmarkEnd w:id="351"/>
    <w:bookmarkEnd w:id="352"/>
    <w:bookmarkEnd w:id="353"/>
    <w:bookmarkEnd w:id="354"/>
    <w:p>
      <w:pPr>
        <w:pStyle w:val="276"/>
        <w:rPr>
          <w:rFonts w:eastAsiaTheme="minorEastAsia"/>
          <w:color w:val="auto"/>
        </w:rPr>
      </w:pPr>
      <w:bookmarkStart w:id="355" w:name="_Toc392154111"/>
      <w:bookmarkStart w:id="356" w:name="_Toc440973635"/>
      <w:bookmarkStart w:id="357" w:name="_Toc440973901"/>
      <w:bookmarkStart w:id="358" w:name="_Toc437784020"/>
      <w:r>
        <w:rPr>
          <w:rFonts w:eastAsiaTheme="minorEastAsia"/>
          <w:color w:val="auto"/>
        </w:rPr>
        <w:t>根据项目的实际情况，通过对项目的危险因素进行识别和分析，可以确定本项目的风险源为岩体坍塌风险、炸药爆炸风险、临时堆土场产生崩塌、滑坡、泥石流等地质灾害风险，废机油泄漏产生的风险等。一旦发生将直接影响周边生态环境和当地人们的生活，因此应坚决杜绝此类事故的发生。运营期应严格按照《爆破安全规程》执行，强化安全管理，制定风险防范措施及风险应急预案。设置合理的护坡或采取支护措施，定期检查，及时处理。设置截水沟、排水沟及挡土墙。雨季定期检查，及时处理，采取防范措施，避免暴雨条件下地质灾害的影响。如果堆土场发生溃坝，应及时通知下游区域群众撤离。项目将采取切实可行的风险事故防范措施，发生风险事故时应立即启动应急预案，在严格落实风险管理及应急措施后，可将风险发生的概率和影响后果降低到最低限度。因此，本项目的环境风险可以接受。</w:t>
      </w:r>
    </w:p>
    <w:p>
      <w:pPr>
        <w:pStyle w:val="238"/>
        <w:rPr>
          <w:rFonts w:hAnsi="Times New Roman" w:eastAsiaTheme="minorEastAsia"/>
          <w:color w:val="auto"/>
        </w:rPr>
      </w:pPr>
      <w:bookmarkStart w:id="359" w:name="_Toc519693601"/>
      <w:r>
        <w:rPr>
          <w:rFonts w:hAnsi="Times New Roman" w:eastAsiaTheme="minorEastAsia"/>
          <w:color w:val="auto"/>
        </w:rPr>
        <w:t>9.4环境保护措施</w:t>
      </w:r>
      <w:bookmarkEnd w:id="359"/>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9.4.1运行期环境保护措施</w:t>
      </w:r>
    </w:p>
    <w:p>
      <w:pPr>
        <w:autoSpaceDE w:val="0"/>
        <w:autoSpaceDN w:val="0"/>
        <w:adjustRightInd w:val="0"/>
        <w:spacing w:line="500" w:lineRule="exact"/>
        <w:ind w:firstLine="480" w:firstLineChars="200"/>
        <w:rPr>
          <w:rFonts w:eastAsiaTheme="minorEastAsia"/>
          <w:color w:val="auto"/>
        </w:rPr>
      </w:pPr>
      <w:r>
        <w:rPr>
          <w:rFonts w:eastAsiaTheme="minorEastAsia"/>
          <w:color w:val="auto"/>
        </w:rPr>
        <w:t>（1）生态保护措施</w:t>
      </w:r>
    </w:p>
    <w:p>
      <w:pPr>
        <w:ind w:firstLine="480" w:firstLineChars="200"/>
        <w:rPr>
          <w:rFonts w:eastAsiaTheme="minorEastAsia"/>
          <w:color w:val="auto"/>
        </w:rPr>
      </w:pPr>
      <w:r>
        <w:rPr>
          <w:rFonts w:eastAsiaTheme="minorEastAsia"/>
          <w:color w:val="auto"/>
        </w:rPr>
        <w:t>本项目露天矿山开采，开采过程严格采取粉尘防治措施，可有效降低粉尘对植物的影响。项目厂区内部进行绿化；采矿境界汇水上方设置截流沟，防止外部地表径流汇入厂区，导致水土流失和泥石流。对已开采的采场边坡进行植草绿化，减少水土流失和防止泥石流灾害发生。临时堆土场</w:t>
      </w:r>
      <w:r>
        <w:rPr>
          <w:rFonts w:hint="eastAsia" w:eastAsiaTheme="minorEastAsia"/>
          <w:color w:val="auto"/>
          <w:lang w:eastAsia="zh-CN"/>
        </w:rPr>
        <w:t>周围</w:t>
      </w:r>
      <w:r>
        <w:rPr>
          <w:rFonts w:eastAsiaTheme="minorEastAsia"/>
          <w:color w:val="auto"/>
        </w:rPr>
        <w:t>设置浆砌石挡墙</w:t>
      </w:r>
      <w:r>
        <w:rPr>
          <w:rFonts w:hint="eastAsia" w:eastAsiaTheme="minorEastAsia"/>
          <w:color w:val="auto"/>
          <w:lang w:eastAsia="zh-CN"/>
        </w:rPr>
        <w:t>和</w:t>
      </w:r>
      <w:r>
        <w:rPr>
          <w:rFonts w:eastAsiaTheme="minorEastAsia"/>
          <w:color w:val="auto"/>
        </w:rPr>
        <w:t>截流沟，设置喷淋洒水装置，定期洒水降尘，及时外售，场内不进行大量堆存。建设单位加强对工作人员的生态环境保护教育，减少对野生动物的干扰，严禁捕杀野生动物。合理安排作业时间，禁止在雨天进行剥离作业，防止水土流失。</w:t>
      </w:r>
    </w:p>
    <w:p>
      <w:pPr>
        <w:ind w:firstLine="480" w:firstLineChars="200"/>
        <w:rPr>
          <w:rFonts w:eastAsiaTheme="minorEastAsia"/>
          <w:color w:val="auto"/>
          <w:kern w:val="0"/>
          <w:szCs w:val="24"/>
        </w:rPr>
      </w:pPr>
      <w:r>
        <w:rPr>
          <w:rFonts w:eastAsiaTheme="minorEastAsia"/>
          <w:color w:val="auto"/>
          <w:kern w:val="0"/>
          <w:szCs w:val="24"/>
        </w:rPr>
        <w:t>（2）环境空气保护措施</w:t>
      </w:r>
    </w:p>
    <w:p>
      <w:pPr>
        <w:ind w:firstLine="480" w:firstLineChars="200"/>
        <w:rPr>
          <w:rFonts w:eastAsiaTheme="minorEastAsia"/>
          <w:color w:val="auto"/>
          <w:szCs w:val="24"/>
        </w:rPr>
      </w:pPr>
      <w:r>
        <w:rPr>
          <w:rFonts w:eastAsiaTheme="minorEastAsia"/>
          <w:color w:val="auto"/>
          <w:kern w:val="0"/>
          <w:szCs w:val="24"/>
        </w:rPr>
        <w:t>本项目露天矿山开采，开采过程严格采取粉尘防治措施，可有效降低粉尘对植物的影响。钻孔及爆破过程可产生粉尘污染，爆破采取多段微差起爆，为深孔松动爆破，爆破采用水封式爆破抑尘措施，抑尘效率80%；爆破前的凿岩作业产生粉尘，通过洒水加湿处理，采用临时水管洒水抑尘，可使粉尘排放量降低60%，粉尘排放量较少；项目矿石在集堆、铲装会产生一定量粉尘，通过移动式洒水抑尘装置，通过洒水抑尘可使粉尘排放量降低80%；2台破碎机</w:t>
      </w:r>
      <w:r>
        <w:rPr>
          <w:rFonts w:hint="eastAsia" w:eastAsiaTheme="minorEastAsia"/>
          <w:color w:val="auto"/>
          <w:kern w:val="0"/>
          <w:szCs w:val="24"/>
          <w:lang w:eastAsia="zh-CN"/>
        </w:rPr>
        <w:t>和振动筛各自</w:t>
      </w:r>
      <w:r>
        <w:rPr>
          <w:rFonts w:eastAsiaTheme="minorEastAsia"/>
          <w:color w:val="auto"/>
          <w:kern w:val="0"/>
          <w:szCs w:val="24"/>
        </w:rPr>
        <w:t>配备1台除尘器经15m高排气筒排放，废气经布袋除尘器处理后经15m高排气筒排放；石粉仓密闭；临时堆土场及产品堆场采用喷淋洒水装置喷雾洒水保持湿润，工作面定期清理，定期用洒水车对采场路面洒水，运输道路通过村庄的路段在车辆通过时洒水，保持路面湿润，控制行驶速度，并且加盖苫布，减少汽车运输过程中的扬尘；</w:t>
      </w:r>
      <w:r>
        <w:rPr>
          <w:rFonts w:hint="eastAsia" w:eastAsiaTheme="minorEastAsia"/>
          <w:color w:val="auto"/>
          <w:kern w:val="0"/>
          <w:szCs w:val="24"/>
          <w:lang w:eastAsia="zh-CN"/>
        </w:rPr>
        <w:t>临时堆土场</w:t>
      </w:r>
      <w:r>
        <w:rPr>
          <w:rFonts w:eastAsiaTheme="minorEastAsia"/>
          <w:color w:val="auto"/>
          <w:kern w:val="0"/>
          <w:szCs w:val="24"/>
        </w:rPr>
        <w:t>植草绿化，可有效降低90%的扬尘；破碎筛分生产线采取将破碎机及振动筛设备四周设置彩钢板使其封闭，留有检修及维护仓门，入料口</w:t>
      </w:r>
      <w:r>
        <w:rPr>
          <w:rFonts w:hint="eastAsia" w:eastAsiaTheme="minorEastAsia"/>
          <w:color w:val="auto"/>
          <w:kern w:val="0"/>
          <w:szCs w:val="24"/>
          <w:lang w:eastAsia="zh-CN"/>
        </w:rPr>
        <w:t>位于封闭仓内</w:t>
      </w:r>
      <w:r>
        <w:rPr>
          <w:rFonts w:eastAsiaTheme="minorEastAsia"/>
          <w:color w:val="auto"/>
          <w:kern w:val="0"/>
          <w:szCs w:val="24"/>
        </w:rPr>
        <w:t>，石料从破碎机送至振动筛过程采用全封闭皮带式廊道运输，减少粉尘排放。</w:t>
      </w:r>
      <w:r>
        <w:rPr>
          <w:rFonts w:eastAsiaTheme="minorEastAsia"/>
          <w:color w:val="auto"/>
          <w:szCs w:val="24"/>
        </w:rPr>
        <w:t>通过以上措施，粉尘得到有效控制，措施可行。</w:t>
      </w:r>
    </w:p>
    <w:p>
      <w:pPr>
        <w:ind w:firstLine="480" w:firstLineChars="200"/>
        <w:rPr>
          <w:rFonts w:eastAsiaTheme="minorEastAsia"/>
          <w:color w:val="auto"/>
          <w:szCs w:val="24"/>
        </w:rPr>
      </w:pPr>
      <w:r>
        <w:rPr>
          <w:rFonts w:eastAsiaTheme="minorEastAsia"/>
          <w:color w:val="auto"/>
          <w:szCs w:val="24"/>
        </w:rPr>
        <w:t>（3）水环境保护措施</w:t>
      </w:r>
    </w:p>
    <w:p>
      <w:pPr>
        <w:ind w:firstLine="480" w:firstLineChars="200"/>
        <w:rPr>
          <w:rFonts w:eastAsiaTheme="minorEastAsia"/>
          <w:color w:val="auto"/>
        </w:rPr>
      </w:pPr>
      <w:r>
        <w:rPr>
          <w:rFonts w:eastAsiaTheme="minorEastAsia"/>
          <w:color w:val="auto"/>
        </w:rPr>
        <w:t>本项目产生的废水为抑尘废水和生活污水。抑尘废水蒸发消耗掉；生活污水经防渗旱厕收集，定期清掏，外运堆肥，不外排。所以不会对地表水环境产生影响。</w:t>
      </w:r>
    </w:p>
    <w:p>
      <w:pPr>
        <w:ind w:firstLine="480" w:firstLineChars="200"/>
        <w:rPr>
          <w:rFonts w:eastAsiaTheme="minorEastAsia"/>
          <w:color w:val="auto"/>
          <w:szCs w:val="24"/>
        </w:rPr>
      </w:pPr>
      <w:r>
        <w:rPr>
          <w:rFonts w:eastAsiaTheme="minorEastAsia"/>
          <w:color w:val="auto"/>
          <w:szCs w:val="24"/>
        </w:rPr>
        <w:t>（4）噪声防治措施</w:t>
      </w:r>
    </w:p>
    <w:p>
      <w:pPr>
        <w:ind w:firstLine="480" w:firstLineChars="200"/>
        <w:rPr>
          <w:rFonts w:eastAsiaTheme="minorEastAsia"/>
          <w:color w:val="auto"/>
          <w:szCs w:val="24"/>
        </w:rPr>
      </w:pPr>
      <w:r>
        <w:rPr>
          <w:rFonts w:eastAsiaTheme="minorEastAsia"/>
          <w:color w:val="auto"/>
        </w:rPr>
        <w:t>本项目主要噪声源是爆破、潜孔钻机、空压机、挖掘机、装载机、</w:t>
      </w:r>
      <w:r>
        <w:rPr>
          <w:rFonts w:hint="eastAsia" w:eastAsiaTheme="minorEastAsia"/>
          <w:color w:val="auto"/>
          <w:lang w:eastAsia="zh-CN"/>
        </w:rPr>
        <w:t>自卸汽车</w:t>
      </w:r>
      <w:r>
        <w:rPr>
          <w:rFonts w:eastAsiaTheme="minorEastAsia"/>
          <w:color w:val="auto"/>
        </w:rPr>
        <w:t>等设备噪声以及运输车辆行驶噪声。其噪声防治对策主要考虑从规划上进行合理布局、声源上降低噪声和从噪声传播途径上降低噪声</w:t>
      </w:r>
      <w:r>
        <w:rPr>
          <w:rFonts w:eastAsiaTheme="minorEastAsia"/>
          <w:color w:val="auto"/>
          <w:szCs w:val="24"/>
        </w:rPr>
        <w:t>。</w:t>
      </w:r>
    </w:p>
    <w:p>
      <w:pPr>
        <w:ind w:firstLine="480" w:firstLineChars="200"/>
        <w:rPr>
          <w:rFonts w:eastAsiaTheme="minorEastAsia"/>
          <w:color w:val="auto"/>
        </w:rPr>
      </w:pPr>
      <w:r>
        <w:rPr>
          <w:rFonts w:eastAsiaTheme="minorEastAsia"/>
          <w:color w:val="auto"/>
        </w:rPr>
        <w:t>（5）爆破振动防治措施</w:t>
      </w:r>
    </w:p>
    <w:p>
      <w:pPr>
        <w:ind w:firstLine="480" w:firstLineChars="200"/>
        <w:rPr>
          <w:rFonts w:eastAsiaTheme="minorEastAsia"/>
          <w:color w:val="auto"/>
          <w:szCs w:val="24"/>
        </w:rPr>
      </w:pPr>
      <w:r>
        <w:rPr>
          <w:rFonts w:eastAsiaTheme="minorEastAsia"/>
          <w:color w:val="auto"/>
        </w:rPr>
        <w:t>采石爆破工序，可以产生地面振动，振动的强弱受装药量影响，可以通过对装药量的控制，保证附近建筑物不遭破坏。</w:t>
      </w:r>
    </w:p>
    <w:p>
      <w:pPr>
        <w:autoSpaceDE w:val="0"/>
        <w:autoSpaceDN w:val="0"/>
        <w:adjustRightInd w:val="0"/>
        <w:spacing w:line="500" w:lineRule="exact"/>
        <w:ind w:firstLine="480" w:firstLineChars="200"/>
        <w:rPr>
          <w:rFonts w:eastAsiaTheme="minorEastAsia"/>
          <w:color w:val="auto"/>
        </w:rPr>
      </w:pPr>
      <w:r>
        <w:rPr>
          <w:rFonts w:eastAsiaTheme="minorEastAsia"/>
          <w:color w:val="auto"/>
        </w:rPr>
        <w:t>（6）固体废物防治措施</w:t>
      </w:r>
    </w:p>
    <w:p>
      <w:pPr>
        <w:autoSpaceDE w:val="0"/>
        <w:autoSpaceDN w:val="0"/>
        <w:adjustRightInd w:val="0"/>
        <w:spacing w:line="500" w:lineRule="exact"/>
        <w:ind w:firstLine="480" w:firstLineChars="200"/>
        <w:rPr>
          <w:rFonts w:eastAsiaTheme="minorEastAsia"/>
          <w:color w:val="auto"/>
        </w:rPr>
      </w:pPr>
      <w:r>
        <w:rPr>
          <w:rFonts w:eastAsiaTheme="minorEastAsia"/>
          <w:color w:val="auto"/>
        </w:rPr>
        <w:t>剥离掉的土岩暂存在临时堆土场，定期外售，综合利用；炸药包装物（纸壳、塑料等）暂存在一般固废收集箱，由爆破部门进行回收再利用；生活垃圾一起交由市政环卫部门统一处置。机械设备定期更换废机油属于危险废物（HW08），应单独收集，用设明显标识的密闭桶盛装，暂存于危废暂存间，交由有资质单位进行处置。</w:t>
      </w:r>
    </w:p>
    <w:p>
      <w:pPr>
        <w:pStyle w:val="240"/>
        <w:rPr>
          <w:rFonts w:ascii="Times New Roman" w:hAnsi="Times New Roman" w:cs="Times New Roman" w:eastAsiaTheme="minorEastAsia"/>
          <w:color w:val="auto"/>
        </w:rPr>
      </w:pPr>
      <w:r>
        <w:rPr>
          <w:rFonts w:ascii="Times New Roman" w:hAnsi="Times New Roman" w:cs="Times New Roman" w:eastAsiaTheme="minorEastAsia"/>
          <w:color w:val="auto"/>
        </w:rPr>
        <w:t>9.4.2服务期满环境保护措施</w:t>
      </w:r>
    </w:p>
    <w:p>
      <w:pPr>
        <w:ind w:firstLine="480" w:firstLineChars="200"/>
        <w:rPr>
          <w:rFonts w:eastAsiaTheme="minorEastAsia"/>
          <w:color w:val="auto"/>
        </w:rPr>
      </w:pPr>
      <w:r>
        <w:rPr>
          <w:rFonts w:eastAsiaTheme="minorEastAsia"/>
          <w:color w:val="auto"/>
        </w:rPr>
        <w:t>项目服务期满后，采矿活动形成的裸露地表，如果采取措施不当或未采取防护措施，容易造成滑坡、水土流失等自然灾害。因此，矿山闭矿时，企业应对采矿造成的环境问题进行处理，以保护生态环境。对场地进行清理</w:t>
      </w:r>
      <w:r>
        <w:rPr>
          <w:rFonts w:hint="eastAsia" w:eastAsiaTheme="minorEastAsia"/>
          <w:color w:val="auto"/>
          <w:lang w:eastAsia="zh-CN"/>
        </w:rPr>
        <w:t>、</w:t>
      </w:r>
      <w:r>
        <w:rPr>
          <w:rFonts w:eastAsiaTheme="minorEastAsia"/>
          <w:color w:val="auto"/>
        </w:rPr>
        <w:t>矿区生态恢复，平整场地，种植当地常见林木，恢复林地。</w:t>
      </w:r>
    </w:p>
    <w:p>
      <w:pPr>
        <w:pStyle w:val="238"/>
        <w:rPr>
          <w:rFonts w:hAnsi="Times New Roman" w:eastAsiaTheme="minorEastAsia"/>
          <w:color w:val="auto"/>
        </w:rPr>
      </w:pPr>
      <w:bookmarkStart w:id="360" w:name="_Toc519693602"/>
      <w:r>
        <w:rPr>
          <w:rFonts w:hAnsi="Times New Roman" w:eastAsiaTheme="minorEastAsia"/>
          <w:color w:val="auto"/>
        </w:rPr>
        <w:t>9.5环境影响经济损益分析</w:t>
      </w:r>
      <w:bookmarkEnd w:id="355"/>
      <w:bookmarkEnd w:id="356"/>
      <w:bookmarkEnd w:id="357"/>
      <w:bookmarkEnd w:id="358"/>
      <w:bookmarkEnd w:id="360"/>
    </w:p>
    <w:p>
      <w:pPr>
        <w:spacing w:line="480" w:lineRule="exact"/>
        <w:ind w:firstLine="480" w:firstLineChars="200"/>
        <w:rPr>
          <w:rFonts w:eastAsiaTheme="minorEastAsia"/>
          <w:color w:val="auto"/>
          <w:szCs w:val="24"/>
        </w:rPr>
      </w:pPr>
      <w:r>
        <w:rPr>
          <w:rFonts w:eastAsiaTheme="minorEastAsia"/>
          <w:color w:val="auto"/>
          <w:szCs w:val="24"/>
        </w:rPr>
        <w:t>在落实本评价所提出各项污染防治措施的前提下，本项目的建设能够达到经济效益、社会效益和环境效益相统一的要求，既为地方经济发展做出贡献，又通过环保投资减少了污染物排放量，使污染物排放量在环境容量容许的范围内。本项目的建设满足可持续发展的要求，项目建设是可行的。</w:t>
      </w:r>
    </w:p>
    <w:p>
      <w:pPr>
        <w:pStyle w:val="238"/>
        <w:rPr>
          <w:rFonts w:hAnsi="Times New Roman" w:eastAsiaTheme="minorEastAsia"/>
          <w:color w:val="auto"/>
        </w:rPr>
      </w:pPr>
      <w:bookmarkStart w:id="361" w:name="_Toc392154112"/>
      <w:bookmarkStart w:id="362" w:name="_Toc440973902"/>
      <w:bookmarkStart w:id="363" w:name="_Toc437784021"/>
      <w:bookmarkStart w:id="364" w:name="_Toc440973636"/>
      <w:bookmarkStart w:id="365" w:name="_Toc519693603"/>
      <w:r>
        <w:rPr>
          <w:rFonts w:hAnsi="Times New Roman" w:eastAsiaTheme="minorEastAsia"/>
          <w:color w:val="auto"/>
        </w:rPr>
        <w:t>9.6</w:t>
      </w:r>
      <w:bookmarkEnd w:id="361"/>
      <w:bookmarkEnd w:id="362"/>
      <w:bookmarkEnd w:id="363"/>
      <w:bookmarkEnd w:id="364"/>
      <w:r>
        <w:rPr>
          <w:rFonts w:hAnsi="Times New Roman" w:eastAsiaTheme="minorEastAsia"/>
          <w:color w:val="auto"/>
        </w:rPr>
        <w:t>公众意见采纳情况</w:t>
      </w:r>
      <w:bookmarkEnd w:id="365"/>
    </w:p>
    <w:p>
      <w:pPr>
        <w:spacing w:line="480" w:lineRule="exact"/>
        <w:ind w:firstLine="482"/>
        <w:rPr>
          <w:rFonts w:eastAsiaTheme="minorEastAsia"/>
          <w:color w:val="auto"/>
          <w:szCs w:val="24"/>
        </w:rPr>
      </w:pPr>
      <w:r>
        <w:rPr>
          <w:rFonts w:eastAsiaTheme="minorEastAsia"/>
          <w:color w:val="auto"/>
          <w:szCs w:val="24"/>
        </w:rPr>
        <w:t>在本报告书编制过程中，建设单位</w:t>
      </w:r>
      <w:r>
        <w:rPr>
          <w:rFonts w:hint="eastAsia" w:eastAsiaTheme="minorEastAsia"/>
          <w:color w:val="auto"/>
          <w:szCs w:val="24"/>
          <w:lang w:eastAsia="zh-CN"/>
        </w:rPr>
        <w:t>佳木斯市郊区佳华石料厂</w:t>
      </w:r>
      <w:r>
        <w:rPr>
          <w:rFonts w:eastAsiaTheme="minorEastAsia"/>
          <w:color w:val="auto"/>
          <w:szCs w:val="24"/>
        </w:rPr>
        <w:t>按照《环境影响评价公众参与暂行办法》（环发〔2006〕28号）的有关规定开展了公众参与工作</w:t>
      </w:r>
      <w:r>
        <w:rPr>
          <w:rFonts w:hint="eastAsia" w:eastAsiaTheme="minorEastAsia"/>
          <w:color w:val="auto"/>
          <w:szCs w:val="24"/>
          <w:lang w:eastAsia="zh-CN"/>
        </w:rPr>
        <w:t>，</w:t>
      </w:r>
      <w:r>
        <w:rPr>
          <w:rFonts w:eastAsiaTheme="minorEastAsia"/>
          <w:color w:val="auto"/>
          <w:szCs w:val="24"/>
        </w:rPr>
        <w:t>针对公众最关心的本项目大气、噪声、生态的影响，建设单位均予以采纳，承诺建设和运营期</w:t>
      </w:r>
      <w:r>
        <w:rPr>
          <w:rFonts w:eastAsiaTheme="minorEastAsia"/>
          <w:snapToGrid w:val="0"/>
          <w:color w:val="auto"/>
          <w:kern w:val="0"/>
        </w:rPr>
        <w:t>认真落实环评报告中的各项措施，使用洒水车对采区、废石场、运输道路进行洒水降尘，采用低噪声设备进行建设、生产，生产废水处理后回用，不外排，制定水土流失防治方案和矿山地质环境保护与治理恢复方案，加大项目环保信息公开力度，避免项目运行后对当地的环境空气、地表水、噪声及生态环境产生较大的环境影响。</w:t>
      </w:r>
      <w:r>
        <w:rPr>
          <w:rFonts w:eastAsiaTheme="minorEastAsia"/>
          <w:color w:val="auto"/>
          <w:szCs w:val="24"/>
        </w:rPr>
        <w:t>调查对象全部认为该项目中拟采取的环保措施对污染防治有效，此外，公众认为本项目的建设有利于当地经济发展，对本项目的建设表示同意。从公众参与角度看，本项目建设是可行的。</w:t>
      </w:r>
    </w:p>
    <w:p>
      <w:pPr>
        <w:pStyle w:val="238"/>
        <w:rPr>
          <w:rFonts w:hAnsi="Times New Roman" w:eastAsiaTheme="minorEastAsia"/>
          <w:color w:val="auto"/>
        </w:rPr>
      </w:pPr>
      <w:bookmarkStart w:id="366" w:name="_Toc519693604"/>
      <w:bookmarkStart w:id="367" w:name="_Toc437784023"/>
      <w:bookmarkStart w:id="368" w:name="_Toc440973904"/>
      <w:bookmarkStart w:id="369" w:name="_Toc440973638"/>
      <w:bookmarkStart w:id="370" w:name="_Toc392154114"/>
      <w:r>
        <w:rPr>
          <w:rFonts w:hAnsi="Times New Roman" w:eastAsiaTheme="minorEastAsia"/>
          <w:color w:val="auto"/>
        </w:rPr>
        <w:t>9.7环境影响评价综合结论</w:t>
      </w:r>
      <w:bookmarkEnd w:id="366"/>
      <w:bookmarkEnd w:id="367"/>
      <w:bookmarkEnd w:id="368"/>
      <w:bookmarkEnd w:id="369"/>
      <w:bookmarkEnd w:id="370"/>
    </w:p>
    <w:p>
      <w:pPr>
        <w:spacing w:line="480" w:lineRule="exact"/>
        <w:ind w:firstLine="480" w:firstLineChars="200"/>
        <w:rPr>
          <w:rFonts w:eastAsiaTheme="minorEastAsia"/>
          <w:color w:val="auto"/>
          <w:szCs w:val="24"/>
        </w:rPr>
      </w:pPr>
      <w:r>
        <w:rPr>
          <w:rFonts w:eastAsiaTheme="minorEastAsia"/>
          <w:color w:val="auto"/>
          <w:szCs w:val="24"/>
        </w:rPr>
        <w:t>综上所述，本项目符合国家产业政策，符合地区发展规划的要求，项目距离敏感区相对较远，不在生态红线范围内。本项目通过对环境空气、声环境、水环境、固体废物及振动等各项环境因素有效的防治，各类污染物可达标排放，其影响能够被现有环境所接受。建设单位对项目进行公示期间，无任何人向评价单位进行咨询或提出任何问题。从环境角度分析，本项目的建设是可行的。</w:t>
      </w:r>
      <w:bookmarkStart w:id="371" w:name="_GoBack"/>
      <w:bookmarkEnd w:id="371"/>
    </w:p>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MingLiU">
    <w:panose1 w:val="02020509000000000000"/>
    <w:charset w:val="88"/>
    <w:family w:val="modern"/>
    <w:pitch w:val="default"/>
    <w:sig w:usb0="A00002FF" w:usb1="28CFFCFA" w:usb2="00000016" w:usb3="00000000" w:csb0="00100001" w:csb1="00000000"/>
  </w:font>
  <w:font w:name="幼圆">
    <w:panose1 w:val="02010509060101010101"/>
    <w:charset w:val="86"/>
    <w:family w:val="modern"/>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FPEF">
    <w:altName w:val="Times New Roman"/>
    <w:panose1 w:val="00000000000000000000"/>
    <w:charset w:val="00"/>
    <w:family w:val="roman"/>
    <w:pitch w:val="default"/>
    <w:sig w:usb0="00000000" w:usb1="00000000" w:usb2="00000000" w:usb3="00000000" w:csb0="00040001"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rPr>
        <w:b/>
      </w:rPr>
    </w:pPr>
    <w:r>
      <w:rPr>
        <w:b/>
      </w:rPr>
      <w:fldChar w:fldCharType="begin"/>
    </w:r>
    <w:r>
      <w:rPr>
        <w:b/>
      </w:rPr>
      <w:instrText xml:space="preserve">PAGE   \* MERGEFORMAT</w:instrText>
    </w:r>
    <w:r>
      <w:rPr>
        <w:b/>
      </w:rPr>
      <w:fldChar w:fldCharType="separate"/>
    </w:r>
    <w:r>
      <w:rPr>
        <w:b/>
      </w:rPr>
      <w:t>2</w:t>
    </w:r>
    <w:r>
      <w:rPr>
        <w:b/>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4"/>
      <w:rPr>
        <w:rFonts w:hint="eastAsia" w:eastAsia="黑体"/>
        <w:lang w:eastAsia="zh-CN"/>
      </w:rPr>
    </w:pPr>
    <w:r>
      <w:rPr>
        <w:rFonts w:hint="eastAsia"/>
        <w:lang w:eastAsia="zh-CN"/>
      </w:rPr>
      <w:t>佳木斯市郊区新华采石场学刚分厂建设项目</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F5C8297"/>
    <w:multiLevelType w:val="singleLevel"/>
    <w:tmpl w:val="9F5C8297"/>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015"/>
    <w:rsid w:val="000005B0"/>
    <w:rsid w:val="000006AB"/>
    <w:rsid w:val="00000A02"/>
    <w:rsid w:val="0000137B"/>
    <w:rsid w:val="0000148D"/>
    <w:rsid w:val="00004413"/>
    <w:rsid w:val="00004D07"/>
    <w:rsid w:val="00004DE9"/>
    <w:rsid w:val="00005F42"/>
    <w:rsid w:val="00006228"/>
    <w:rsid w:val="00006C33"/>
    <w:rsid w:val="000072B4"/>
    <w:rsid w:val="00010602"/>
    <w:rsid w:val="00011463"/>
    <w:rsid w:val="00011568"/>
    <w:rsid w:val="00012012"/>
    <w:rsid w:val="00012101"/>
    <w:rsid w:val="00012702"/>
    <w:rsid w:val="00012D1F"/>
    <w:rsid w:val="00013758"/>
    <w:rsid w:val="000138A9"/>
    <w:rsid w:val="00013F28"/>
    <w:rsid w:val="000142E7"/>
    <w:rsid w:val="000146B4"/>
    <w:rsid w:val="00015B3A"/>
    <w:rsid w:val="00015F4B"/>
    <w:rsid w:val="000160B3"/>
    <w:rsid w:val="000165B5"/>
    <w:rsid w:val="0001661A"/>
    <w:rsid w:val="0001673C"/>
    <w:rsid w:val="00016B57"/>
    <w:rsid w:val="00016E88"/>
    <w:rsid w:val="000171C2"/>
    <w:rsid w:val="00017809"/>
    <w:rsid w:val="00017C5E"/>
    <w:rsid w:val="000200C0"/>
    <w:rsid w:val="0002031F"/>
    <w:rsid w:val="0002070C"/>
    <w:rsid w:val="00020719"/>
    <w:rsid w:val="00020C47"/>
    <w:rsid w:val="00020D31"/>
    <w:rsid w:val="00020E66"/>
    <w:rsid w:val="000226E4"/>
    <w:rsid w:val="0002279C"/>
    <w:rsid w:val="00022A3F"/>
    <w:rsid w:val="00022F4D"/>
    <w:rsid w:val="000237FA"/>
    <w:rsid w:val="00023DD8"/>
    <w:rsid w:val="000253B6"/>
    <w:rsid w:val="000257AE"/>
    <w:rsid w:val="00026132"/>
    <w:rsid w:val="00026270"/>
    <w:rsid w:val="00026540"/>
    <w:rsid w:val="00026699"/>
    <w:rsid w:val="00026B98"/>
    <w:rsid w:val="00027446"/>
    <w:rsid w:val="00027A73"/>
    <w:rsid w:val="00030544"/>
    <w:rsid w:val="0003076B"/>
    <w:rsid w:val="00030CAE"/>
    <w:rsid w:val="00030DE9"/>
    <w:rsid w:val="000316E8"/>
    <w:rsid w:val="000318B3"/>
    <w:rsid w:val="00031B0E"/>
    <w:rsid w:val="00031B80"/>
    <w:rsid w:val="000320CE"/>
    <w:rsid w:val="000328E6"/>
    <w:rsid w:val="00033754"/>
    <w:rsid w:val="00034E4E"/>
    <w:rsid w:val="00035154"/>
    <w:rsid w:val="00035A72"/>
    <w:rsid w:val="0003635E"/>
    <w:rsid w:val="00036505"/>
    <w:rsid w:val="00037208"/>
    <w:rsid w:val="0003752B"/>
    <w:rsid w:val="00037647"/>
    <w:rsid w:val="0003772E"/>
    <w:rsid w:val="00037DA9"/>
    <w:rsid w:val="00037DE5"/>
    <w:rsid w:val="0004043E"/>
    <w:rsid w:val="000404B0"/>
    <w:rsid w:val="00040912"/>
    <w:rsid w:val="00040EA8"/>
    <w:rsid w:val="0004122B"/>
    <w:rsid w:val="000416A7"/>
    <w:rsid w:val="0004297F"/>
    <w:rsid w:val="000439F2"/>
    <w:rsid w:val="00044095"/>
    <w:rsid w:val="000442DE"/>
    <w:rsid w:val="000449A9"/>
    <w:rsid w:val="000450D5"/>
    <w:rsid w:val="000457E5"/>
    <w:rsid w:val="00045863"/>
    <w:rsid w:val="00045F43"/>
    <w:rsid w:val="00045F8C"/>
    <w:rsid w:val="00046464"/>
    <w:rsid w:val="00046F56"/>
    <w:rsid w:val="000471CF"/>
    <w:rsid w:val="0004753F"/>
    <w:rsid w:val="00050580"/>
    <w:rsid w:val="00050F7C"/>
    <w:rsid w:val="00051A51"/>
    <w:rsid w:val="00051D4C"/>
    <w:rsid w:val="000529CD"/>
    <w:rsid w:val="00052EA3"/>
    <w:rsid w:val="00052EEE"/>
    <w:rsid w:val="000533BF"/>
    <w:rsid w:val="0005396C"/>
    <w:rsid w:val="00053F1B"/>
    <w:rsid w:val="000552AF"/>
    <w:rsid w:val="00055923"/>
    <w:rsid w:val="00055A57"/>
    <w:rsid w:val="0005615B"/>
    <w:rsid w:val="00057183"/>
    <w:rsid w:val="00057467"/>
    <w:rsid w:val="000602C9"/>
    <w:rsid w:val="00060D3E"/>
    <w:rsid w:val="0006261F"/>
    <w:rsid w:val="00062799"/>
    <w:rsid w:val="000629B3"/>
    <w:rsid w:val="00063131"/>
    <w:rsid w:val="00064226"/>
    <w:rsid w:val="0006555E"/>
    <w:rsid w:val="00066097"/>
    <w:rsid w:val="00066484"/>
    <w:rsid w:val="000664DA"/>
    <w:rsid w:val="00066E22"/>
    <w:rsid w:val="00067240"/>
    <w:rsid w:val="00067501"/>
    <w:rsid w:val="000675A5"/>
    <w:rsid w:val="0006777B"/>
    <w:rsid w:val="00070080"/>
    <w:rsid w:val="0007046B"/>
    <w:rsid w:val="00070814"/>
    <w:rsid w:val="00070C87"/>
    <w:rsid w:val="00070E0B"/>
    <w:rsid w:val="0007109C"/>
    <w:rsid w:val="00072762"/>
    <w:rsid w:val="00072DA4"/>
    <w:rsid w:val="00073650"/>
    <w:rsid w:val="000736B6"/>
    <w:rsid w:val="00073706"/>
    <w:rsid w:val="00073C3D"/>
    <w:rsid w:val="00074149"/>
    <w:rsid w:val="0007450D"/>
    <w:rsid w:val="00074736"/>
    <w:rsid w:val="00074A50"/>
    <w:rsid w:val="00074B50"/>
    <w:rsid w:val="00074D15"/>
    <w:rsid w:val="0007552E"/>
    <w:rsid w:val="00075669"/>
    <w:rsid w:val="00075C58"/>
    <w:rsid w:val="00075F9B"/>
    <w:rsid w:val="00076500"/>
    <w:rsid w:val="00076B47"/>
    <w:rsid w:val="0007703E"/>
    <w:rsid w:val="0007766D"/>
    <w:rsid w:val="00080D36"/>
    <w:rsid w:val="00081035"/>
    <w:rsid w:val="000811A4"/>
    <w:rsid w:val="000811B4"/>
    <w:rsid w:val="00081370"/>
    <w:rsid w:val="00081E2D"/>
    <w:rsid w:val="00082DD7"/>
    <w:rsid w:val="0008304D"/>
    <w:rsid w:val="00083659"/>
    <w:rsid w:val="00083743"/>
    <w:rsid w:val="000837AF"/>
    <w:rsid w:val="000837B1"/>
    <w:rsid w:val="00083AEB"/>
    <w:rsid w:val="00084176"/>
    <w:rsid w:val="000845D9"/>
    <w:rsid w:val="00084D0D"/>
    <w:rsid w:val="00085A62"/>
    <w:rsid w:val="000866A8"/>
    <w:rsid w:val="00086A52"/>
    <w:rsid w:val="00086D7E"/>
    <w:rsid w:val="00087184"/>
    <w:rsid w:val="000874ED"/>
    <w:rsid w:val="00087D1B"/>
    <w:rsid w:val="0009087F"/>
    <w:rsid w:val="00090E25"/>
    <w:rsid w:val="00090EED"/>
    <w:rsid w:val="000910D9"/>
    <w:rsid w:val="000920F4"/>
    <w:rsid w:val="00092535"/>
    <w:rsid w:val="00092E5D"/>
    <w:rsid w:val="000943C2"/>
    <w:rsid w:val="0009477C"/>
    <w:rsid w:val="00094C02"/>
    <w:rsid w:val="00095432"/>
    <w:rsid w:val="000956BB"/>
    <w:rsid w:val="00095805"/>
    <w:rsid w:val="00095C7F"/>
    <w:rsid w:val="00095D0C"/>
    <w:rsid w:val="00095D95"/>
    <w:rsid w:val="0009733D"/>
    <w:rsid w:val="0009775F"/>
    <w:rsid w:val="00097898"/>
    <w:rsid w:val="000A18A1"/>
    <w:rsid w:val="000A1A32"/>
    <w:rsid w:val="000A2A0D"/>
    <w:rsid w:val="000A3986"/>
    <w:rsid w:val="000A447E"/>
    <w:rsid w:val="000A452A"/>
    <w:rsid w:val="000A45BA"/>
    <w:rsid w:val="000A48B6"/>
    <w:rsid w:val="000A52B3"/>
    <w:rsid w:val="000A6B09"/>
    <w:rsid w:val="000A7909"/>
    <w:rsid w:val="000A7A4E"/>
    <w:rsid w:val="000A7BD1"/>
    <w:rsid w:val="000A7C2E"/>
    <w:rsid w:val="000B0180"/>
    <w:rsid w:val="000B0449"/>
    <w:rsid w:val="000B0488"/>
    <w:rsid w:val="000B12F4"/>
    <w:rsid w:val="000B13AF"/>
    <w:rsid w:val="000B140F"/>
    <w:rsid w:val="000B16D9"/>
    <w:rsid w:val="000B1E79"/>
    <w:rsid w:val="000B1F88"/>
    <w:rsid w:val="000B246B"/>
    <w:rsid w:val="000B259C"/>
    <w:rsid w:val="000B2930"/>
    <w:rsid w:val="000B2AC6"/>
    <w:rsid w:val="000B31D1"/>
    <w:rsid w:val="000B465C"/>
    <w:rsid w:val="000B46FD"/>
    <w:rsid w:val="000B4AFA"/>
    <w:rsid w:val="000B4C0C"/>
    <w:rsid w:val="000B4E1F"/>
    <w:rsid w:val="000B54DC"/>
    <w:rsid w:val="000B5EDD"/>
    <w:rsid w:val="000B5F7D"/>
    <w:rsid w:val="000B61DE"/>
    <w:rsid w:val="000B6595"/>
    <w:rsid w:val="000B6868"/>
    <w:rsid w:val="000B6FE0"/>
    <w:rsid w:val="000B76DE"/>
    <w:rsid w:val="000B78A7"/>
    <w:rsid w:val="000B79F6"/>
    <w:rsid w:val="000B7B55"/>
    <w:rsid w:val="000B7DFB"/>
    <w:rsid w:val="000B7EDA"/>
    <w:rsid w:val="000C00EF"/>
    <w:rsid w:val="000C04DC"/>
    <w:rsid w:val="000C0DDD"/>
    <w:rsid w:val="000C0FEB"/>
    <w:rsid w:val="000C1855"/>
    <w:rsid w:val="000C2AA8"/>
    <w:rsid w:val="000C2F5F"/>
    <w:rsid w:val="000C3398"/>
    <w:rsid w:val="000C3CBC"/>
    <w:rsid w:val="000C4A65"/>
    <w:rsid w:val="000C4EAB"/>
    <w:rsid w:val="000C5842"/>
    <w:rsid w:val="000C66CE"/>
    <w:rsid w:val="000C678D"/>
    <w:rsid w:val="000C6FF9"/>
    <w:rsid w:val="000C74B3"/>
    <w:rsid w:val="000C7906"/>
    <w:rsid w:val="000C7968"/>
    <w:rsid w:val="000D0787"/>
    <w:rsid w:val="000D0DB1"/>
    <w:rsid w:val="000D1401"/>
    <w:rsid w:val="000D2131"/>
    <w:rsid w:val="000D2586"/>
    <w:rsid w:val="000D28FA"/>
    <w:rsid w:val="000D3594"/>
    <w:rsid w:val="000D4E31"/>
    <w:rsid w:val="000D59C0"/>
    <w:rsid w:val="000D5A49"/>
    <w:rsid w:val="000D6B74"/>
    <w:rsid w:val="000D724D"/>
    <w:rsid w:val="000D7A21"/>
    <w:rsid w:val="000D7FB1"/>
    <w:rsid w:val="000E0045"/>
    <w:rsid w:val="000E08B7"/>
    <w:rsid w:val="000E21AF"/>
    <w:rsid w:val="000E249F"/>
    <w:rsid w:val="000E24CE"/>
    <w:rsid w:val="000E2AC8"/>
    <w:rsid w:val="000E2C58"/>
    <w:rsid w:val="000E3369"/>
    <w:rsid w:val="000E33F5"/>
    <w:rsid w:val="000E36B7"/>
    <w:rsid w:val="000E3B09"/>
    <w:rsid w:val="000E3D6D"/>
    <w:rsid w:val="000E473B"/>
    <w:rsid w:val="000E4CB5"/>
    <w:rsid w:val="000E4D07"/>
    <w:rsid w:val="000E50E1"/>
    <w:rsid w:val="000E56FE"/>
    <w:rsid w:val="000E5EC0"/>
    <w:rsid w:val="000E6271"/>
    <w:rsid w:val="000F0022"/>
    <w:rsid w:val="000F0038"/>
    <w:rsid w:val="000F049B"/>
    <w:rsid w:val="000F1468"/>
    <w:rsid w:val="000F156A"/>
    <w:rsid w:val="000F1FB8"/>
    <w:rsid w:val="000F247F"/>
    <w:rsid w:val="000F2D13"/>
    <w:rsid w:val="000F414A"/>
    <w:rsid w:val="000F4372"/>
    <w:rsid w:val="000F454C"/>
    <w:rsid w:val="000F4AB0"/>
    <w:rsid w:val="000F53B7"/>
    <w:rsid w:val="000F5516"/>
    <w:rsid w:val="000F612A"/>
    <w:rsid w:val="000F6452"/>
    <w:rsid w:val="000F683C"/>
    <w:rsid w:val="000F6D1C"/>
    <w:rsid w:val="000F6D4F"/>
    <w:rsid w:val="000F7653"/>
    <w:rsid w:val="000F7A66"/>
    <w:rsid w:val="00100487"/>
    <w:rsid w:val="00100A74"/>
    <w:rsid w:val="00100C0B"/>
    <w:rsid w:val="00101D0B"/>
    <w:rsid w:val="001023F3"/>
    <w:rsid w:val="001025AC"/>
    <w:rsid w:val="0010349D"/>
    <w:rsid w:val="00104977"/>
    <w:rsid w:val="00104F40"/>
    <w:rsid w:val="00105453"/>
    <w:rsid w:val="00105DF7"/>
    <w:rsid w:val="001069EB"/>
    <w:rsid w:val="0010784B"/>
    <w:rsid w:val="001079C2"/>
    <w:rsid w:val="00110D7A"/>
    <w:rsid w:val="00110F8A"/>
    <w:rsid w:val="00111E41"/>
    <w:rsid w:val="00111E91"/>
    <w:rsid w:val="00112094"/>
    <w:rsid w:val="00112359"/>
    <w:rsid w:val="0011253D"/>
    <w:rsid w:val="00113373"/>
    <w:rsid w:val="00114028"/>
    <w:rsid w:val="00114132"/>
    <w:rsid w:val="001143CC"/>
    <w:rsid w:val="00114EF6"/>
    <w:rsid w:val="001160D8"/>
    <w:rsid w:val="0011685B"/>
    <w:rsid w:val="00116A8A"/>
    <w:rsid w:val="00116C61"/>
    <w:rsid w:val="001172ED"/>
    <w:rsid w:val="0011773C"/>
    <w:rsid w:val="00117EC6"/>
    <w:rsid w:val="001204E6"/>
    <w:rsid w:val="00120B14"/>
    <w:rsid w:val="00120B64"/>
    <w:rsid w:val="001216EE"/>
    <w:rsid w:val="00121779"/>
    <w:rsid w:val="001220E8"/>
    <w:rsid w:val="0012214D"/>
    <w:rsid w:val="001221B6"/>
    <w:rsid w:val="00122279"/>
    <w:rsid w:val="00122516"/>
    <w:rsid w:val="00122F30"/>
    <w:rsid w:val="001242A6"/>
    <w:rsid w:val="00124669"/>
    <w:rsid w:val="00124CAF"/>
    <w:rsid w:val="001254C8"/>
    <w:rsid w:val="001258BD"/>
    <w:rsid w:val="001258EA"/>
    <w:rsid w:val="001259D0"/>
    <w:rsid w:val="00125E5D"/>
    <w:rsid w:val="001262ED"/>
    <w:rsid w:val="00126319"/>
    <w:rsid w:val="00126909"/>
    <w:rsid w:val="001271D6"/>
    <w:rsid w:val="001274B5"/>
    <w:rsid w:val="00127D54"/>
    <w:rsid w:val="00127DB4"/>
    <w:rsid w:val="00130215"/>
    <w:rsid w:val="00130542"/>
    <w:rsid w:val="00130994"/>
    <w:rsid w:val="00130A50"/>
    <w:rsid w:val="00131509"/>
    <w:rsid w:val="0013158C"/>
    <w:rsid w:val="001315A1"/>
    <w:rsid w:val="00131C77"/>
    <w:rsid w:val="00131F72"/>
    <w:rsid w:val="00132079"/>
    <w:rsid w:val="001322E2"/>
    <w:rsid w:val="00132CD9"/>
    <w:rsid w:val="00132FF5"/>
    <w:rsid w:val="001330BA"/>
    <w:rsid w:val="00133111"/>
    <w:rsid w:val="001331E4"/>
    <w:rsid w:val="001333A5"/>
    <w:rsid w:val="00133A6F"/>
    <w:rsid w:val="001341C9"/>
    <w:rsid w:val="001344FC"/>
    <w:rsid w:val="00134C57"/>
    <w:rsid w:val="00134DA5"/>
    <w:rsid w:val="00135876"/>
    <w:rsid w:val="001358B2"/>
    <w:rsid w:val="00135BFC"/>
    <w:rsid w:val="00135DF9"/>
    <w:rsid w:val="00135F6C"/>
    <w:rsid w:val="0013611C"/>
    <w:rsid w:val="00136129"/>
    <w:rsid w:val="00136291"/>
    <w:rsid w:val="0013692D"/>
    <w:rsid w:val="00136DCB"/>
    <w:rsid w:val="00136E41"/>
    <w:rsid w:val="00136EFE"/>
    <w:rsid w:val="001376E9"/>
    <w:rsid w:val="00137A31"/>
    <w:rsid w:val="001401B2"/>
    <w:rsid w:val="00140DD4"/>
    <w:rsid w:val="001413AF"/>
    <w:rsid w:val="001416FE"/>
    <w:rsid w:val="0014213A"/>
    <w:rsid w:val="00142330"/>
    <w:rsid w:val="001424B0"/>
    <w:rsid w:val="00142740"/>
    <w:rsid w:val="00142888"/>
    <w:rsid w:val="00143D19"/>
    <w:rsid w:val="00144B33"/>
    <w:rsid w:val="0014619C"/>
    <w:rsid w:val="00146584"/>
    <w:rsid w:val="00146734"/>
    <w:rsid w:val="001468BE"/>
    <w:rsid w:val="00150274"/>
    <w:rsid w:val="0015069B"/>
    <w:rsid w:val="00150FCA"/>
    <w:rsid w:val="0015165F"/>
    <w:rsid w:val="001520D3"/>
    <w:rsid w:val="00152667"/>
    <w:rsid w:val="0015280D"/>
    <w:rsid w:val="00152B36"/>
    <w:rsid w:val="00152CE9"/>
    <w:rsid w:val="001531C1"/>
    <w:rsid w:val="0015321A"/>
    <w:rsid w:val="0015326C"/>
    <w:rsid w:val="00153325"/>
    <w:rsid w:val="00153652"/>
    <w:rsid w:val="00153B4B"/>
    <w:rsid w:val="001553AE"/>
    <w:rsid w:val="001555F2"/>
    <w:rsid w:val="00155764"/>
    <w:rsid w:val="001557C6"/>
    <w:rsid w:val="00155C1E"/>
    <w:rsid w:val="0015669A"/>
    <w:rsid w:val="00156768"/>
    <w:rsid w:val="00156861"/>
    <w:rsid w:val="00157E01"/>
    <w:rsid w:val="00157E04"/>
    <w:rsid w:val="00157F68"/>
    <w:rsid w:val="00160373"/>
    <w:rsid w:val="00160779"/>
    <w:rsid w:val="001607DC"/>
    <w:rsid w:val="00160953"/>
    <w:rsid w:val="00160B94"/>
    <w:rsid w:val="00160BBE"/>
    <w:rsid w:val="001611A5"/>
    <w:rsid w:val="00162374"/>
    <w:rsid w:val="0016242F"/>
    <w:rsid w:val="0016257C"/>
    <w:rsid w:val="00162860"/>
    <w:rsid w:val="00162BB5"/>
    <w:rsid w:val="0016344D"/>
    <w:rsid w:val="00164F10"/>
    <w:rsid w:val="001652D4"/>
    <w:rsid w:val="001653DF"/>
    <w:rsid w:val="00165487"/>
    <w:rsid w:val="00165572"/>
    <w:rsid w:val="00166C02"/>
    <w:rsid w:val="00167CBC"/>
    <w:rsid w:val="00170AFE"/>
    <w:rsid w:val="001711D2"/>
    <w:rsid w:val="001712BA"/>
    <w:rsid w:val="00171A8C"/>
    <w:rsid w:val="00171AC0"/>
    <w:rsid w:val="00172814"/>
    <w:rsid w:val="00172A27"/>
    <w:rsid w:val="00172B6E"/>
    <w:rsid w:val="00172CA5"/>
    <w:rsid w:val="00172D88"/>
    <w:rsid w:val="001739A7"/>
    <w:rsid w:val="00173EBD"/>
    <w:rsid w:val="001741B7"/>
    <w:rsid w:val="00174949"/>
    <w:rsid w:val="00174C8F"/>
    <w:rsid w:val="00174CCD"/>
    <w:rsid w:val="00174E9E"/>
    <w:rsid w:val="00175573"/>
    <w:rsid w:val="001757FF"/>
    <w:rsid w:val="0017626D"/>
    <w:rsid w:val="001776CC"/>
    <w:rsid w:val="00177A41"/>
    <w:rsid w:val="00177FC8"/>
    <w:rsid w:val="00180A77"/>
    <w:rsid w:val="00181387"/>
    <w:rsid w:val="00181A4E"/>
    <w:rsid w:val="0018209C"/>
    <w:rsid w:val="0018226C"/>
    <w:rsid w:val="001834C1"/>
    <w:rsid w:val="0018397B"/>
    <w:rsid w:val="00183D8B"/>
    <w:rsid w:val="0018444D"/>
    <w:rsid w:val="00185E52"/>
    <w:rsid w:val="001871CB"/>
    <w:rsid w:val="001879A6"/>
    <w:rsid w:val="00187E2E"/>
    <w:rsid w:val="00190B03"/>
    <w:rsid w:val="00190E52"/>
    <w:rsid w:val="0019115D"/>
    <w:rsid w:val="00191693"/>
    <w:rsid w:val="00192A48"/>
    <w:rsid w:val="00192E35"/>
    <w:rsid w:val="001932B0"/>
    <w:rsid w:val="001933C1"/>
    <w:rsid w:val="00193536"/>
    <w:rsid w:val="00193C15"/>
    <w:rsid w:val="00194159"/>
    <w:rsid w:val="001947BC"/>
    <w:rsid w:val="00194E3F"/>
    <w:rsid w:val="0019505A"/>
    <w:rsid w:val="00195BF2"/>
    <w:rsid w:val="00195EDB"/>
    <w:rsid w:val="00195FD3"/>
    <w:rsid w:val="00196282"/>
    <w:rsid w:val="00197621"/>
    <w:rsid w:val="0019770E"/>
    <w:rsid w:val="00197740"/>
    <w:rsid w:val="0019788C"/>
    <w:rsid w:val="0019798D"/>
    <w:rsid w:val="00197AFC"/>
    <w:rsid w:val="001A020F"/>
    <w:rsid w:val="001A02AC"/>
    <w:rsid w:val="001A0353"/>
    <w:rsid w:val="001A1325"/>
    <w:rsid w:val="001A21DE"/>
    <w:rsid w:val="001A2947"/>
    <w:rsid w:val="001A2D3E"/>
    <w:rsid w:val="001A3AB0"/>
    <w:rsid w:val="001A47C3"/>
    <w:rsid w:val="001A4D91"/>
    <w:rsid w:val="001A4E86"/>
    <w:rsid w:val="001A504E"/>
    <w:rsid w:val="001A5631"/>
    <w:rsid w:val="001A5F4B"/>
    <w:rsid w:val="001A646B"/>
    <w:rsid w:val="001A65DD"/>
    <w:rsid w:val="001A684E"/>
    <w:rsid w:val="001A76FC"/>
    <w:rsid w:val="001A7715"/>
    <w:rsid w:val="001A7719"/>
    <w:rsid w:val="001A7D30"/>
    <w:rsid w:val="001A7DFB"/>
    <w:rsid w:val="001B0A87"/>
    <w:rsid w:val="001B0C92"/>
    <w:rsid w:val="001B0FBF"/>
    <w:rsid w:val="001B1A90"/>
    <w:rsid w:val="001B2051"/>
    <w:rsid w:val="001B25CA"/>
    <w:rsid w:val="001B272B"/>
    <w:rsid w:val="001B3019"/>
    <w:rsid w:val="001B394B"/>
    <w:rsid w:val="001B41FF"/>
    <w:rsid w:val="001B50C5"/>
    <w:rsid w:val="001B5410"/>
    <w:rsid w:val="001B57CC"/>
    <w:rsid w:val="001B5836"/>
    <w:rsid w:val="001B5EF5"/>
    <w:rsid w:val="001B624E"/>
    <w:rsid w:val="001B63C4"/>
    <w:rsid w:val="001B63FD"/>
    <w:rsid w:val="001B6DA0"/>
    <w:rsid w:val="001B6E40"/>
    <w:rsid w:val="001B7448"/>
    <w:rsid w:val="001B7D8D"/>
    <w:rsid w:val="001C1597"/>
    <w:rsid w:val="001C1C42"/>
    <w:rsid w:val="001C1EC6"/>
    <w:rsid w:val="001C1FC7"/>
    <w:rsid w:val="001C2C58"/>
    <w:rsid w:val="001C3B59"/>
    <w:rsid w:val="001C3B96"/>
    <w:rsid w:val="001C4E5E"/>
    <w:rsid w:val="001C5026"/>
    <w:rsid w:val="001C5521"/>
    <w:rsid w:val="001C5B11"/>
    <w:rsid w:val="001C5E15"/>
    <w:rsid w:val="001C5F3C"/>
    <w:rsid w:val="001C689A"/>
    <w:rsid w:val="001C75B3"/>
    <w:rsid w:val="001C7D86"/>
    <w:rsid w:val="001D05C9"/>
    <w:rsid w:val="001D0647"/>
    <w:rsid w:val="001D0B96"/>
    <w:rsid w:val="001D0E21"/>
    <w:rsid w:val="001D1638"/>
    <w:rsid w:val="001D1A4C"/>
    <w:rsid w:val="001D2120"/>
    <w:rsid w:val="001D27C1"/>
    <w:rsid w:val="001D2B8B"/>
    <w:rsid w:val="001D2BB6"/>
    <w:rsid w:val="001D304E"/>
    <w:rsid w:val="001D3439"/>
    <w:rsid w:val="001D3F8A"/>
    <w:rsid w:val="001D4B9A"/>
    <w:rsid w:val="001D5AA2"/>
    <w:rsid w:val="001D6319"/>
    <w:rsid w:val="001D68A0"/>
    <w:rsid w:val="001D6ACE"/>
    <w:rsid w:val="001D73F4"/>
    <w:rsid w:val="001D78EB"/>
    <w:rsid w:val="001D7C4B"/>
    <w:rsid w:val="001E0E15"/>
    <w:rsid w:val="001E1445"/>
    <w:rsid w:val="001E1FFB"/>
    <w:rsid w:val="001E2A23"/>
    <w:rsid w:val="001E34A5"/>
    <w:rsid w:val="001E356D"/>
    <w:rsid w:val="001E3921"/>
    <w:rsid w:val="001E3F71"/>
    <w:rsid w:val="001E43A7"/>
    <w:rsid w:val="001E4633"/>
    <w:rsid w:val="001E466D"/>
    <w:rsid w:val="001E4FC8"/>
    <w:rsid w:val="001E56D2"/>
    <w:rsid w:val="001E590B"/>
    <w:rsid w:val="001E5E69"/>
    <w:rsid w:val="001E5FD7"/>
    <w:rsid w:val="001E61D0"/>
    <w:rsid w:val="001E6D77"/>
    <w:rsid w:val="001E7634"/>
    <w:rsid w:val="001E7757"/>
    <w:rsid w:val="001E7D5C"/>
    <w:rsid w:val="001F0080"/>
    <w:rsid w:val="001F0B7E"/>
    <w:rsid w:val="001F184F"/>
    <w:rsid w:val="001F1DAC"/>
    <w:rsid w:val="001F2090"/>
    <w:rsid w:val="001F2BF5"/>
    <w:rsid w:val="001F3745"/>
    <w:rsid w:val="001F43CD"/>
    <w:rsid w:val="001F525D"/>
    <w:rsid w:val="001F5348"/>
    <w:rsid w:val="001F5863"/>
    <w:rsid w:val="001F5F09"/>
    <w:rsid w:val="001F6DD5"/>
    <w:rsid w:val="001F7190"/>
    <w:rsid w:val="001F73DF"/>
    <w:rsid w:val="00200AE5"/>
    <w:rsid w:val="00201187"/>
    <w:rsid w:val="00201578"/>
    <w:rsid w:val="00202356"/>
    <w:rsid w:val="0020287D"/>
    <w:rsid w:val="002035DA"/>
    <w:rsid w:val="002038E5"/>
    <w:rsid w:val="00203FA5"/>
    <w:rsid w:val="002041A0"/>
    <w:rsid w:val="00204853"/>
    <w:rsid w:val="00205961"/>
    <w:rsid w:val="00205C01"/>
    <w:rsid w:val="00205CEC"/>
    <w:rsid w:val="00206235"/>
    <w:rsid w:val="00207088"/>
    <w:rsid w:val="00207B17"/>
    <w:rsid w:val="00210339"/>
    <w:rsid w:val="002118E6"/>
    <w:rsid w:val="00211A47"/>
    <w:rsid w:val="00212890"/>
    <w:rsid w:val="002130B8"/>
    <w:rsid w:val="0021335F"/>
    <w:rsid w:val="002138BB"/>
    <w:rsid w:val="00213A2F"/>
    <w:rsid w:val="00213DAF"/>
    <w:rsid w:val="00213EAC"/>
    <w:rsid w:val="00214097"/>
    <w:rsid w:val="002141E8"/>
    <w:rsid w:val="0021452D"/>
    <w:rsid w:val="00214BB3"/>
    <w:rsid w:val="00214C85"/>
    <w:rsid w:val="00215D46"/>
    <w:rsid w:val="00215DF9"/>
    <w:rsid w:val="00216684"/>
    <w:rsid w:val="00216F6B"/>
    <w:rsid w:val="00217096"/>
    <w:rsid w:val="002174A9"/>
    <w:rsid w:val="00217694"/>
    <w:rsid w:val="00217D8A"/>
    <w:rsid w:val="002207CB"/>
    <w:rsid w:val="00220C8E"/>
    <w:rsid w:val="00220DA1"/>
    <w:rsid w:val="00220E43"/>
    <w:rsid w:val="00221663"/>
    <w:rsid w:val="00221AC3"/>
    <w:rsid w:val="00221BB0"/>
    <w:rsid w:val="00221D79"/>
    <w:rsid w:val="0022206C"/>
    <w:rsid w:val="002236CD"/>
    <w:rsid w:val="0022416A"/>
    <w:rsid w:val="0022443A"/>
    <w:rsid w:val="00224D9F"/>
    <w:rsid w:val="00224EA3"/>
    <w:rsid w:val="00225B80"/>
    <w:rsid w:val="00225D20"/>
    <w:rsid w:val="00225DB1"/>
    <w:rsid w:val="00225E50"/>
    <w:rsid w:val="002267CB"/>
    <w:rsid w:val="00226FEE"/>
    <w:rsid w:val="002271E4"/>
    <w:rsid w:val="002271E9"/>
    <w:rsid w:val="0022726F"/>
    <w:rsid w:val="002303B6"/>
    <w:rsid w:val="00230CD2"/>
    <w:rsid w:val="00230E65"/>
    <w:rsid w:val="00230EFC"/>
    <w:rsid w:val="00231089"/>
    <w:rsid w:val="00231274"/>
    <w:rsid w:val="00231B5A"/>
    <w:rsid w:val="00231B63"/>
    <w:rsid w:val="00231E29"/>
    <w:rsid w:val="002320A9"/>
    <w:rsid w:val="002336F1"/>
    <w:rsid w:val="00233C01"/>
    <w:rsid w:val="00234B62"/>
    <w:rsid w:val="00234EFA"/>
    <w:rsid w:val="002352A8"/>
    <w:rsid w:val="0023559F"/>
    <w:rsid w:val="002355E3"/>
    <w:rsid w:val="00235EE0"/>
    <w:rsid w:val="0023635C"/>
    <w:rsid w:val="002366AF"/>
    <w:rsid w:val="002367FB"/>
    <w:rsid w:val="00236977"/>
    <w:rsid w:val="002373AA"/>
    <w:rsid w:val="002373B0"/>
    <w:rsid w:val="002376B4"/>
    <w:rsid w:val="00237A8D"/>
    <w:rsid w:val="00240075"/>
    <w:rsid w:val="0024024C"/>
    <w:rsid w:val="0024091B"/>
    <w:rsid w:val="00240EE2"/>
    <w:rsid w:val="002410AD"/>
    <w:rsid w:val="00241B2F"/>
    <w:rsid w:val="00242586"/>
    <w:rsid w:val="00242AFA"/>
    <w:rsid w:val="00242D15"/>
    <w:rsid w:val="00242F5A"/>
    <w:rsid w:val="00243507"/>
    <w:rsid w:val="00243A86"/>
    <w:rsid w:val="002446A2"/>
    <w:rsid w:val="002448A5"/>
    <w:rsid w:val="00245536"/>
    <w:rsid w:val="00245AE0"/>
    <w:rsid w:val="00246609"/>
    <w:rsid w:val="00246965"/>
    <w:rsid w:val="002469EF"/>
    <w:rsid w:val="00246AF4"/>
    <w:rsid w:val="00247068"/>
    <w:rsid w:val="002473B5"/>
    <w:rsid w:val="00247BEF"/>
    <w:rsid w:val="00250050"/>
    <w:rsid w:val="002500E9"/>
    <w:rsid w:val="002508E8"/>
    <w:rsid w:val="00251315"/>
    <w:rsid w:val="00251B27"/>
    <w:rsid w:val="00251D06"/>
    <w:rsid w:val="00252050"/>
    <w:rsid w:val="002526F4"/>
    <w:rsid w:val="00252CD6"/>
    <w:rsid w:val="0025312C"/>
    <w:rsid w:val="002533FA"/>
    <w:rsid w:val="00253584"/>
    <w:rsid w:val="00253BE9"/>
    <w:rsid w:val="00253C65"/>
    <w:rsid w:val="00253F5C"/>
    <w:rsid w:val="002542A0"/>
    <w:rsid w:val="0025494B"/>
    <w:rsid w:val="00255095"/>
    <w:rsid w:val="00256FF4"/>
    <w:rsid w:val="002575B1"/>
    <w:rsid w:val="00257FCF"/>
    <w:rsid w:val="0026058A"/>
    <w:rsid w:val="00260AAF"/>
    <w:rsid w:val="002610BE"/>
    <w:rsid w:val="00262308"/>
    <w:rsid w:val="00262827"/>
    <w:rsid w:val="002629D3"/>
    <w:rsid w:val="00262B74"/>
    <w:rsid w:val="00263202"/>
    <w:rsid w:val="00263327"/>
    <w:rsid w:val="0026358A"/>
    <w:rsid w:val="002645FC"/>
    <w:rsid w:val="00264B08"/>
    <w:rsid w:val="00264DF2"/>
    <w:rsid w:val="00265BF6"/>
    <w:rsid w:val="002665CE"/>
    <w:rsid w:val="0026667C"/>
    <w:rsid w:val="00266A80"/>
    <w:rsid w:val="0026735C"/>
    <w:rsid w:val="002673D7"/>
    <w:rsid w:val="002678EC"/>
    <w:rsid w:val="00267BAA"/>
    <w:rsid w:val="00267D76"/>
    <w:rsid w:val="002702AD"/>
    <w:rsid w:val="00270AD5"/>
    <w:rsid w:val="002710BF"/>
    <w:rsid w:val="002715F5"/>
    <w:rsid w:val="002722E5"/>
    <w:rsid w:val="00272B42"/>
    <w:rsid w:val="0027339F"/>
    <w:rsid w:val="00273592"/>
    <w:rsid w:val="00273A54"/>
    <w:rsid w:val="00273F2C"/>
    <w:rsid w:val="00273F5A"/>
    <w:rsid w:val="00274347"/>
    <w:rsid w:val="00274557"/>
    <w:rsid w:val="0027487B"/>
    <w:rsid w:val="002749BA"/>
    <w:rsid w:val="00276DBD"/>
    <w:rsid w:val="00277008"/>
    <w:rsid w:val="0027720D"/>
    <w:rsid w:val="00277596"/>
    <w:rsid w:val="00280E77"/>
    <w:rsid w:val="0028107F"/>
    <w:rsid w:val="002811E1"/>
    <w:rsid w:val="0028141E"/>
    <w:rsid w:val="002819FE"/>
    <w:rsid w:val="00281B47"/>
    <w:rsid w:val="002833D4"/>
    <w:rsid w:val="00283681"/>
    <w:rsid w:val="00283C10"/>
    <w:rsid w:val="00283DA1"/>
    <w:rsid w:val="00284105"/>
    <w:rsid w:val="002842AE"/>
    <w:rsid w:val="002845AB"/>
    <w:rsid w:val="0028474A"/>
    <w:rsid w:val="00285926"/>
    <w:rsid w:val="00285EFF"/>
    <w:rsid w:val="00285FFB"/>
    <w:rsid w:val="0028630E"/>
    <w:rsid w:val="002865E1"/>
    <w:rsid w:val="00286DAE"/>
    <w:rsid w:val="00287B3F"/>
    <w:rsid w:val="00287C5D"/>
    <w:rsid w:val="00290692"/>
    <w:rsid w:val="002908BD"/>
    <w:rsid w:val="00290AF1"/>
    <w:rsid w:val="0029137C"/>
    <w:rsid w:val="00291851"/>
    <w:rsid w:val="0029189D"/>
    <w:rsid w:val="002919F9"/>
    <w:rsid w:val="00291FB3"/>
    <w:rsid w:val="002922CD"/>
    <w:rsid w:val="00292578"/>
    <w:rsid w:val="00293406"/>
    <w:rsid w:val="00293A02"/>
    <w:rsid w:val="00293F27"/>
    <w:rsid w:val="00295067"/>
    <w:rsid w:val="0029522E"/>
    <w:rsid w:val="002953CB"/>
    <w:rsid w:val="002964C4"/>
    <w:rsid w:val="00296D1A"/>
    <w:rsid w:val="00296DB3"/>
    <w:rsid w:val="00296F52"/>
    <w:rsid w:val="00296F6E"/>
    <w:rsid w:val="00297A3F"/>
    <w:rsid w:val="00297F14"/>
    <w:rsid w:val="002A0145"/>
    <w:rsid w:val="002A0A59"/>
    <w:rsid w:val="002A0A5D"/>
    <w:rsid w:val="002A0CFA"/>
    <w:rsid w:val="002A105D"/>
    <w:rsid w:val="002A2659"/>
    <w:rsid w:val="002A3357"/>
    <w:rsid w:val="002A354F"/>
    <w:rsid w:val="002A3710"/>
    <w:rsid w:val="002A3842"/>
    <w:rsid w:val="002A43B5"/>
    <w:rsid w:val="002A49C4"/>
    <w:rsid w:val="002A4A8F"/>
    <w:rsid w:val="002A521D"/>
    <w:rsid w:val="002A56E2"/>
    <w:rsid w:val="002A740F"/>
    <w:rsid w:val="002A7EDE"/>
    <w:rsid w:val="002B02E3"/>
    <w:rsid w:val="002B11A5"/>
    <w:rsid w:val="002B27F2"/>
    <w:rsid w:val="002B2BE6"/>
    <w:rsid w:val="002B364B"/>
    <w:rsid w:val="002B3930"/>
    <w:rsid w:val="002B403B"/>
    <w:rsid w:val="002B417B"/>
    <w:rsid w:val="002B41AB"/>
    <w:rsid w:val="002B48E5"/>
    <w:rsid w:val="002B4EF0"/>
    <w:rsid w:val="002B567A"/>
    <w:rsid w:val="002B5A46"/>
    <w:rsid w:val="002B664E"/>
    <w:rsid w:val="002B6814"/>
    <w:rsid w:val="002B721F"/>
    <w:rsid w:val="002C0089"/>
    <w:rsid w:val="002C0B98"/>
    <w:rsid w:val="002C0DC5"/>
    <w:rsid w:val="002C0EC1"/>
    <w:rsid w:val="002C136D"/>
    <w:rsid w:val="002C21A2"/>
    <w:rsid w:val="002C2234"/>
    <w:rsid w:val="002C2623"/>
    <w:rsid w:val="002C27A3"/>
    <w:rsid w:val="002C2E46"/>
    <w:rsid w:val="002C2FF2"/>
    <w:rsid w:val="002C3815"/>
    <w:rsid w:val="002C394F"/>
    <w:rsid w:val="002C42E8"/>
    <w:rsid w:val="002C486C"/>
    <w:rsid w:val="002C5DB7"/>
    <w:rsid w:val="002C6091"/>
    <w:rsid w:val="002C6093"/>
    <w:rsid w:val="002C6D50"/>
    <w:rsid w:val="002C6E7A"/>
    <w:rsid w:val="002C75AB"/>
    <w:rsid w:val="002D0252"/>
    <w:rsid w:val="002D09A2"/>
    <w:rsid w:val="002D1607"/>
    <w:rsid w:val="002D1D73"/>
    <w:rsid w:val="002D1DF1"/>
    <w:rsid w:val="002D347F"/>
    <w:rsid w:val="002D3B38"/>
    <w:rsid w:val="002D3E82"/>
    <w:rsid w:val="002D3F23"/>
    <w:rsid w:val="002D42C2"/>
    <w:rsid w:val="002D45DB"/>
    <w:rsid w:val="002D4FBE"/>
    <w:rsid w:val="002D52F7"/>
    <w:rsid w:val="002D55A3"/>
    <w:rsid w:val="002D5C2C"/>
    <w:rsid w:val="002D6483"/>
    <w:rsid w:val="002D7275"/>
    <w:rsid w:val="002D7C53"/>
    <w:rsid w:val="002D7FE5"/>
    <w:rsid w:val="002E0092"/>
    <w:rsid w:val="002E1173"/>
    <w:rsid w:val="002E11B6"/>
    <w:rsid w:val="002E16F3"/>
    <w:rsid w:val="002E1D8F"/>
    <w:rsid w:val="002E20EB"/>
    <w:rsid w:val="002E2BA2"/>
    <w:rsid w:val="002E349C"/>
    <w:rsid w:val="002E3710"/>
    <w:rsid w:val="002E384B"/>
    <w:rsid w:val="002E3AF1"/>
    <w:rsid w:val="002E3FC2"/>
    <w:rsid w:val="002E424F"/>
    <w:rsid w:val="002E49A0"/>
    <w:rsid w:val="002E4A2C"/>
    <w:rsid w:val="002E5162"/>
    <w:rsid w:val="002E62B9"/>
    <w:rsid w:val="002E760A"/>
    <w:rsid w:val="002E78BA"/>
    <w:rsid w:val="002F0B5A"/>
    <w:rsid w:val="002F1831"/>
    <w:rsid w:val="002F22B4"/>
    <w:rsid w:val="002F3033"/>
    <w:rsid w:val="002F3F2F"/>
    <w:rsid w:val="002F43B8"/>
    <w:rsid w:val="002F4BEE"/>
    <w:rsid w:val="002F4DF4"/>
    <w:rsid w:val="002F514A"/>
    <w:rsid w:val="002F53EF"/>
    <w:rsid w:val="002F55AB"/>
    <w:rsid w:val="002F5696"/>
    <w:rsid w:val="002F6FFB"/>
    <w:rsid w:val="002F7370"/>
    <w:rsid w:val="002F7833"/>
    <w:rsid w:val="002F78FF"/>
    <w:rsid w:val="00300459"/>
    <w:rsid w:val="00300666"/>
    <w:rsid w:val="0030101D"/>
    <w:rsid w:val="0030186E"/>
    <w:rsid w:val="0030210E"/>
    <w:rsid w:val="0030305B"/>
    <w:rsid w:val="0030313C"/>
    <w:rsid w:val="003036FA"/>
    <w:rsid w:val="00303A14"/>
    <w:rsid w:val="00303E26"/>
    <w:rsid w:val="00303EA4"/>
    <w:rsid w:val="00304B94"/>
    <w:rsid w:val="003057FE"/>
    <w:rsid w:val="00305F3D"/>
    <w:rsid w:val="003064EB"/>
    <w:rsid w:val="00306E55"/>
    <w:rsid w:val="0030705C"/>
    <w:rsid w:val="003071E5"/>
    <w:rsid w:val="00307421"/>
    <w:rsid w:val="003078FC"/>
    <w:rsid w:val="00307A66"/>
    <w:rsid w:val="00307C18"/>
    <w:rsid w:val="00307E64"/>
    <w:rsid w:val="00307FEB"/>
    <w:rsid w:val="0031030C"/>
    <w:rsid w:val="00310321"/>
    <w:rsid w:val="00310C72"/>
    <w:rsid w:val="00310CA0"/>
    <w:rsid w:val="003112B3"/>
    <w:rsid w:val="00311D06"/>
    <w:rsid w:val="00312D84"/>
    <w:rsid w:val="003130DF"/>
    <w:rsid w:val="00313577"/>
    <w:rsid w:val="00313F00"/>
    <w:rsid w:val="0031452F"/>
    <w:rsid w:val="00315E78"/>
    <w:rsid w:val="0031669A"/>
    <w:rsid w:val="00316A17"/>
    <w:rsid w:val="00316DA0"/>
    <w:rsid w:val="00316EE7"/>
    <w:rsid w:val="003172B3"/>
    <w:rsid w:val="00317306"/>
    <w:rsid w:val="003175D3"/>
    <w:rsid w:val="00317F72"/>
    <w:rsid w:val="0032040A"/>
    <w:rsid w:val="0032046F"/>
    <w:rsid w:val="00320C8D"/>
    <w:rsid w:val="00321563"/>
    <w:rsid w:val="00321745"/>
    <w:rsid w:val="00322875"/>
    <w:rsid w:val="0032316E"/>
    <w:rsid w:val="00323881"/>
    <w:rsid w:val="00324282"/>
    <w:rsid w:val="00324CBA"/>
    <w:rsid w:val="00325152"/>
    <w:rsid w:val="003257C9"/>
    <w:rsid w:val="00325B8E"/>
    <w:rsid w:val="00325D03"/>
    <w:rsid w:val="00326B07"/>
    <w:rsid w:val="00327F40"/>
    <w:rsid w:val="003309EE"/>
    <w:rsid w:val="00330BE9"/>
    <w:rsid w:val="003314B2"/>
    <w:rsid w:val="00331A0F"/>
    <w:rsid w:val="00331DB9"/>
    <w:rsid w:val="00331FB9"/>
    <w:rsid w:val="00332446"/>
    <w:rsid w:val="00332534"/>
    <w:rsid w:val="00332C49"/>
    <w:rsid w:val="003340A2"/>
    <w:rsid w:val="00334391"/>
    <w:rsid w:val="0033457E"/>
    <w:rsid w:val="00334CD2"/>
    <w:rsid w:val="00335206"/>
    <w:rsid w:val="00335409"/>
    <w:rsid w:val="0033683E"/>
    <w:rsid w:val="003377CF"/>
    <w:rsid w:val="003378CC"/>
    <w:rsid w:val="0034081C"/>
    <w:rsid w:val="0034098F"/>
    <w:rsid w:val="003419E8"/>
    <w:rsid w:val="003420BC"/>
    <w:rsid w:val="0034225D"/>
    <w:rsid w:val="0034262C"/>
    <w:rsid w:val="003444E4"/>
    <w:rsid w:val="0034486D"/>
    <w:rsid w:val="00345773"/>
    <w:rsid w:val="003457EE"/>
    <w:rsid w:val="00346153"/>
    <w:rsid w:val="0034625A"/>
    <w:rsid w:val="0034648E"/>
    <w:rsid w:val="00346BB1"/>
    <w:rsid w:val="003470BC"/>
    <w:rsid w:val="00347408"/>
    <w:rsid w:val="00347754"/>
    <w:rsid w:val="00350149"/>
    <w:rsid w:val="00350CC3"/>
    <w:rsid w:val="003519D4"/>
    <w:rsid w:val="0035302D"/>
    <w:rsid w:val="003530BA"/>
    <w:rsid w:val="00354520"/>
    <w:rsid w:val="00354650"/>
    <w:rsid w:val="00354663"/>
    <w:rsid w:val="003551D5"/>
    <w:rsid w:val="00355497"/>
    <w:rsid w:val="00355800"/>
    <w:rsid w:val="00356322"/>
    <w:rsid w:val="0035633D"/>
    <w:rsid w:val="00356EF2"/>
    <w:rsid w:val="00356FE5"/>
    <w:rsid w:val="003604D6"/>
    <w:rsid w:val="00360F8E"/>
    <w:rsid w:val="003612C4"/>
    <w:rsid w:val="003621E8"/>
    <w:rsid w:val="003623C6"/>
    <w:rsid w:val="00362A74"/>
    <w:rsid w:val="00362AF3"/>
    <w:rsid w:val="00362FF5"/>
    <w:rsid w:val="00364C27"/>
    <w:rsid w:val="003653C0"/>
    <w:rsid w:val="00365A08"/>
    <w:rsid w:val="003667C0"/>
    <w:rsid w:val="00366FA8"/>
    <w:rsid w:val="00367156"/>
    <w:rsid w:val="00371109"/>
    <w:rsid w:val="0037131D"/>
    <w:rsid w:val="003714F0"/>
    <w:rsid w:val="0037153C"/>
    <w:rsid w:val="00371C06"/>
    <w:rsid w:val="003720BF"/>
    <w:rsid w:val="00372D81"/>
    <w:rsid w:val="00373B5C"/>
    <w:rsid w:val="00373D2C"/>
    <w:rsid w:val="00373DC1"/>
    <w:rsid w:val="00374755"/>
    <w:rsid w:val="00374D19"/>
    <w:rsid w:val="00375701"/>
    <w:rsid w:val="00375B9E"/>
    <w:rsid w:val="00376449"/>
    <w:rsid w:val="00376ED4"/>
    <w:rsid w:val="00377E33"/>
    <w:rsid w:val="00380206"/>
    <w:rsid w:val="003803AF"/>
    <w:rsid w:val="00381460"/>
    <w:rsid w:val="003817AB"/>
    <w:rsid w:val="00381809"/>
    <w:rsid w:val="00381C6A"/>
    <w:rsid w:val="00381E6E"/>
    <w:rsid w:val="0038283D"/>
    <w:rsid w:val="00382C7D"/>
    <w:rsid w:val="0038305A"/>
    <w:rsid w:val="003830B2"/>
    <w:rsid w:val="00383854"/>
    <w:rsid w:val="00383997"/>
    <w:rsid w:val="00383D00"/>
    <w:rsid w:val="003849A5"/>
    <w:rsid w:val="00385067"/>
    <w:rsid w:val="00385076"/>
    <w:rsid w:val="003857B1"/>
    <w:rsid w:val="00386703"/>
    <w:rsid w:val="0038704B"/>
    <w:rsid w:val="0038775C"/>
    <w:rsid w:val="003877EF"/>
    <w:rsid w:val="003902D7"/>
    <w:rsid w:val="00390411"/>
    <w:rsid w:val="00391039"/>
    <w:rsid w:val="00391333"/>
    <w:rsid w:val="0039160E"/>
    <w:rsid w:val="003917E2"/>
    <w:rsid w:val="003922D5"/>
    <w:rsid w:val="00392F40"/>
    <w:rsid w:val="003937A3"/>
    <w:rsid w:val="00393ED4"/>
    <w:rsid w:val="00394548"/>
    <w:rsid w:val="00394FB7"/>
    <w:rsid w:val="00395653"/>
    <w:rsid w:val="0039648F"/>
    <w:rsid w:val="003973C6"/>
    <w:rsid w:val="00397BE4"/>
    <w:rsid w:val="00397F06"/>
    <w:rsid w:val="003A00A4"/>
    <w:rsid w:val="003A01B1"/>
    <w:rsid w:val="003A1257"/>
    <w:rsid w:val="003A1DEA"/>
    <w:rsid w:val="003A1FC1"/>
    <w:rsid w:val="003A21C8"/>
    <w:rsid w:val="003A23BF"/>
    <w:rsid w:val="003A2857"/>
    <w:rsid w:val="003A2962"/>
    <w:rsid w:val="003A35EC"/>
    <w:rsid w:val="003A3697"/>
    <w:rsid w:val="003A39BB"/>
    <w:rsid w:val="003A3BE9"/>
    <w:rsid w:val="003A423D"/>
    <w:rsid w:val="003A464A"/>
    <w:rsid w:val="003A5407"/>
    <w:rsid w:val="003A5B12"/>
    <w:rsid w:val="003A6EDF"/>
    <w:rsid w:val="003A73A2"/>
    <w:rsid w:val="003A75F0"/>
    <w:rsid w:val="003B015C"/>
    <w:rsid w:val="003B0DA8"/>
    <w:rsid w:val="003B11EE"/>
    <w:rsid w:val="003B13B8"/>
    <w:rsid w:val="003B1AC1"/>
    <w:rsid w:val="003B25A7"/>
    <w:rsid w:val="003B2C7A"/>
    <w:rsid w:val="003B3971"/>
    <w:rsid w:val="003B3C34"/>
    <w:rsid w:val="003B4468"/>
    <w:rsid w:val="003B45BC"/>
    <w:rsid w:val="003B462C"/>
    <w:rsid w:val="003B52CD"/>
    <w:rsid w:val="003B578F"/>
    <w:rsid w:val="003B69FE"/>
    <w:rsid w:val="003B7343"/>
    <w:rsid w:val="003B78ED"/>
    <w:rsid w:val="003B7977"/>
    <w:rsid w:val="003B7C72"/>
    <w:rsid w:val="003C0768"/>
    <w:rsid w:val="003C0965"/>
    <w:rsid w:val="003C1446"/>
    <w:rsid w:val="003C1813"/>
    <w:rsid w:val="003C1818"/>
    <w:rsid w:val="003C44C2"/>
    <w:rsid w:val="003C48BA"/>
    <w:rsid w:val="003C4E04"/>
    <w:rsid w:val="003C5B66"/>
    <w:rsid w:val="003C648A"/>
    <w:rsid w:val="003C748B"/>
    <w:rsid w:val="003C7FEF"/>
    <w:rsid w:val="003D017F"/>
    <w:rsid w:val="003D1019"/>
    <w:rsid w:val="003D18D8"/>
    <w:rsid w:val="003D1E04"/>
    <w:rsid w:val="003D1FDB"/>
    <w:rsid w:val="003D27BF"/>
    <w:rsid w:val="003D3346"/>
    <w:rsid w:val="003D335A"/>
    <w:rsid w:val="003D3456"/>
    <w:rsid w:val="003D35CE"/>
    <w:rsid w:val="003D39A0"/>
    <w:rsid w:val="003D468F"/>
    <w:rsid w:val="003D4AC0"/>
    <w:rsid w:val="003D4C7F"/>
    <w:rsid w:val="003D58D0"/>
    <w:rsid w:val="003D5F6E"/>
    <w:rsid w:val="003D6C5B"/>
    <w:rsid w:val="003D6E9D"/>
    <w:rsid w:val="003D6F70"/>
    <w:rsid w:val="003D7407"/>
    <w:rsid w:val="003D79ED"/>
    <w:rsid w:val="003E0548"/>
    <w:rsid w:val="003E14B8"/>
    <w:rsid w:val="003E15DF"/>
    <w:rsid w:val="003E1868"/>
    <w:rsid w:val="003E2B01"/>
    <w:rsid w:val="003E308A"/>
    <w:rsid w:val="003E39F3"/>
    <w:rsid w:val="003E3DAA"/>
    <w:rsid w:val="003E3E42"/>
    <w:rsid w:val="003E42E4"/>
    <w:rsid w:val="003E52BF"/>
    <w:rsid w:val="003E636C"/>
    <w:rsid w:val="003E6C2F"/>
    <w:rsid w:val="003E6DE2"/>
    <w:rsid w:val="003E6E29"/>
    <w:rsid w:val="003E73F8"/>
    <w:rsid w:val="003E771A"/>
    <w:rsid w:val="003E7C0E"/>
    <w:rsid w:val="003F183F"/>
    <w:rsid w:val="003F1958"/>
    <w:rsid w:val="003F293E"/>
    <w:rsid w:val="003F2AE1"/>
    <w:rsid w:val="003F2E83"/>
    <w:rsid w:val="003F4183"/>
    <w:rsid w:val="003F463F"/>
    <w:rsid w:val="003F572D"/>
    <w:rsid w:val="003F5D03"/>
    <w:rsid w:val="003F660D"/>
    <w:rsid w:val="003F6612"/>
    <w:rsid w:val="003F6FE5"/>
    <w:rsid w:val="003F6FE9"/>
    <w:rsid w:val="003F7264"/>
    <w:rsid w:val="003F74D3"/>
    <w:rsid w:val="003F7E1A"/>
    <w:rsid w:val="0040080F"/>
    <w:rsid w:val="0040166F"/>
    <w:rsid w:val="00401759"/>
    <w:rsid w:val="0040260F"/>
    <w:rsid w:val="00402C0A"/>
    <w:rsid w:val="00403A07"/>
    <w:rsid w:val="00403EC8"/>
    <w:rsid w:val="0040403E"/>
    <w:rsid w:val="00404050"/>
    <w:rsid w:val="00404054"/>
    <w:rsid w:val="00404676"/>
    <w:rsid w:val="004050D3"/>
    <w:rsid w:val="004054EF"/>
    <w:rsid w:val="0040600B"/>
    <w:rsid w:val="00406557"/>
    <w:rsid w:val="00406944"/>
    <w:rsid w:val="00410E74"/>
    <w:rsid w:val="0041107F"/>
    <w:rsid w:val="0041229A"/>
    <w:rsid w:val="0041315D"/>
    <w:rsid w:val="0041330C"/>
    <w:rsid w:val="0041343C"/>
    <w:rsid w:val="004136D1"/>
    <w:rsid w:val="004168CE"/>
    <w:rsid w:val="0041695E"/>
    <w:rsid w:val="00416BC7"/>
    <w:rsid w:val="00416D69"/>
    <w:rsid w:val="00417219"/>
    <w:rsid w:val="004173EA"/>
    <w:rsid w:val="00417854"/>
    <w:rsid w:val="00417AD8"/>
    <w:rsid w:val="00417C93"/>
    <w:rsid w:val="00420709"/>
    <w:rsid w:val="00420B65"/>
    <w:rsid w:val="00420C24"/>
    <w:rsid w:val="00421272"/>
    <w:rsid w:val="00421D0E"/>
    <w:rsid w:val="00421E35"/>
    <w:rsid w:val="00421E4C"/>
    <w:rsid w:val="004225C8"/>
    <w:rsid w:val="00422AF3"/>
    <w:rsid w:val="00422BA4"/>
    <w:rsid w:val="00422BC8"/>
    <w:rsid w:val="004230BC"/>
    <w:rsid w:val="00423570"/>
    <w:rsid w:val="00424209"/>
    <w:rsid w:val="0042495A"/>
    <w:rsid w:val="00424C3F"/>
    <w:rsid w:val="00425158"/>
    <w:rsid w:val="0042538D"/>
    <w:rsid w:val="004256F7"/>
    <w:rsid w:val="00425C33"/>
    <w:rsid w:val="00426960"/>
    <w:rsid w:val="00426CD9"/>
    <w:rsid w:val="004272A4"/>
    <w:rsid w:val="004273C2"/>
    <w:rsid w:val="004301F4"/>
    <w:rsid w:val="004309D8"/>
    <w:rsid w:val="004322B1"/>
    <w:rsid w:val="0043237E"/>
    <w:rsid w:val="00432CC5"/>
    <w:rsid w:val="004332C3"/>
    <w:rsid w:val="004333DF"/>
    <w:rsid w:val="004335CD"/>
    <w:rsid w:val="004337CD"/>
    <w:rsid w:val="00433CE4"/>
    <w:rsid w:val="00433F69"/>
    <w:rsid w:val="00434B5E"/>
    <w:rsid w:val="00435F4E"/>
    <w:rsid w:val="004364C1"/>
    <w:rsid w:val="00436CF5"/>
    <w:rsid w:val="00436E07"/>
    <w:rsid w:val="0043725E"/>
    <w:rsid w:val="00437495"/>
    <w:rsid w:val="004379C2"/>
    <w:rsid w:val="00440737"/>
    <w:rsid w:val="0044125E"/>
    <w:rsid w:val="00441953"/>
    <w:rsid w:val="0044199E"/>
    <w:rsid w:val="00441A94"/>
    <w:rsid w:val="00441E8A"/>
    <w:rsid w:val="00443313"/>
    <w:rsid w:val="0044362E"/>
    <w:rsid w:val="00443FBA"/>
    <w:rsid w:val="00444FF6"/>
    <w:rsid w:val="00445069"/>
    <w:rsid w:val="00445712"/>
    <w:rsid w:val="00445713"/>
    <w:rsid w:val="00445865"/>
    <w:rsid w:val="00446DAB"/>
    <w:rsid w:val="00446E96"/>
    <w:rsid w:val="004479FE"/>
    <w:rsid w:val="00447ADD"/>
    <w:rsid w:val="00447CA5"/>
    <w:rsid w:val="004501EB"/>
    <w:rsid w:val="00450EE1"/>
    <w:rsid w:val="00450F4E"/>
    <w:rsid w:val="0045125C"/>
    <w:rsid w:val="004512A3"/>
    <w:rsid w:val="00451787"/>
    <w:rsid w:val="004518BE"/>
    <w:rsid w:val="00451DD8"/>
    <w:rsid w:val="00452116"/>
    <w:rsid w:val="00452184"/>
    <w:rsid w:val="00452480"/>
    <w:rsid w:val="00452B38"/>
    <w:rsid w:val="004532AF"/>
    <w:rsid w:val="004539FC"/>
    <w:rsid w:val="00453A1E"/>
    <w:rsid w:val="0045404C"/>
    <w:rsid w:val="00455AEE"/>
    <w:rsid w:val="00455D48"/>
    <w:rsid w:val="00455D94"/>
    <w:rsid w:val="0045669F"/>
    <w:rsid w:val="00456AA8"/>
    <w:rsid w:val="00456FDE"/>
    <w:rsid w:val="004571B9"/>
    <w:rsid w:val="004610BC"/>
    <w:rsid w:val="004616E6"/>
    <w:rsid w:val="00461AA0"/>
    <w:rsid w:val="0046279E"/>
    <w:rsid w:val="00462B93"/>
    <w:rsid w:val="00462D90"/>
    <w:rsid w:val="00462FE4"/>
    <w:rsid w:val="004632BA"/>
    <w:rsid w:val="0046383D"/>
    <w:rsid w:val="00463A95"/>
    <w:rsid w:val="00464165"/>
    <w:rsid w:val="00464375"/>
    <w:rsid w:val="00464C57"/>
    <w:rsid w:val="00464EAC"/>
    <w:rsid w:val="0046509F"/>
    <w:rsid w:val="0046519B"/>
    <w:rsid w:val="00465F21"/>
    <w:rsid w:val="00466058"/>
    <w:rsid w:val="00466084"/>
    <w:rsid w:val="00466618"/>
    <w:rsid w:val="00466DA5"/>
    <w:rsid w:val="00467ACF"/>
    <w:rsid w:val="00467E54"/>
    <w:rsid w:val="00470542"/>
    <w:rsid w:val="00470AFF"/>
    <w:rsid w:val="00471D9C"/>
    <w:rsid w:val="00472CDC"/>
    <w:rsid w:val="004732DF"/>
    <w:rsid w:val="004737F5"/>
    <w:rsid w:val="00474A64"/>
    <w:rsid w:val="0047685D"/>
    <w:rsid w:val="00476E73"/>
    <w:rsid w:val="00476F5E"/>
    <w:rsid w:val="00477242"/>
    <w:rsid w:val="00477282"/>
    <w:rsid w:val="00477320"/>
    <w:rsid w:val="004801A1"/>
    <w:rsid w:val="004801C6"/>
    <w:rsid w:val="00480403"/>
    <w:rsid w:val="004813DD"/>
    <w:rsid w:val="004820A8"/>
    <w:rsid w:val="0048231C"/>
    <w:rsid w:val="00482EE5"/>
    <w:rsid w:val="0048463A"/>
    <w:rsid w:val="00484BAB"/>
    <w:rsid w:val="00485C49"/>
    <w:rsid w:val="00485E63"/>
    <w:rsid w:val="00486777"/>
    <w:rsid w:val="0048696F"/>
    <w:rsid w:val="00486A2C"/>
    <w:rsid w:val="00486BC3"/>
    <w:rsid w:val="004872B6"/>
    <w:rsid w:val="0048780B"/>
    <w:rsid w:val="00487A60"/>
    <w:rsid w:val="00487F44"/>
    <w:rsid w:val="00487FA5"/>
    <w:rsid w:val="00490247"/>
    <w:rsid w:val="004905CB"/>
    <w:rsid w:val="00490A2D"/>
    <w:rsid w:val="00491C02"/>
    <w:rsid w:val="00491FA5"/>
    <w:rsid w:val="00492031"/>
    <w:rsid w:val="004925AB"/>
    <w:rsid w:val="00494121"/>
    <w:rsid w:val="00494158"/>
    <w:rsid w:val="0049457F"/>
    <w:rsid w:val="00494C3D"/>
    <w:rsid w:val="0049534D"/>
    <w:rsid w:val="00495686"/>
    <w:rsid w:val="00496733"/>
    <w:rsid w:val="00496EA2"/>
    <w:rsid w:val="00496EDE"/>
    <w:rsid w:val="004970C6"/>
    <w:rsid w:val="00497478"/>
    <w:rsid w:val="00497FD2"/>
    <w:rsid w:val="00497FF0"/>
    <w:rsid w:val="004A0D8C"/>
    <w:rsid w:val="004A167B"/>
    <w:rsid w:val="004A23B6"/>
    <w:rsid w:val="004A25CB"/>
    <w:rsid w:val="004A2A00"/>
    <w:rsid w:val="004A2D62"/>
    <w:rsid w:val="004A2DC3"/>
    <w:rsid w:val="004A343A"/>
    <w:rsid w:val="004A3794"/>
    <w:rsid w:val="004A3DCE"/>
    <w:rsid w:val="004A4802"/>
    <w:rsid w:val="004A4AE4"/>
    <w:rsid w:val="004A52EA"/>
    <w:rsid w:val="004A6596"/>
    <w:rsid w:val="004A65D9"/>
    <w:rsid w:val="004A6ED2"/>
    <w:rsid w:val="004A709C"/>
    <w:rsid w:val="004A71B8"/>
    <w:rsid w:val="004A7EDE"/>
    <w:rsid w:val="004B079D"/>
    <w:rsid w:val="004B1028"/>
    <w:rsid w:val="004B16C1"/>
    <w:rsid w:val="004B1A7E"/>
    <w:rsid w:val="004B2485"/>
    <w:rsid w:val="004B2F1E"/>
    <w:rsid w:val="004B308D"/>
    <w:rsid w:val="004B3365"/>
    <w:rsid w:val="004B354C"/>
    <w:rsid w:val="004B3B22"/>
    <w:rsid w:val="004B4622"/>
    <w:rsid w:val="004B4A02"/>
    <w:rsid w:val="004B525E"/>
    <w:rsid w:val="004B5345"/>
    <w:rsid w:val="004B5BE7"/>
    <w:rsid w:val="004B6065"/>
    <w:rsid w:val="004B607E"/>
    <w:rsid w:val="004B62FA"/>
    <w:rsid w:val="004B6E2C"/>
    <w:rsid w:val="004B749B"/>
    <w:rsid w:val="004B76FE"/>
    <w:rsid w:val="004B7724"/>
    <w:rsid w:val="004B7E6B"/>
    <w:rsid w:val="004B7F25"/>
    <w:rsid w:val="004C03E8"/>
    <w:rsid w:val="004C0B0A"/>
    <w:rsid w:val="004C113A"/>
    <w:rsid w:val="004C1203"/>
    <w:rsid w:val="004C1A77"/>
    <w:rsid w:val="004C1BDB"/>
    <w:rsid w:val="004C1DE9"/>
    <w:rsid w:val="004C21DC"/>
    <w:rsid w:val="004C2248"/>
    <w:rsid w:val="004C2877"/>
    <w:rsid w:val="004C2C16"/>
    <w:rsid w:val="004C3522"/>
    <w:rsid w:val="004C3898"/>
    <w:rsid w:val="004C3E60"/>
    <w:rsid w:val="004C4CCB"/>
    <w:rsid w:val="004C5354"/>
    <w:rsid w:val="004C55F0"/>
    <w:rsid w:val="004C5CEE"/>
    <w:rsid w:val="004C5F35"/>
    <w:rsid w:val="004C62F3"/>
    <w:rsid w:val="004C6EC8"/>
    <w:rsid w:val="004C7744"/>
    <w:rsid w:val="004C7A85"/>
    <w:rsid w:val="004D0DD8"/>
    <w:rsid w:val="004D30CC"/>
    <w:rsid w:val="004D31FF"/>
    <w:rsid w:val="004D3297"/>
    <w:rsid w:val="004D3F6C"/>
    <w:rsid w:val="004D7006"/>
    <w:rsid w:val="004D720D"/>
    <w:rsid w:val="004D7758"/>
    <w:rsid w:val="004E0584"/>
    <w:rsid w:val="004E0879"/>
    <w:rsid w:val="004E08BB"/>
    <w:rsid w:val="004E1103"/>
    <w:rsid w:val="004E1214"/>
    <w:rsid w:val="004E16F3"/>
    <w:rsid w:val="004E20D5"/>
    <w:rsid w:val="004E2FD6"/>
    <w:rsid w:val="004E4728"/>
    <w:rsid w:val="004E476A"/>
    <w:rsid w:val="004E4CA6"/>
    <w:rsid w:val="004E50E8"/>
    <w:rsid w:val="004E50FC"/>
    <w:rsid w:val="004E5C32"/>
    <w:rsid w:val="004E666C"/>
    <w:rsid w:val="004E6CC7"/>
    <w:rsid w:val="004E6D97"/>
    <w:rsid w:val="004E72B2"/>
    <w:rsid w:val="004E784D"/>
    <w:rsid w:val="004E78EE"/>
    <w:rsid w:val="004E7E05"/>
    <w:rsid w:val="004E7FB1"/>
    <w:rsid w:val="004F03F9"/>
    <w:rsid w:val="004F0EC7"/>
    <w:rsid w:val="004F0EF1"/>
    <w:rsid w:val="004F100B"/>
    <w:rsid w:val="004F1068"/>
    <w:rsid w:val="004F18CE"/>
    <w:rsid w:val="004F195B"/>
    <w:rsid w:val="004F22A2"/>
    <w:rsid w:val="004F24AD"/>
    <w:rsid w:val="004F24C7"/>
    <w:rsid w:val="004F2518"/>
    <w:rsid w:val="004F268B"/>
    <w:rsid w:val="004F2CC8"/>
    <w:rsid w:val="004F3E53"/>
    <w:rsid w:val="004F4972"/>
    <w:rsid w:val="004F52B6"/>
    <w:rsid w:val="004F54C5"/>
    <w:rsid w:val="004F5AD0"/>
    <w:rsid w:val="004F5E36"/>
    <w:rsid w:val="004F6584"/>
    <w:rsid w:val="004F6601"/>
    <w:rsid w:val="004F6885"/>
    <w:rsid w:val="004F77FB"/>
    <w:rsid w:val="00500B4C"/>
    <w:rsid w:val="00500B80"/>
    <w:rsid w:val="00501B9C"/>
    <w:rsid w:val="005029E4"/>
    <w:rsid w:val="005030FB"/>
    <w:rsid w:val="00503DB2"/>
    <w:rsid w:val="00504248"/>
    <w:rsid w:val="00505D3E"/>
    <w:rsid w:val="00505EE4"/>
    <w:rsid w:val="00505F1F"/>
    <w:rsid w:val="00507B99"/>
    <w:rsid w:val="00507D9C"/>
    <w:rsid w:val="00510598"/>
    <w:rsid w:val="005108C4"/>
    <w:rsid w:val="005114AF"/>
    <w:rsid w:val="005115BA"/>
    <w:rsid w:val="00511C9B"/>
    <w:rsid w:val="005128D4"/>
    <w:rsid w:val="00512A90"/>
    <w:rsid w:val="0051324C"/>
    <w:rsid w:val="0051328B"/>
    <w:rsid w:val="00513726"/>
    <w:rsid w:val="005141D1"/>
    <w:rsid w:val="0051431D"/>
    <w:rsid w:val="00514673"/>
    <w:rsid w:val="00514C84"/>
    <w:rsid w:val="0051557A"/>
    <w:rsid w:val="005156B9"/>
    <w:rsid w:val="0051575C"/>
    <w:rsid w:val="00515E2A"/>
    <w:rsid w:val="00516822"/>
    <w:rsid w:val="00516E58"/>
    <w:rsid w:val="00517211"/>
    <w:rsid w:val="005201E5"/>
    <w:rsid w:val="005201F3"/>
    <w:rsid w:val="00520794"/>
    <w:rsid w:val="0052092A"/>
    <w:rsid w:val="005216F3"/>
    <w:rsid w:val="00521875"/>
    <w:rsid w:val="0052203B"/>
    <w:rsid w:val="00522145"/>
    <w:rsid w:val="005231B0"/>
    <w:rsid w:val="005235A8"/>
    <w:rsid w:val="00523768"/>
    <w:rsid w:val="0052393B"/>
    <w:rsid w:val="00523C80"/>
    <w:rsid w:val="00524D57"/>
    <w:rsid w:val="00524F94"/>
    <w:rsid w:val="00525431"/>
    <w:rsid w:val="00525BDD"/>
    <w:rsid w:val="00526493"/>
    <w:rsid w:val="00526C1C"/>
    <w:rsid w:val="005277DB"/>
    <w:rsid w:val="00530993"/>
    <w:rsid w:val="005310EB"/>
    <w:rsid w:val="005319C5"/>
    <w:rsid w:val="00531A42"/>
    <w:rsid w:val="00531A61"/>
    <w:rsid w:val="00532559"/>
    <w:rsid w:val="00532EFD"/>
    <w:rsid w:val="00533674"/>
    <w:rsid w:val="00533D2C"/>
    <w:rsid w:val="005342CB"/>
    <w:rsid w:val="0053454C"/>
    <w:rsid w:val="00534F95"/>
    <w:rsid w:val="005350BC"/>
    <w:rsid w:val="00535B52"/>
    <w:rsid w:val="00536436"/>
    <w:rsid w:val="00536D7C"/>
    <w:rsid w:val="00537095"/>
    <w:rsid w:val="005400DC"/>
    <w:rsid w:val="0054065B"/>
    <w:rsid w:val="00540F7A"/>
    <w:rsid w:val="00540FD5"/>
    <w:rsid w:val="005418DE"/>
    <w:rsid w:val="00541B4A"/>
    <w:rsid w:val="00541B6D"/>
    <w:rsid w:val="00541E25"/>
    <w:rsid w:val="0054226B"/>
    <w:rsid w:val="00543E26"/>
    <w:rsid w:val="00544316"/>
    <w:rsid w:val="00544A3A"/>
    <w:rsid w:val="005451C8"/>
    <w:rsid w:val="00546A3F"/>
    <w:rsid w:val="00546FCF"/>
    <w:rsid w:val="00547919"/>
    <w:rsid w:val="005507C3"/>
    <w:rsid w:val="00550974"/>
    <w:rsid w:val="00550C6B"/>
    <w:rsid w:val="00550E43"/>
    <w:rsid w:val="00551517"/>
    <w:rsid w:val="005519D4"/>
    <w:rsid w:val="00551F4F"/>
    <w:rsid w:val="0055205F"/>
    <w:rsid w:val="005520A5"/>
    <w:rsid w:val="005527C6"/>
    <w:rsid w:val="00552A88"/>
    <w:rsid w:val="00552BEF"/>
    <w:rsid w:val="00552E14"/>
    <w:rsid w:val="00552ECD"/>
    <w:rsid w:val="005538F4"/>
    <w:rsid w:val="00553F13"/>
    <w:rsid w:val="00553F6D"/>
    <w:rsid w:val="00554855"/>
    <w:rsid w:val="00554CAC"/>
    <w:rsid w:val="00555147"/>
    <w:rsid w:val="00555D6F"/>
    <w:rsid w:val="00555E1E"/>
    <w:rsid w:val="00556689"/>
    <w:rsid w:val="005570F8"/>
    <w:rsid w:val="00557296"/>
    <w:rsid w:val="005574B1"/>
    <w:rsid w:val="005604C3"/>
    <w:rsid w:val="00560923"/>
    <w:rsid w:val="00560CCB"/>
    <w:rsid w:val="005610EE"/>
    <w:rsid w:val="00561142"/>
    <w:rsid w:val="00561291"/>
    <w:rsid w:val="005618B3"/>
    <w:rsid w:val="00561D4E"/>
    <w:rsid w:val="00561F0E"/>
    <w:rsid w:val="00562B6C"/>
    <w:rsid w:val="00562CE1"/>
    <w:rsid w:val="00564AE1"/>
    <w:rsid w:val="00565A42"/>
    <w:rsid w:val="00565C11"/>
    <w:rsid w:val="00565EA7"/>
    <w:rsid w:val="00566254"/>
    <w:rsid w:val="00566CFE"/>
    <w:rsid w:val="00566DB5"/>
    <w:rsid w:val="005671D2"/>
    <w:rsid w:val="0056723F"/>
    <w:rsid w:val="00567DF4"/>
    <w:rsid w:val="00570534"/>
    <w:rsid w:val="00570E40"/>
    <w:rsid w:val="00570EB8"/>
    <w:rsid w:val="005715CC"/>
    <w:rsid w:val="00571651"/>
    <w:rsid w:val="00571B35"/>
    <w:rsid w:val="0057225C"/>
    <w:rsid w:val="00572265"/>
    <w:rsid w:val="00572359"/>
    <w:rsid w:val="005724D4"/>
    <w:rsid w:val="00572B94"/>
    <w:rsid w:val="0057456C"/>
    <w:rsid w:val="005749B2"/>
    <w:rsid w:val="00575740"/>
    <w:rsid w:val="005765E4"/>
    <w:rsid w:val="00576C17"/>
    <w:rsid w:val="005779A0"/>
    <w:rsid w:val="005800A0"/>
    <w:rsid w:val="005807A9"/>
    <w:rsid w:val="005809FD"/>
    <w:rsid w:val="00581470"/>
    <w:rsid w:val="00581957"/>
    <w:rsid w:val="00581B84"/>
    <w:rsid w:val="0058236D"/>
    <w:rsid w:val="00582800"/>
    <w:rsid w:val="0058282B"/>
    <w:rsid w:val="00583A6C"/>
    <w:rsid w:val="00583C03"/>
    <w:rsid w:val="00585329"/>
    <w:rsid w:val="005856D9"/>
    <w:rsid w:val="00585C51"/>
    <w:rsid w:val="005860DC"/>
    <w:rsid w:val="0058642B"/>
    <w:rsid w:val="005864D9"/>
    <w:rsid w:val="00586CB9"/>
    <w:rsid w:val="005904A7"/>
    <w:rsid w:val="0059080E"/>
    <w:rsid w:val="00590BEF"/>
    <w:rsid w:val="00591929"/>
    <w:rsid w:val="00592AC7"/>
    <w:rsid w:val="0059323C"/>
    <w:rsid w:val="0059366F"/>
    <w:rsid w:val="005943E4"/>
    <w:rsid w:val="005944E1"/>
    <w:rsid w:val="00595258"/>
    <w:rsid w:val="00595A42"/>
    <w:rsid w:val="00595C62"/>
    <w:rsid w:val="0059760C"/>
    <w:rsid w:val="0059764B"/>
    <w:rsid w:val="00597AC4"/>
    <w:rsid w:val="00597C95"/>
    <w:rsid w:val="00597E15"/>
    <w:rsid w:val="00597FC4"/>
    <w:rsid w:val="005A033A"/>
    <w:rsid w:val="005A07AB"/>
    <w:rsid w:val="005A0835"/>
    <w:rsid w:val="005A0C59"/>
    <w:rsid w:val="005A1017"/>
    <w:rsid w:val="005A1144"/>
    <w:rsid w:val="005A239A"/>
    <w:rsid w:val="005A245F"/>
    <w:rsid w:val="005A2640"/>
    <w:rsid w:val="005A2797"/>
    <w:rsid w:val="005A2888"/>
    <w:rsid w:val="005A2C53"/>
    <w:rsid w:val="005A30D0"/>
    <w:rsid w:val="005A332B"/>
    <w:rsid w:val="005A3A43"/>
    <w:rsid w:val="005A43ED"/>
    <w:rsid w:val="005A4EF2"/>
    <w:rsid w:val="005A5B08"/>
    <w:rsid w:val="005A5B86"/>
    <w:rsid w:val="005A6CDD"/>
    <w:rsid w:val="005A76A5"/>
    <w:rsid w:val="005A7CA8"/>
    <w:rsid w:val="005B04AC"/>
    <w:rsid w:val="005B0959"/>
    <w:rsid w:val="005B0BB5"/>
    <w:rsid w:val="005B1861"/>
    <w:rsid w:val="005B1F92"/>
    <w:rsid w:val="005B2912"/>
    <w:rsid w:val="005B2D81"/>
    <w:rsid w:val="005B306A"/>
    <w:rsid w:val="005B3849"/>
    <w:rsid w:val="005B3DA6"/>
    <w:rsid w:val="005B42F3"/>
    <w:rsid w:val="005B462B"/>
    <w:rsid w:val="005B4B68"/>
    <w:rsid w:val="005B4D0A"/>
    <w:rsid w:val="005B536A"/>
    <w:rsid w:val="005B5795"/>
    <w:rsid w:val="005B59D9"/>
    <w:rsid w:val="005B5B29"/>
    <w:rsid w:val="005B71E7"/>
    <w:rsid w:val="005B74A2"/>
    <w:rsid w:val="005B77DA"/>
    <w:rsid w:val="005B7A31"/>
    <w:rsid w:val="005C1310"/>
    <w:rsid w:val="005C1D66"/>
    <w:rsid w:val="005C2432"/>
    <w:rsid w:val="005C25DE"/>
    <w:rsid w:val="005C2960"/>
    <w:rsid w:val="005C327A"/>
    <w:rsid w:val="005C344F"/>
    <w:rsid w:val="005C3B14"/>
    <w:rsid w:val="005C3CA6"/>
    <w:rsid w:val="005C43F3"/>
    <w:rsid w:val="005C4F3E"/>
    <w:rsid w:val="005C54F1"/>
    <w:rsid w:val="005C5570"/>
    <w:rsid w:val="005C5759"/>
    <w:rsid w:val="005C635B"/>
    <w:rsid w:val="005C7B32"/>
    <w:rsid w:val="005D0354"/>
    <w:rsid w:val="005D0655"/>
    <w:rsid w:val="005D077E"/>
    <w:rsid w:val="005D0900"/>
    <w:rsid w:val="005D19E6"/>
    <w:rsid w:val="005D1A8F"/>
    <w:rsid w:val="005D20B5"/>
    <w:rsid w:val="005D27DE"/>
    <w:rsid w:val="005D341C"/>
    <w:rsid w:val="005D41C9"/>
    <w:rsid w:val="005D42BE"/>
    <w:rsid w:val="005D45C2"/>
    <w:rsid w:val="005D473C"/>
    <w:rsid w:val="005D4C06"/>
    <w:rsid w:val="005D6480"/>
    <w:rsid w:val="005D7471"/>
    <w:rsid w:val="005D77FA"/>
    <w:rsid w:val="005D7BB1"/>
    <w:rsid w:val="005D7D43"/>
    <w:rsid w:val="005D7D7D"/>
    <w:rsid w:val="005D7DAF"/>
    <w:rsid w:val="005E041C"/>
    <w:rsid w:val="005E23BC"/>
    <w:rsid w:val="005E243D"/>
    <w:rsid w:val="005E2837"/>
    <w:rsid w:val="005E2988"/>
    <w:rsid w:val="005E2B66"/>
    <w:rsid w:val="005E2DD8"/>
    <w:rsid w:val="005E2E18"/>
    <w:rsid w:val="005E3043"/>
    <w:rsid w:val="005E392F"/>
    <w:rsid w:val="005E4004"/>
    <w:rsid w:val="005E43EF"/>
    <w:rsid w:val="005E4B4D"/>
    <w:rsid w:val="005E50A3"/>
    <w:rsid w:val="005E5405"/>
    <w:rsid w:val="005E5590"/>
    <w:rsid w:val="005E5940"/>
    <w:rsid w:val="005F0078"/>
    <w:rsid w:val="005F0195"/>
    <w:rsid w:val="005F0834"/>
    <w:rsid w:val="005F0A68"/>
    <w:rsid w:val="005F0EF6"/>
    <w:rsid w:val="005F206A"/>
    <w:rsid w:val="005F3004"/>
    <w:rsid w:val="005F3154"/>
    <w:rsid w:val="005F45E6"/>
    <w:rsid w:val="005F5912"/>
    <w:rsid w:val="005F60AA"/>
    <w:rsid w:val="005F6C22"/>
    <w:rsid w:val="005F7333"/>
    <w:rsid w:val="005F7BDA"/>
    <w:rsid w:val="00601178"/>
    <w:rsid w:val="006030AF"/>
    <w:rsid w:val="006036CA"/>
    <w:rsid w:val="00603B0A"/>
    <w:rsid w:val="0060439B"/>
    <w:rsid w:val="00604471"/>
    <w:rsid w:val="00604A33"/>
    <w:rsid w:val="00604AC2"/>
    <w:rsid w:val="006055F4"/>
    <w:rsid w:val="00605848"/>
    <w:rsid w:val="00605E28"/>
    <w:rsid w:val="00606BD8"/>
    <w:rsid w:val="00606CC0"/>
    <w:rsid w:val="00606FAF"/>
    <w:rsid w:val="00610BD3"/>
    <w:rsid w:val="006115FD"/>
    <w:rsid w:val="00611737"/>
    <w:rsid w:val="00611E62"/>
    <w:rsid w:val="00612296"/>
    <w:rsid w:val="0061301B"/>
    <w:rsid w:val="0061308D"/>
    <w:rsid w:val="00613152"/>
    <w:rsid w:val="006135ED"/>
    <w:rsid w:val="0061372E"/>
    <w:rsid w:val="00613BE0"/>
    <w:rsid w:val="00613E18"/>
    <w:rsid w:val="006156BD"/>
    <w:rsid w:val="00615B8B"/>
    <w:rsid w:val="00616900"/>
    <w:rsid w:val="00617195"/>
    <w:rsid w:val="00617349"/>
    <w:rsid w:val="0061741F"/>
    <w:rsid w:val="00617F9F"/>
    <w:rsid w:val="0062030F"/>
    <w:rsid w:val="00620347"/>
    <w:rsid w:val="0062066C"/>
    <w:rsid w:val="0062068E"/>
    <w:rsid w:val="00620941"/>
    <w:rsid w:val="00621371"/>
    <w:rsid w:val="00621A5D"/>
    <w:rsid w:val="0062209A"/>
    <w:rsid w:val="0062226D"/>
    <w:rsid w:val="00622593"/>
    <w:rsid w:val="0062333C"/>
    <w:rsid w:val="0062381F"/>
    <w:rsid w:val="00623934"/>
    <w:rsid w:val="00625079"/>
    <w:rsid w:val="00625D47"/>
    <w:rsid w:val="00626ACF"/>
    <w:rsid w:val="00626B54"/>
    <w:rsid w:val="00626EEC"/>
    <w:rsid w:val="006271C7"/>
    <w:rsid w:val="006276AC"/>
    <w:rsid w:val="00627C3C"/>
    <w:rsid w:val="00627DC6"/>
    <w:rsid w:val="00627EE9"/>
    <w:rsid w:val="00630C5C"/>
    <w:rsid w:val="00631145"/>
    <w:rsid w:val="006313ED"/>
    <w:rsid w:val="00631467"/>
    <w:rsid w:val="0063186B"/>
    <w:rsid w:val="00631CC9"/>
    <w:rsid w:val="00631CD7"/>
    <w:rsid w:val="00632325"/>
    <w:rsid w:val="006323A0"/>
    <w:rsid w:val="00632A24"/>
    <w:rsid w:val="00632C60"/>
    <w:rsid w:val="00632E57"/>
    <w:rsid w:val="00633EA7"/>
    <w:rsid w:val="00634902"/>
    <w:rsid w:val="006354B6"/>
    <w:rsid w:val="00635503"/>
    <w:rsid w:val="00635AAB"/>
    <w:rsid w:val="006374BC"/>
    <w:rsid w:val="006416F9"/>
    <w:rsid w:val="00641EEE"/>
    <w:rsid w:val="0064205C"/>
    <w:rsid w:val="00642376"/>
    <w:rsid w:val="0064291F"/>
    <w:rsid w:val="0064292D"/>
    <w:rsid w:val="00642FF0"/>
    <w:rsid w:val="006433CE"/>
    <w:rsid w:val="00643B80"/>
    <w:rsid w:val="00643E13"/>
    <w:rsid w:val="00643FA6"/>
    <w:rsid w:val="0064435C"/>
    <w:rsid w:val="0064440F"/>
    <w:rsid w:val="00644B46"/>
    <w:rsid w:val="00644B4F"/>
    <w:rsid w:val="00644DAE"/>
    <w:rsid w:val="00644E33"/>
    <w:rsid w:val="00645003"/>
    <w:rsid w:val="00645A23"/>
    <w:rsid w:val="00646AF2"/>
    <w:rsid w:val="00646C0A"/>
    <w:rsid w:val="00646F96"/>
    <w:rsid w:val="0064718E"/>
    <w:rsid w:val="00647221"/>
    <w:rsid w:val="00647D6B"/>
    <w:rsid w:val="00647EFD"/>
    <w:rsid w:val="00651B82"/>
    <w:rsid w:val="00652853"/>
    <w:rsid w:val="00652C42"/>
    <w:rsid w:val="0065300E"/>
    <w:rsid w:val="0065309A"/>
    <w:rsid w:val="00654169"/>
    <w:rsid w:val="006542CF"/>
    <w:rsid w:val="0065457B"/>
    <w:rsid w:val="00654990"/>
    <w:rsid w:val="00654D00"/>
    <w:rsid w:val="00655233"/>
    <w:rsid w:val="006554B2"/>
    <w:rsid w:val="0065590C"/>
    <w:rsid w:val="00655F52"/>
    <w:rsid w:val="00656222"/>
    <w:rsid w:val="00660B20"/>
    <w:rsid w:val="0066126A"/>
    <w:rsid w:val="006627B9"/>
    <w:rsid w:val="00662980"/>
    <w:rsid w:val="00662DD3"/>
    <w:rsid w:val="00663629"/>
    <w:rsid w:val="00663CF6"/>
    <w:rsid w:val="0066419C"/>
    <w:rsid w:val="0066452D"/>
    <w:rsid w:val="00664862"/>
    <w:rsid w:val="00664A4D"/>
    <w:rsid w:val="00665146"/>
    <w:rsid w:val="00665318"/>
    <w:rsid w:val="006655E2"/>
    <w:rsid w:val="006657AA"/>
    <w:rsid w:val="00665CED"/>
    <w:rsid w:val="00666189"/>
    <w:rsid w:val="00666873"/>
    <w:rsid w:val="00666ACA"/>
    <w:rsid w:val="00667A66"/>
    <w:rsid w:val="00667D5C"/>
    <w:rsid w:val="00670290"/>
    <w:rsid w:val="0067127B"/>
    <w:rsid w:val="006713DE"/>
    <w:rsid w:val="0067158C"/>
    <w:rsid w:val="00672C7D"/>
    <w:rsid w:val="00672EB9"/>
    <w:rsid w:val="00672FF4"/>
    <w:rsid w:val="00673017"/>
    <w:rsid w:val="006730F0"/>
    <w:rsid w:val="00673393"/>
    <w:rsid w:val="006735E1"/>
    <w:rsid w:val="0067432C"/>
    <w:rsid w:val="00674855"/>
    <w:rsid w:val="00674C25"/>
    <w:rsid w:val="00675052"/>
    <w:rsid w:val="00675AED"/>
    <w:rsid w:val="0067637D"/>
    <w:rsid w:val="006767D3"/>
    <w:rsid w:val="00676F25"/>
    <w:rsid w:val="006771BA"/>
    <w:rsid w:val="00677ADF"/>
    <w:rsid w:val="00680F4F"/>
    <w:rsid w:val="00681108"/>
    <w:rsid w:val="006814C7"/>
    <w:rsid w:val="006820BB"/>
    <w:rsid w:val="00682486"/>
    <w:rsid w:val="006834EA"/>
    <w:rsid w:val="006836E3"/>
    <w:rsid w:val="006836F7"/>
    <w:rsid w:val="00683947"/>
    <w:rsid w:val="00683E47"/>
    <w:rsid w:val="0068402F"/>
    <w:rsid w:val="006853D0"/>
    <w:rsid w:val="0068616C"/>
    <w:rsid w:val="00686329"/>
    <w:rsid w:val="00687794"/>
    <w:rsid w:val="00687DC1"/>
    <w:rsid w:val="00687ECC"/>
    <w:rsid w:val="006903DA"/>
    <w:rsid w:val="006913AC"/>
    <w:rsid w:val="00691930"/>
    <w:rsid w:val="00691AD1"/>
    <w:rsid w:val="00691BD6"/>
    <w:rsid w:val="006928A3"/>
    <w:rsid w:val="00692BE3"/>
    <w:rsid w:val="00692C6A"/>
    <w:rsid w:val="00692FB5"/>
    <w:rsid w:val="00693138"/>
    <w:rsid w:val="00693293"/>
    <w:rsid w:val="00693DCF"/>
    <w:rsid w:val="00693F63"/>
    <w:rsid w:val="0069412B"/>
    <w:rsid w:val="0069467F"/>
    <w:rsid w:val="006949D7"/>
    <w:rsid w:val="00695228"/>
    <w:rsid w:val="006953CB"/>
    <w:rsid w:val="00695D61"/>
    <w:rsid w:val="00696053"/>
    <w:rsid w:val="0069606B"/>
    <w:rsid w:val="006973B9"/>
    <w:rsid w:val="00697657"/>
    <w:rsid w:val="00697BDB"/>
    <w:rsid w:val="006A031E"/>
    <w:rsid w:val="006A0A03"/>
    <w:rsid w:val="006A0A7E"/>
    <w:rsid w:val="006A1A19"/>
    <w:rsid w:val="006A1BA7"/>
    <w:rsid w:val="006A1BC0"/>
    <w:rsid w:val="006A226A"/>
    <w:rsid w:val="006A343F"/>
    <w:rsid w:val="006A41B9"/>
    <w:rsid w:val="006A4A68"/>
    <w:rsid w:val="006A4A9E"/>
    <w:rsid w:val="006A4DD3"/>
    <w:rsid w:val="006A51B4"/>
    <w:rsid w:val="006A5C9C"/>
    <w:rsid w:val="006A637F"/>
    <w:rsid w:val="006A67E4"/>
    <w:rsid w:val="006A6FD8"/>
    <w:rsid w:val="006A7653"/>
    <w:rsid w:val="006A76FF"/>
    <w:rsid w:val="006A7DD2"/>
    <w:rsid w:val="006A7E1B"/>
    <w:rsid w:val="006B01E3"/>
    <w:rsid w:val="006B0659"/>
    <w:rsid w:val="006B0E57"/>
    <w:rsid w:val="006B1806"/>
    <w:rsid w:val="006B2107"/>
    <w:rsid w:val="006B220C"/>
    <w:rsid w:val="006B3BB3"/>
    <w:rsid w:val="006B4670"/>
    <w:rsid w:val="006B476F"/>
    <w:rsid w:val="006B4E5D"/>
    <w:rsid w:val="006B4ED2"/>
    <w:rsid w:val="006B50E9"/>
    <w:rsid w:val="006B5EA2"/>
    <w:rsid w:val="006B6457"/>
    <w:rsid w:val="006B67F1"/>
    <w:rsid w:val="006B6FA3"/>
    <w:rsid w:val="006B747C"/>
    <w:rsid w:val="006B7D19"/>
    <w:rsid w:val="006C004C"/>
    <w:rsid w:val="006C1105"/>
    <w:rsid w:val="006C1E20"/>
    <w:rsid w:val="006C2100"/>
    <w:rsid w:val="006C29EB"/>
    <w:rsid w:val="006C3205"/>
    <w:rsid w:val="006C3371"/>
    <w:rsid w:val="006C3436"/>
    <w:rsid w:val="006C3888"/>
    <w:rsid w:val="006C3E72"/>
    <w:rsid w:val="006C499B"/>
    <w:rsid w:val="006C4E83"/>
    <w:rsid w:val="006C5504"/>
    <w:rsid w:val="006C6DA5"/>
    <w:rsid w:val="006C6F24"/>
    <w:rsid w:val="006C7655"/>
    <w:rsid w:val="006C7741"/>
    <w:rsid w:val="006C7E8E"/>
    <w:rsid w:val="006C7F95"/>
    <w:rsid w:val="006D00A0"/>
    <w:rsid w:val="006D0433"/>
    <w:rsid w:val="006D04C9"/>
    <w:rsid w:val="006D07E9"/>
    <w:rsid w:val="006D08C4"/>
    <w:rsid w:val="006D0905"/>
    <w:rsid w:val="006D0C54"/>
    <w:rsid w:val="006D22DB"/>
    <w:rsid w:val="006D24F3"/>
    <w:rsid w:val="006D3A8D"/>
    <w:rsid w:val="006D4FCD"/>
    <w:rsid w:val="006D4FF9"/>
    <w:rsid w:val="006D5275"/>
    <w:rsid w:val="006D543D"/>
    <w:rsid w:val="006D59E4"/>
    <w:rsid w:val="006D6C60"/>
    <w:rsid w:val="006D75BC"/>
    <w:rsid w:val="006D7A99"/>
    <w:rsid w:val="006D7FC1"/>
    <w:rsid w:val="006E0AD5"/>
    <w:rsid w:val="006E12D9"/>
    <w:rsid w:val="006E1C05"/>
    <w:rsid w:val="006E2A36"/>
    <w:rsid w:val="006E3C47"/>
    <w:rsid w:val="006E451F"/>
    <w:rsid w:val="006E4C12"/>
    <w:rsid w:val="006E58CC"/>
    <w:rsid w:val="006E7435"/>
    <w:rsid w:val="006E7D84"/>
    <w:rsid w:val="006E7E9F"/>
    <w:rsid w:val="006F0965"/>
    <w:rsid w:val="006F1496"/>
    <w:rsid w:val="006F1E17"/>
    <w:rsid w:val="006F23F1"/>
    <w:rsid w:val="006F29F2"/>
    <w:rsid w:val="006F2BEB"/>
    <w:rsid w:val="006F37B2"/>
    <w:rsid w:val="006F38B8"/>
    <w:rsid w:val="006F3FA4"/>
    <w:rsid w:val="006F405A"/>
    <w:rsid w:val="006F44B1"/>
    <w:rsid w:val="006F50DA"/>
    <w:rsid w:val="006F5853"/>
    <w:rsid w:val="006F5AE4"/>
    <w:rsid w:val="006F650A"/>
    <w:rsid w:val="006F6ACD"/>
    <w:rsid w:val="006F7038"/>
    <w:rsid w:val="006F732D"/>
    <w:rsid w:val="006F7336"/>
    <w:rsid w:val="006F76A3"/>
    <w:rsid w:val="00700888"/>
    <w:rsid w:val="00700C22"/>
    <w:rsid w:val="00700CBE"/>
    <w:rsid w:val="00701074"/>
    <w:rsid w:val="00701308"/>
    <w:rsid w:val="00704767"/>
    <w:rsid w:val="0070476F"/>
    <w:rsid w:val="00704852"/>
    <w:rsid w:val="00704B01"/>
    <w:rsid w:val="00704BB1"/>
    <w:rsid w:val="007052EB"/>
    <w:rsid w:val="00706139"/>
    <w:rsid w:val="00706238"/>
    <w:rsid w:val="007069DE"/>
    <w:rsid w:val="00707ECE"/>
    <w:rsid w:val="007100EB"/>
    <w:rsid w:val="00710119"/>
    <w:rsid w:val="0071022B"/>
    <w:rsid w:val="00710BFE"/>
    <w:rsid w:val="007119B0"/>
    <w:rsid w:val="00711E82"/>
    <w:rsid w:val="00711F09"/>
    <w:rsid w:val="00712021"/>
    <w:rsid w:val="007121BE"/>
    <w:rsid w:val="0071222D"/>
    <w:rsid w:val="00713D87"/>
    <w:rsid w:val="007144FE"/>
    <w:rsid w:val="00714931"/>
    <w:rsid w:val="00714A6F"/>
    <w:rsid w:val="00715089"/>
    <w:rsid w:val="007152C4"/>
    <w:rsid w:val="00715B00"/>
    <w:rsid w:val="0071658B"/>
    <w:rsid w:val="00717AF0"/>
    <w:rsid w:val="00720696"/>
    <w:rsid w:val="007208BD"/>
    <w:rsid w:val="00720A24"/>
    <w:rsid w:val="0072103E"/>
    <w:rsid w:val="007213B9"/>
    <w:rsid w:val="00721F43"/>
    <w:rsid w:val="007234C8"/>
    <w:rsid w:val="007236BE"/>
    <w:rsid w:val="00723710"/>
    <w:rsid w:val="00723AC2"/>
    <w:rsid w:val="00723CBD"/>
    <w:rsid w:val="00724E5F"/>
    <w:rsid w:val="007257D9"/>
    <w:rsid w:val="00726079"/>
    <w:rsid w:val="00726369"/>
    <w:rsid w:val="00726FCD"/>
    <w:rsid w:val="00727CC4"/>
    <w:rsid w:val="00730484"/>
    <w:rsid w:val="00731E14"/>
    <w:rsid w:val="0073295E"/>
    <w:rsid w:val="00733752"/>
    <w:rsid w:val="00733B6A"/>
    <w:rsid w:val="0073404E"/>
    <w:rsid w:val="00734417"/>
    <w:rsid w:val="00734939"/>
    <w:rsid w:val="00734C20"/>
    <w:rsid w:val="00734EC8"/>
    <w:rsid w:val="00735333"/>
    <w:rsid w:val="007355C8"/>
    <w:rsid w:val="00735C91"/>
    <w:rsid w:val="007364A0"/>
    <w:rsid w:val="0073694D"/>
    <w:rsid w:val="00736B45"/>
    <w:rsid w:val="007374ED"/>
    <w:rsid w:val="0073764E"/>
    <w:rsid w:val="0073784C"/>
    <w:rsid w:val="00737B14"/>
    <w:rsid w:val="00737D2F"/>
    <w:rsid w:val="00740A0A"/>
    <w:rsid w:val="00740B59"/>
    <w:rsid w:val="00740CC7"/>
    <w:rsid w:val="00740E1D"/>
    <w:rsid w:val="00741DF5"/>
    <w:rsid w:val="00742505"/>
    <w:rsid w:val="00742BD5"/>
    <w:rsid w:val="00742C8F"/>
    <w:rsid w:val="00742CD1"/>
    <w:rsid w:val="00742FEF"/>
    <w:rsid w:val="0074305C"/>
    <w:rsid w:val="00743673"/>
    <w:rsid w:val="007442D3"/>
    <w:rsid w:val="00745BBD"/>
    <w:rsid w:val="00745D4D"/>
    <w:rsid w:val="007472D8"/>
    <w:rsid w:val="00747357"/>
    <w:rsid w:val="00750CB9"/>
    <w:rsid w:val="00751179"/>
    <w:rsid w:val="00752686"/>
    <w:rsid w:val="007536F6"/>
    <w:rsid w:val="00755109"/>
    <w:rsid w:val="00755262"/>
    <w:rsid w:val="007553A1"/>
    <w:rsid w:val="007553BE"/>
    <w:rsid w:val="00755B01"/>
    <w:rsid w:val="00755B36"/>
    <w:rsid w:val="00756729"/>
    <w:rsid w:val="00756764"/>
    <w:rsid w:val="007575AD"/>
    <w:rsid w:val="007579AF"/>
    <w:rsid w:val="0076079E"/>
    <w:rsid w:val="007607B3"/>
    <w:rsid w:val="00760D98"/>
    <w:rsid w:val="00761275"/>
    <w:rsid w:val="00761601"/>
    <w:rsid w:val="00762478"/>
    <w:rsid w:val="00762E81"/>
    <w:rsid w:val="00763809"/>
    <w:rsid w:val="00763EE0"/>
    <w:rsid w:val="00765D28"/>
    <w:rsid w:val="00766634"/>
    <w:rsid w:val="00766734"/>
    <w:rsid w:val="0076696D"/>
    <w:rsid w:val="00766D32"/>
    <w:rsid w:val="00767294"/>
    <w:rsid w:val="007672BB"/>
    <w:rsid w:val="00767856"/>
    <w:rsid w:val="00767C4A"/>
    <w:rsid w:val="00770841"/>
    <w:rsid w:val="00771920"/>
    <w:rsid w:val="00774617"/>
    <w:rsid w:val="007746A6"/>
    <w:rsid w:val="00774F5B"/>
    <w:rsid w:val="00775501"/>
    <w:rsid w:val="00776331"/>
    <w:rsid w:val="00776B10"/>
    <w:rsid w:val="00776E8D"/>
    <w:rsid w:val="00777803"/>
    <w:rsid w:val="0078032B"/>
    <w:rsid w:val="00780872"/>
    <w:rsid w:val="0078184D"/>
    <w:rsid w:val="007818B4"/>
    <w:rsid w:val="007828D4"/>
    <w:rsid w:val="00782D6C"/>
    <w:rsid w:val="00783C00"/>
    <w:rsid w:val="00783C6D"/>
    <w:rsid w:val="00783CA9"/>
    <w:rsid w:val="007846EB"/>
    <w:rsid w:val="00784F1B"/>
    <w:rsid w:val="007857EC"/>
    <w:rsid w:val="00785D62"/>
    <w:rsid w:val="0078612A"/>
    <w:rsid w:val="007864F1"/>
    <w:rsid w:val="007867B5"/>
    <w:rsid w:val="007868CA"/>
    <w:rsid w:val="00786AA5"/>
    <w:rsid w:val="00786D2F"/>
    <w:rsid w:val="00787629"/>
    <w:rsid w:val="0079044E"/>
    <w:rsid w:val="00790874"/>
    <w:rsid w:val="00790B18"/>
    <w:rsid w:val="00790EAE"/>
    <w:rsid w:val="00791089"/>
    <w:rsid w:val="007926FB"/>
    <w:rsid w:val="00792C7C"/>
    <w:rsid w:val="007934DC"/>
    <w:rsid w:val="007936E3"/>
    <w:rsid w:val="007939FE"/>
    <w:rsid w:val="00793B92"/>
    <w:rsid w:val="00795023"/>
    <w:rsid w:val="0079562F"/>
    <w:rsid w:val="007971C2"/>
    <w:rsid w:val="00797376"/>
    <w:rsid w:val="007A0CA2"/>
    <w:rsid w:val="007A0CA4"/>
    <w:rsid w:val="007A1349"/>
    <w:rsid w:val="007A16A3"/>
    <w:rsid w:val="007A2117"/>
    <w:rsid w:val="007A21D3"/>
    <w:rsid w:val="007A2361"/>
    <w:rsid w:val="007A236C"/>
    <w:rsid w:val="007A2F18"/>
    <w:rsid w:val="007A389C"/>
    <w:rsid w:val="007A3FC5"/>
    <w:rsid w:val="007A57C0"/>
    <w:rsid w:val="007A57E4"/>
    <w:rsid w:val="007A5DD2"/>
    <w:rsid w:val="007A5F8E"/>
    <w:rsid w:val="007A6858"/>
    <w:rsid w:val="007A6C91"/>
    <w:rsid w:val="007A6E19"/>
    <w:rsid w:val="007A7980"/>
    <w:rsid w:val="007B031A"/>
    <w:rsid w:val="007B0DE0"/>
    <w:rsid w:val="007B2122"/>
    <w:rsid w:val="007B2582"/>
    <w:rsid w:val="007B3064"/>
    <w:rsid w:val="007B30F3"/>
    <w:rsid w:val="007B3149"/>
    <w:rsid w:val="007B31A4"/>
    <w:rsid w:val="007B31E3"/>
    <w:rsid w:val="007B32DA"/>
    <w:rsid w:val="007B35AF"/>
    <w:rsid w:val="007B4636"/>
    <w:rsid w:val="007B4DA0"/>
    <w:rsid w:val="007B4EB1"/>
    <w:rsid w:val="007B50B7"/>
    <w:rsid w:val="007B571F"/>
    <w:rsid w:val="007B5E38"/>
    <w:rsid w:val="007B6729"/>
    <w:rsid w:val="007B6B2F"/>
    <w:rsid w:val="007B6C04"/>
    <w:rsid w:val="007B78D5"/>
    <w:rsid w:val="007B7F7E"/>
    <w:rsid w:val="007C0085"/>
    <w:rsid w:val="007C1100"/>
    <w:rsid w:val="007C1F13"/>
    <w:rsid w:val="007C276D"/>
    <w:rsid w:val="007C30D9"/>
    <w:rsid w:val="007C3476"/>
    <w:rsid w:val="007C3E93"/>
    <w:rsid w:val="007C416B"/>
    <w:rsid w:val="007C4835"/>
    <w:rsid w:val="007C4B64"/>
    <w:rsid w:val="007C4E23"/>
    <w:rsid w:val="007C54EC"/>
    <w:rsid w:val="007C5C2D"/>
    <w:rsid w:val="007C5FA2"/>
    <w:rsid w:val="007C5FDE"/>
    <w:rsid w:val="007C6157"/>
    <w:rsid w:val="007C65F9"/>
    <w:rsid w:val="007C6712"/>
    <w:rsid w:val="007C703D"/>
    <w:rsid w:val="007C73F8"/>
    <w:rsid w:val="007C76F9"/>
    <w:rsid w:val="007D004F"/>
    <w:rsid w:val="007D055A"/>
    <w:rsid w:val="007D1414"/>
    <w:rsid w:val="007D1A0F"/>
    <w:rsid w:val="007D2BBC"/>
    <w:rsid w:val="007D2D39"/>
    <w:rsid w:val="007D3375"/>
    <w:rsid w:val="007D3B2B"/>
    <w:rsid w:val="007D3E82"/>
    <w:rsid w:val="007D515D"/>
    <w:rsid w:val="007D53E0"/>
    <w:rsid w:val="007D5980"/>
    <w:rsid w:val="007D6750"/>
    <w:rsid w:val="007D681B"/>
    <w:rsid w:val="007D6D6C"/>
    <w:rsid w:val="007D6E79"/>
    <w:rsid w:val="007D6E9E"/>
    <w:rsid w:val="007D7103"/>
    <w:rsid w:val="007D7266"/>
    <w:rsid w:val="007D796B"/>
    <w:rsid w:val="007D7C4F"/>
    <w:rsid w:val="007E009C"/>
    <w:rsid w:val="007E0504"/>
    <w:rsid w:val="007E0E9C"/>
    <w:rsid w:val="007E143C"/>
    <w:rsid w:val="007E2196"/>
    <w:rsid w:val="007E22A1"/>
    <w:rsid w:val="007E26BC"/>
    <w:rsid w:val="007E39FB"/>
    <w:rsid w:val="007E3C4F"/>
    <w:rsid w:val="007E3D89"/>
    <w:rsid w:val="007E4058"/>
    <w:rsid w:val="007E45B3"/>
    <w:rsid w:val="007E5442"/>
    <w:rsid w:val="007E5927"/>
    <w:rsid w:val="007E5C22"/>
    <w:rsid w:val="007E5EA3"/>
    <w:rsid w:val="007E6FB8"/>
    <w:rsid w:val="007E70F3"/>
    <w:rsid w:val="007E7B57"/>
    <w:rsid w:val="007E7BB4"/>
    <w:rsid w:val="007F041B"/>
    <w:rsid w:val="007F0D4B"/>
    <w:rsid w:val="007F11A4"/>
    <w:rsid w:val="007F1879"/>
    <w:rsid w:val="007F1E0C"/>
    <w:rsid w:val="007F26EA"/>
    <w:rsid w:val="007F34D5"/>
    <w:rsid w:val="007F35E2"/>
    <w:rsid w:val="007F3E48"/>
    <w:rsid w:val="007F4260"/>
    <w:rsid w:val="007F4307"/>
    <w:rsid w:val="007F4FC7"/>
    <w:rsid w:val="007F5C4B"/>
    <w:rsid w:val="007F5DAD"/>
    <w:rsid w:val="007F5F68"/>
    <w:rsid w:val="007F6020"/>
    <w:rsid w:val="007F6689"/>
    <w:rsid w:val="007F6F2A"/>
    <w:rsid w:val="007F7332"/>
    <w:rsid w:val="007F7F5C"/>
    <w:rsid w:val="0080258B"/>
    <w:rsid w:val="0080281E"/>
    <w:rsid w:val="00802E7B"/>
    <w:rsid w:val="008038A8"/>
    <w:rsid w:val="00804659"/>
    <w:rsid w:val="008046E8"/>
    <w:rsid w:val="00804C6B"/>
    <w:rsid w:val="0080512B"/>
    <w:rsid w:val="008051D7"/>
    <w:rsid w:val="00806178"/>
    <w:rsid w:val="0080638F"/>
    <w:rsid w:val="00806499"/>
    <w:rsid w:val="008067E7"/>
    <w:rsid w:val="008068EA"/>
    <w:rsid w:val="00806BA6"/>
    <w:rsid w:val="00807077"/>
    <w:rsid w:val="008115FD"/>
    <w:rsid w:val="00811DEA"/>
    <w:rsid w:val="00812CBD"/>
    <w:rsid w:val="00812F3A"/>
    <w:rsid w:val="0081339D"/>
    <w:rsid w:val="008137E2"/>
    <w:rsid w:val="0081383E"/>
    <w:rsid w:val="00815A68"/>
    <w:rsid w:val="008171F7"/>
    <w:rsid w:val="00817AB8"/>
    <w:rsid w:val="00817BA5"/>
    <w:rsid w:val="008200CA"/>
    <w:rsid w:val="00820E09"/>
    <w:rsid w:val="0082103C"/>
    <w:rsid w:val="00822898"/>
    <w:rsid w:val="008228E9"/>
    <w:rsid w:val="00822F29"/>
    <w:rsid w:val="00823230"/>
    <w:rsid w:val="0082355B"/>
    <w:rsid w:val="00823C9D"/>
    <w:rsid w:val="0082445A"/>
    <w:rsid w:val="00824B7B"/>
    <w:rsid w:val="00826E00"/>
    <w:rsid w:val="008279DA"/>
    <w:rsid w:val="00830624"/>
    <w:rsid w:val="0083199F"/>
    <w:rsid w:val="00831C31"/>
    <w:rsid w:val="0083215D"/>
    <w:rsid w:val="008322E6"/>
    <w:rsid w:val="00832C5C"/>
    <w:rsid w:val="008339B6"/>
    <w:rsid w:val="008351C0"/>
    <w:rsid w:val="0083535E"/>
    <w:rsid w:val="008360F8"/>
    <w:rsid w:val="00836120"/>
    <w:rsid w:val="008364A1"/>
    <w:rsid w:val="00836B1C"/>
    <w:rsid w:val="008370D1"/>
    <w:rsid w:val="008371B8"/>
    <w:rsid w:val="00837722"/>
    <w:rsid w:val="00837D6E"/>
    <w:rsid w:val="00837EBC"/>
    <w:rsid w:val="00840520"/>
    <w:rsid w:val="008408B9"/>
    <w:rsid w:val="00840FD0"/>
    <w:rsid w:val="00841521"/>
    <w:rsid w:val="0084169F"/>
    <w:rsid w:val="00841BF8"/>
    <w:rsid w:val="008420DC"/>
    <w:rsid w:val="0084264F"/>
    <w:rsid w:val="00842CBF"/>
    <w:rsid w:val="00842F6F"/>
    <w:rsid w:val="00843078"/>
    <w:rsid w:val="008430B3"/>
    <w:rsid w:val="008435D1"/>
    <w:rsid w:val="00843758"/>
    <w:rsid w:val="008438F5"/>
    <w:rsid w:val="00845102"/>
    <w:rsid w:val="00845162"/>
    <w:rsid w:val="0084532B"/>
    <w:rsid w:val="00845346"/>
    <w:rsid w:val="00846578"/>
    <w:rsid w:val="0084693D"/>
    <w:rsid w:val="00846F50"/>
    <w:rsid w:val="00847701"/>
    <w:rsid w:val="00850185"/>
    <w:rsid w:val="0085030B"/>
    <w:rsid w:val="00851D92"/>
    <w:rsid w:val="00852070"/>
    <w:rsid w:val="008521C9"/>
    <w:rsid w:val="008524A7"/>
    <w:rsid w:val="00852E88"/>
    <w:rsid w:val="008533AA"/>
    <w:rsid w:val="00853551"/>
    <w:rsid w:val="00853A3C"/>
    <w:rsid w:val="00853D47"/>
    <w:rsid w:val="008545DE"/>
    <w:rsid w:val="008547AC"/>
    <w:rsid w:val="008549AE"/>
    <w:rsid w:val="0085527A"/>
    <w:rsid w:val="008559A3"/>
    <w:rsid w:val="008569DC"/>
    <w:rsid w:val="00856A8E"/>
    <w:rsid w:val="0086022D"/>
    <w:rsid w:val="0086102C"/>
    <w:rsid w:val="00861CF6"/>
    <w:rsid w:val="00862014"/>
    <w:rsid w:val="00862699"/>
    <w:rsid w:val="00863AD7"/>
    <w:rsid w:val="0086424E"/>
    <w:rsid w:val="008643B7"/>
    <w:rsid w:val="00864ABC"/>
    <w:rsid w:val="00864B0B"/>
    <w:rsid w:val="00864C2B"/>
    <w:rsid w:val="00865303"/>
    <w:rsid w:val="008656D4"/>
    <w:rsid w:val="00865736"/>
    <w:rsid w:val="008658CC"/>
    <w:rsid w:val="0086675A"/>
    <w:rsid w:val="00867848"/>
    <w:rsid w:val="00870386"/>
    <w:rsid w:val="00870B88"/>
    <w:rsid w:val="00870BD8"/>
    <w:rsid w:val="00871104"/>
    <w:rsid w:val="00871168"/>
    <w:rsid w:val="0087172F"/>
    <w:rsid w:val="00871C24"/>
    <w:rsid w:val="0087203A"/>
    <w:rsid w:val="0087246A"/>
    <w:rsid w:val="008738A4"/>
    <w:rsid w:val="0087417D"/>
    <w:rsid w:val="008747A7"/>
    <w:rsid w:val="00875450"/>
    <w:rsid w:val="00875CB5"/>
    <w:rsid w:val="00876AE6"/>
    <w:rsid w:val="00877572"/>
    <w:rsid w:val="0088056A"/>
    <w:rsid w:val="00880804"/>
    <w:rsid w:val="0088096B"/>
    <w:rsid w:val="00880C4F"/>
    <w:rsid w:val="0088167A"/>
    <w:rsid w:val="00881747"/>
    <w:rsid w:val="00881D39"/>
    <w:rsid w:val="00881D56"/>
    <w:rsid w:val="00882054"/>
    <w:rsid w:val="008822BE"/>
    <w:rsid w:val="00882C1A"/>
    <w:rsid w:val="00882FB3"/>
    <w:rsid w:val="00882FDD"/>
    <w:rsid w:val="0088413F"/>
    <w:rsid w:val="008851C6"/>
    <w:rsid w:val="008852D7"/>
    <w:rsid w:val="00886558"/>
    <w:rsid w:val="008867AC"/>
    <w:rsid w:val="00886CB1"/>
    <w:rsid w:val="00887699"/>
    <w:rsid w:val="008905A3"/>
    <w:rsid w:val="008908D6"/>
    <w:rsid w:val="0089112B"/>
    <w:rsid w:val="00891AAA"/>
    <w:rsid w:val="00891CD9"/>
    <w:rsid w:val="00891F0E"/>
    <w:rsid w:val="0089221D"/>
    <w:rsid w:val="0089247E"/>
    <w:rsid w:val="00892E26"/>
    <w:rsid w:val="00893A9E"/>
    <w:rsid w:val="0089550A"/>
    <w:rsid w:val="00895E88"/>
    <w:rsid w:val="00895F79"/>
    <w:rsid w:val="00896320"/>
    <w:rsid w:val="008963AE"/>
    <w:rsid w:val="00896C76"/>
    <w:rsid w:val="00896CDA"/>
    <w:rsid w:val="00896FC7"/>
    <w:rsid w:val="008A029F"/>
    <w:rsid w:val="008A0635"/>
    <w:rsid w:val="008A0A81"/>
    <w:rsid w:val="008A276E"/>
    <w:rsid w:val="008A27B1"/>
    <w:rsid w:val="008A4CC9"/>
    <w:rsid w:val="008A5D77"/>
    <w:rsid w:val="008A61A1"/>
    <w:rsid w:val="008A6BB4"/>
    <w:rsid w:val="008B0001"/>
    <w:rsid w:val="008B0A92"/>
    <w:rsid w:val="008B0B24"/>
    <w:rsid w:val="008B1131"/>
    <w:rsid w:val="008B13C3"/>
    <w:rsid w:val="008B26D7"/>
    <w:rsid w:val="008B2D13"/>
    <w:rsid w:val="008B2E1F"/>
    <w:rsid w:val="008B2E82"/>
    <w:rsid w:val="008B31CA"/>
    <w:rsid w:val="008B320D"/>
    <w:rsid w:val="008B34B5"/>
    <w:rsid w:val="008B3571"/>
    <w:rsid w:val="008B4503"/>
    <w:rsid w:val="008B517A"/>
    <w:rsid w:val="008B5950"/>
    <w:rsid w:val="008B5DB7"/>
    <w:rsid w:val="008B6144"/>
    <w:rsid w:val="008B64C0"/>
    <w:rsid w:val="008B68B9"/>
    <w:rsid w:val="008B7007"/>
    <w:rsid w:val="008B7370"/>
    <w:rsid w:val="008C04FE"/>
    <w:rsid w:val="008C057C"/>
    <w:rsid w:val="008C07E6"/>
    <w:rsid w:val="008C0CAC"/>
    <w:rsid w:val="008C0CBC"/>
    <w:rsid w:val="008C12CC"/>
    <w:rsid w:val="008C1CBB"/>
    <w:rsid w:val="008C22C8"/>
    <w:rsid w:val="008C27A1"/>
    <w:rsid w:val="008C3806"/>
    <w:rsid w:val="008C39E8"/>
    <w:rsid w:val="008C4967"/>
    <w:rsid w:val="008C4A9F"/>
    <w:rsid w:val="008C4EE3"/>
    <w:rsid w:val="008C5B51"/>
    <w:rsid w:val="008C5BD8"/>
    <w:rsid w:val="008C6025"/>
    <w:rsid w:val="008C674D"/>
    <w:rsid w:val="008C6AA3"/>
    <w:rsid w:val="008C716D"/>
    <w:rsid w:val="008C7495"/>
    <w:rsid w:val="008C7566"/>
    <w:rsid w:val="008C79DC"/>
    <w:rsid w:val="008C7AE3"/>
    <w:rsid w:val="008D0BD1"/>
    <w:rsid w:val="008D0C68"/>
    <w:rsid w:val="008D12ED"/>
    <w:rsid w:val="008D2472"/>
    <w:rsid w:val="008D2478"/>
    <w:rsid w:val="008D25A4"/>
    <w:rsid w:val="008D27FA"/>
    <w:rsid w:val="008D2ABC"/>
    <w:rsid w:val="008D32A8"/>
    <w:rsid w:val="008D35C5"/>
    <w:rsid w:val="008D3B69"/>
    <w:rsid w:val="008D3D50"/>
    <w:rsid w:val="008D3DBE"/>
    <w:rsid w:val="008D40AC"/>
    <w:rsid w:val="008D4762"/>
    <w:rsid w:val="008D4921"/>
    <w:rsid w:val="008D502E"/>
    <w:rsid w:val="008D544E"/>
    <w:rsid w:val="008D555F"/>
    <w:rsid w:val="008D589D"/>
    <w:rsid w:val="008D59A0"/>
    <w:rsid w:val="008D5A89"/>
    <w:rsid w:val="008D6387"/>
    <w:rsid w:val="008D645B"/>
    <w:rsid w:val="008D68E3"/>
    <w:rsid w:val="008D7AA6"/>
    <w:rsid w:val="008E081C"/>
    <w:rsid w:val="008E0A52"/>
    <w:rsid w:val="008E0C2B"/>
    <w:rsid w:val="008E0FD7"/>
    <w:rsid w:val="008E1EEB"/>
    <w:rsid w:val="008E2006"/>
    <w:rsid w:val="008E26C5"/>
    <w:rsid w:val="008E2CBF"/>
    <w:rsid w:val="008E3119"/>
    <w:rsid w:val="008E3495"/>
    <w:rsid w:val="008E3F2E"/>
    <w:rsid w:val="008E4055"/>
    <w:rsid w:val="008E525A"/>
    <w:rsid w:val="008E52C6"/>
    <w:rsid w:val="008E55D9"/>
    <w:rsid w:val="008E57FD"/>
    <w:rsid w:val="008E5CBF"/>
    <w:rsid w:val="008E5CD3"/>
    <w:rsid w:val="008E63D9"/>
    <w:rsid w:val="008E68BA"/>
    <w:rsid w:val="008E76D7"/>
    <w:rsid w:val="008E77D6"/>
    <w:rsid w:val="008E7A9F"/>
    <w:rsid w:val="008F077B"/>
    <w:rsid w:val="008F10C3"/>
    <w:rsid w:val="008F1A28"/>
    <w:rsid w:val="008F369D"/>
    <w:rsid w:val="008F3FAD"/>
    <w:rsid w:val="008F4601"/>
    <w:rsid w:val="008F5E2B"/>
    <w:rsid w:val="008F6937"/>
    <w:rsid w:val="008F713F"/>
    <w:rsid w:val="008F7290"/>
    <w:rsid w:val="008F7B53"/>
    <w:rsid w:val="008F7D98"/>
    <w:rsid w:val="009001E0"/>
    <w:rsid w:val="009003EF"/>
    <w:rsid w:val="00900B84"/>
    <w:rsid w:val="00900EB0"/>
    <w:rsid w:val="00901464"/>
    <w:rsid w:val="00901596"/>
    <w:rsid w:val="00901C97"/>
    <w:rsid w:val="009024B3"/>
    <w:rsid w:val="00902A3B"/>
    <w:rsid w:val="00902B7A"/>
    <w:rsid w:val="00903D5C"/>
    <w:rsid w:val="0090455B"/>
    <w:rsid w:val="0090462C"/>
    <w:rsid w:val="009048E7"/>
    <w:rsid w:val="00904C98"/>
    <w:rsid w:val="0090527E"/>
    <w:rsid w:val="00905A51"/>
    <w:rsid w:val="00905C0D"/>
    <w:rsid w:val="0090770C"/>
    <w:rsid w:val="0091099E"/>
    <w:rsid w:val="00911354"/>
    <w:rsid w:val="009115CD"/>
    <w:rsid w:val="009116D9"/>
    <w:rsid w:val="00911B97"/>
    <w:rsid w:val="00911FAB"/>
    <w:rsid w:val="00912417"/>
    <w:rsid w:val="009131B9"/>
    <w:rsid w:val="009139F5"/>
    <w:rsid w:val="00914087"/>
    <w:rsid w:val="00914478"/>
    <w:rsid w:val="00914FCF"/>
    <w:rsid w:val="009153C8"/>
    <w:rsid w:val="00915B68"/>
    <w:rsid w:val="00915F0F"/>
    <w:rsid w:val="0091624D"/>
    <w:rsid w:val="00916ABA"/>
    <w:rsid w:val="00916F37"/>
    <w:rsid w:val="00917B93"/>
    <w:rsid w:val="00917C40"/>
    <w:rsid w:val="00917F12"/>
    <w:rsid w:val="0092028A"/>
    <w:rsid w:val="00920589"/>
    <w:rsid w:val="00920777"/>
    <w:rsid w:val="00920FF8"/>
    <w:rsid w:val="009214F0"/>
    <w:rsid w:val="00922705"/>
    <w:rsid w:val="00922BC3"/>
    <w:rsid w:val="0092306A"/>
    <w:rsid w:val="00927459"/>
    <w:rsid w:val="0092767E"/>
    <w:rsid w:val="009303BD"/>
    <w:rsid w:val="009306D5"/>
    <w:rsid w:val="00931162"/>
    <w:rsid w:val="009313C9"/>
    <w:rsid w:val="00931C5B"/>
    <w:rsid w:val="00932525"/>
    <w:rsid w:val="00932528"/>
    <w:rsid w:val="00932697"/>
    <w:rsid w:val="00932D8F"/>
    <w:rsid w:val="009334EE"/>
    <w:rsid w:val="00934B43"/>
    <w:rsid w:val="0093527C"/>
    <w:rsid w:val="00935752"/>
    <w:rsid w:val="00935E1D"/>
    <w:rsid w:val="00935EE6"/>
    <w:rsid w:val="009360A2"/>
    <w:rsid w:val="00936162"/>
    <w:rsid w:val="009363FA"/>
    <w:rsid w:val="00936E89"/>
    <w:rsid w:val="009373D3"/>
    <w:rsid w:val="009376A0"/>
    <w:rsid w:val="00937B31"/>
    <w:rsid w:val="00937B32"/>
    <w:rsid w:val="00940A4D"/>
    <w:rsid w:val="00940EA0"/>
    <w:rsid w:val="00941E7C"/>
    <w:rsid w:val="00942026"/>
    <w:rsid w:val="00942329"/>
    <w:rsid w:val="00942636"/>
    <w:rsid w:val="0094280F"/>
    <w:rsid w:val="009428F8"/>
    <w:rsid w:val="00943799"/>
    <w:rsid w:val="00944754"/>
    <w:rsid w:val="0094515F"/>
    <w:rsid w:val="009455EA"/>
    <w:rsid w:val="00945D32"/>
    <w:rsid w:val="009473D2"/>
    <w:rsid w:val="00947BF5"/>
    <w:rsid w:val="00947CDA"/>
    <w:rsid w:val="0095104D"/>
    <w:rsid w:val="00951C0B"/>
    <w:rsid w:val="00951E31"/>
    <w:rsid w:val="00952154"/>
    <w:rsid w:val="0095238A"/>
    <w:rsid w:val="00952483"/>
    <w:rsid w:val="0095343F"/>
    <w:rsid w:val="0095348C"/>
    <w:rsid w:val="0095358C"/>
    <w:rsid w:val="009538B4"/>
    <w:rsid w:val="00954383"/>
    <w:rsid w:val="00954860"/>
    <w:rsid w:val="00954877"/>
    <w:rsid w:val="00954C95"/>
    <w:rsid w:val="00954DA7"/>
    <w:rsid w:val="0095521E"/>
    <w:rsid w:val="0095534D"/>
    <w:rsid w:val="0095563B"/>
    <w:rsid w:val="00955AEB"/>
    <w:rsid w:val="00955E7E"/>
    <w:rsid w:val="00956012"/>
    <w:rsid w:val="009574F6"/>
    <w:rsid w:val="00957759"/>
    <w:rsid w:val="0096028A"/>
    <w:rsid w:val="00960441"/>
    <w:rsid w:val="00960CCE"/>
    <w:rsid w:val="009614A8"/>
    <w:rsid w:val="00961DE8"/>
    <w:rsid w:val="00962230"/>
    <w:rsid w:val="00962D48"/>
    <w:rsid w:val="00962F22"/>
    <w:rsid w:val="00963A81"/>
    <w:rsid w:val="00963B54"/>
    <w:rsid w:val="009650EA"/>
    <w:rsid w:val="0096512F"/>
    <w:rsid w:val="009665A8"/>
    <w:rsid w:val="0096777F"/>
    <w:rsid w:val="009701CD"/>
    <w:rsid w:val="0097074F"/>
    <w:rsid w:val="00971055"/>
    <w:rsid w:val="0097174E"/>
    <w:rsid w:val="00972208"/>
    <w:rsid w:val="0097241E"/>
    <w:rsid w:val="009725C9"/>
    <w:rsid w:val="009728D5"/>
    <w:rsid w:val="00972D9A"/>
    <w:rsid w:val="00973255"/>
    <w:rsid w:val="009749EE"/>
    <w:rsid w:val="00975519"/>
    <w:rsid w:val="00975527"/>
    <w:rsid w:val="0097646D"/>
    <w:rsid w:val="009764B7"/>
    <w:rsid w:val="009769AA"/>
    <w:rsid w:val="00976E48"/>
    <w:rsid w:val="00976F7C"/>
    <w:rsid w:val="00977700"/>
    <w:rsid w:val="00977758"/>
    <w:rsid w:val="009809D9"/>
    <w:rsid w:val="009813F0"/>
    <w:rsid w:val="00981AD4"/>
    <w:rsid w:val="00981DFC"/>
    <w:rsid w:val="00982649"/>
    <w:rsid w:val="00982CC5"/>
    <w:rsid w:val="00983EAB"/>
    <w:rsid w:val="00984212"/>
    <w:rsid w:val="009848D2"/>
    <w:rsid w:val="00984D53"/>
    <w:rsid w:val="009855DF"/>
    <w:rsid w:val="00985A33"/>
    <w:rsid w:val="00985ECE"/>
    <w:rsid w:val="00986B87"/>
    <w:rsid w:val="00986DC7"/>
    <w:rsid w:val="00987F1F"/>
    <w:rsid w:val="0099022D"/>
    <w:rsid w:val="009905ED"/>
    <w:rsid w:val="00990662"/>
    <w:rsid w:val="009907B2"/>
    <w:rsid w:val="00990B4E"/>
    <w:rsid w:val="00990BD1"/>
    <w:rsid w:val="0099127A"/>
    <w:rsid w:val="00991EC0"/>
    <w:rsid w:val="009929F4"/>
    <w:rsid w:val="00992A93"/>
    <w:rsid w:val="00993323"/>
    <w:rsid w:val="009936E6"/>
    <w:rsid w:val="009939DD"/>
    <w:rsid w:val="00994829"/>
    <w:rsid w:val="009948E5"/>
    <w:rsid w:val="009950ED"/>
    <w:rsid w:val="0099578B"/>
    <w:rsid w:val="00995F17"/>
    <w:rsid w:val="009963C4"/>
    <w:rsid w:val="00996884"/>
    <w:rsid w:val="0099726A"/>
    <w:rsid w:val="009978BC"/>
    <w:rsid w:val="00997B02"/>
    <w:rsid w:val="00997EB4"/>
    <w:rsid w:val="009A04AE"/>
    <w:rsid w:val="009A08BB"/>
    <w:rsid w:val="009A0B23"/>
    <w:rsid w:val="009A26B9"/>
    <w:rsid w:val="009A2AF2"/>
    <w:rsid w:val="009A3304"/>
    <w:rsid w:val="009A39B3"/>
    <w:rsid w:val="009A3A22"/>
    <w:rsid w:val="009A493F"/>
    <w:rsid w:val="009A4CFD"/>
    <w:rsid w:val="009A4FBC"/>
    <w:rsid w:val="009A51CA"/>
    <w:rsid w:val="009A63E7"/>
    <w:rsid w:val="009A6908"/>
    <w:rsid w:val="009A6915"/>
    <w:rsid w:val="009A6C0F"/>
    <w:rsid w:val="009A6DC8"/>
    <w:rsid w:val="009A702C"/>
    <w:rsid w:val="009A7173"/>
    <w:rsid w:val="009A74A3"/>
    <w:rsid w:val="009A7B5A"/>
    <w:rsid w:val="009B061E"/>
    <w:rsid w:val="009B0CE6"/>
    <w:rsid w:val="009B1836"/>
    <w:rsid w:val="009B2B28"/>
    <w:rsid w:val="009B2EAB"/>
    <w:rsid w:val="009B33B4"/>
    <w:rsid w:val="009B54AC"/>
    <w:rsid w:val="009B5D4C"/>
    <w:rsid w:val="009B61C8"/>
    <w:rsid w:val="009B6322"/>
    <w:rsid w:val="009B691F"/>
    <w:rsid w:val="009B6958"/>
    <w:rsid w:val="009B6B11"/>
    <w:rsid w:val="009B7037"/>
    <w:rsid w:val="009B71DA"/>
    <w:rsid w:val="009C1098"/>
    <w:rsid w:val="009C123E"/>
    <w:rsid w:val="009C1A44"/>
    <w:rsid w:val="009C1C8D"/>
    <w:rsid w:val="009C1E39"/>
    <w:rsid w:val="009C20D1"/>
    <w:rsid w:val="009C2E60"/>
    <w:rsid w:val="009C4512"/>
    <w:rsid w:val="009C46C2"/>
    <w:rsid w:val="009C4B99"/>
    <w:rsid w:val="009C4D30"/>
    <w:rsid w:val="009C519D"/>
    <w:rsid w:val="009C54ED"/>
    <w:rsid w:val="009C5660"/>
    <w:rsid w:val="009C5E8B"/>
    <w:rsid w:val="009C6DAB"/>
    <w:rsid w:val="009D028D"/>
    <w:rsid w:val="009D0DD7"/>
    <w:rsid w:val="009D0E4C"/>
    <w:rsid w:val="009D0F0C"/>
    <w:rsid w:val="009D10C0"/>
    <w:rsid w:val="009D3D1F"/>
    <w:rsid w:val="009D3DB9"/>
    <w:rsid w:val="009D4080"/>
    <w:rsid w:val="009D40BF"/>
    <w:rsid w:val="009D48FE"/>
    <w:rsid w:val="009D4CDF"/>
    <w:rsid w:val="009D55EB"/>
    <w:rsid w:val="009D5EF6"/>
    <w:rsid w:val="009D6CF3"/>
    <w:rsid w:val="009D6D49"/>
    <w:rsid w:val="009D703E"/>
    <w:rsid w:val="009D7A79"/>
    <w:rsid w:val="009D7B36"/>
    <w:rsid w:val="009D7EFC"/>
    <w:rsid w:val="009E00A7"/>
    <w:rsid w:val="009E0C6F"/>
    <w:rsid w:val="009E2F84"/>
    <w:rsid w:val="009E3F7E"/>
    <w:rsid w:val="009E4472"/>
    <w:rsid w:val="009E45B4"/>
    <w:rsid w:val="009E5090"/>
    <w:rsid w:val="009E766D"/>
    <w:rsid w:val="009E7AEF"/>
    <w:rsid w:val="009F0244"/>
    <w:rsid w:val="009F0466"/>
    <w:rsid w:val="009F0C37"/>
    <w:rsid w:val="009F113A"/>
    <w:rsid w:val="009F1551"/>
    <w:rsid w:val="009F1582"/>
    <w:rsid w:val="009F1BD4"/>
    <w:rsid w:val="009F1CB2"/>
    <w:rsid w:val="009F257D"/>
    <w:rsid w:val="009F25B5"/>
    <w:rsid w:val="009F2679"/>
    <w:rsid w:val="009F2C69"/>
    <w:rsid w:val="009F3682"/>
    <w:rsid w:val="009F45FC"/>
    <w:rsid w:val="009F5008"/>
    <w:rsid w:val="009F5569"/>
    <w:rsid w:val="009F6455"/>
    <w:rsid w:val="009F6DD7"/>
    <w:rsid w:val="009F6DF4"/>
    <w:rsid w:val="00A00046"/>
    <w:rsid w:val="00A00435"/>
    <w:rsid w:val="00A00641"/>
    <w:rsid w:val="00A0085F"/>
    <w:rsid w:val="00A00B2A"/>
    <w:rsid w:val="00A00E13"/>
    <w:rsid w:val="00A00E29"/>
    <w:rsid w:val="00A00EE7"/>
    <w:rsid w:val="00A01ED3"/>
    <w:rsid w:val="00A024A0"/>
    <w:rsid w:val="00A03652"/>
    <w:rsid w:val="00A04941"/>
    <w:rsid w:val="00A051C8"/>
    <w:rsid w:val="00A05FE4"/>
    <w:rsid w:val="00A06720"/>
    <w:rsid w:val="00A06861"/>
    <w:rsid w:val="00A07027"/>
    <w:rsid w:val="00A070DB"/>
    <w:rsid w:val="00A07FC9"/>
    <w:rsid w:val="00A108FF"/>
    <w:rsid w:val="00A10F2C"/>
    <w:rsid w:val="00A11507"/>
    <w:rsid w:val="00A12452"/>
    <w:rsid w:val="00A1270F"/>
    <w:rsid w:val="00A1271A"/>
    <w:rsid w:val="00A13061"/>
    <w:rsid w:val="00A13591"/>
    <w:rsid w:val="00A1399A"/>
    <w:rsid w:val="00A14162"/>
    <w:rsid w:val="00A14D3C"/>
    <w:rsid w:val="00A15307"/>
    <w:rsid w:val="00A1539E"/>
    <w:rsid w:val="00A15640"/>
    <w:rsid w:val="00A15806"/>
    <w:rsid w:val="00A15DA5"/>
    <w:rsid w:val="00A1664F"/>
    <w:rsid w:val="00A169CE"/>
    <w:rsid w:val="00A21454"/>
    <w:rsid w:val="00A218D8"/>
    <w:rsid w:val="00A2197B"/>
    <w:rsid w:val="00A2209D"/>
    <w:rsid w:val="00A2234D"/>
    <w:rsid w:val="00A22B80"/>
    <w:rsid w:val="00A231A4"/>
    <w:rsid w:val="00A23232"/>
    <w:rsid w:val="00A2374F"/>
    <w:rsid w:val="00A23BFA"/>
    <w:rsid w:val="00A23C4F"/>
    <w:rsid w:val="00A2424D"/>
    <w:rsid w:val="00A2475A"/>
    <w:rsid w:val="00A24AE1"/>
    <w:rsid w:val="00A252FB"/>
    <w:rsid w:val="00A2563F"/>
    <w:rsid w:val="00A25A78"/>
    <w:rsid w:val="00A25B0E"/>
    <w:rsid w:val="00A25DAB"/>
    <w:rsid w:val="00A26210"/>
    <w:rsid w:val="00A26627"/>
    <w:rsid w:val="00A27439"/>
    <w:rsid w:val="00A2798F"/>
    <w:rsid w:val="00A30415"/>
    <w:rsid w:val="00A31095"/>
    <w:rsid w:val="00A31825"/>
    <w:rsid w:val="00A323E7"/>
    <w:rsid w:val="00A336BE"/>
    <w:rsid w:val="00A33739"/>
    <w:rsid w:val="00A33FF3"/>
    <w:rsid w:val="00A34076"/>
    <w:rsid w:val="00A3591A"/>
    <w:rsid w:val="00A359B8"/>
    <w:rsid w:val="00A35D1C"/>
    <w:rsid w:val="00A36EC4"/>
    <w:rsid w:val="00A37238"/>
    <w:rsid w:val="00A373EA"/>
    <w:rsid w:val="00A379EB"/>
    <w:rsid w:val="00A37F0F"/>
    <w:rsid w:val="00A41013"/>
    <w:rsid w:val="00A41343"/>
    <w:rsid w:val="00A41841"/>
    <w:rsid w:val="00A425AC"/>
    <w:rsid w:val="00A426FE"/>
    <w:rsid w:val="00A4294E"/>
    <w:rsid w:val="00A430D0"/>
    <w:rsid w:val="00A432C7"/>
    <w:rsid w:val="00A433D3"/>
    <w:rsid w:val="00A43915"/>
    <w:rsid w:val="00A43D20"/>
    <w:rsid w:val="00A4458A"/>
    <w:rsid w:val="00A4582A"/>
    <w:rsid w:val="00A459A6"/>
    <w:rsid w:val="00A463AC"/>
    <w:rsid w:val="00A46F5B"/>
    <w:rsid w:val="00A4753D"/>
    <w:rsid w:val="00A479FD"/>
    <w:rsid w:val="00A502BF"/>
    <w:rsid w:val="00A50C01"/>
    <w:rsid w:val="00A5143A"/>
    <w:rsid w:val="00A521D7"/>
    <w:rsid w:val="00A52705"/>
    <w:rsid w:val="00A534C5"/>
    <w:rsid w:val="00A538EA"/>
    <w:rsid w:val="00A54375"/>
    <w:rsid w:val="00A543A4"/>
    <w:rsid w:val="00A543C0"/>
    <w:rsid w:val="00A5446E"/>
    <w:rsid w:val="00A55B89"/>
    <w:rsid w:val="00A55C40"/>
    <w:rsid w:val="00A55DAA"/>
    <w:rsid w:val="00A563C6"/>
    <w:rsid w:val="00A56D0D"/>
    <w:rsid w:val="00A56E0C"/>
    <w:rsid w:val="00A571F5"/>
    <w:rsid w:val="00A576B9"/>
    <w:rsid w:val="00A57A08"/>
    <w:rsid w:val="00A57EDF"/>
    <w:rsid w:val="00A6005E"/>
    <w:rsid w:val="00A606D6"/>
    <w:rsid w:val="00A60AA6"/>
    <w:rsid w:val="00A60D9B"/>
    <w:rsid w:val="00A611C9"/>
    <w:rsid w:val="00A628D9"/>
    <w:rsid w:val="00A62E08"/>
    <w:rsid w:val="00A63AC2"/>
    <w:rsid w:val="00A63D35"/>
    <w:rsid w:val="00A63D98"/>
    <w:rsid w:val="00A64209"/>
    <w:rsid w:val="00A6433E"/>
    <w:rsid w:val="00A66B58"/>
    <w:rsid w:val="00A6717C"/>
    <w:rsid w:val="00A676CB"/>
    <w:rsid w:val="00A676E5"/>
    <w:rsid w:val="00A7048A"/>
    <w:rsid w:val="00A71653"/>
    <w:rsid w:val="00A72293"/>
    <w:rsid w:val="00A73577"/>
    <w:rsid w:val="00A735E1"/>
    <w:rsid w:val="00A73632"/>
    <w:rsid w:val="00A738E4"/>
    <w:rsid w:val="00A74619"/>
    <w:rsid w:val="00A74658"/>
    <w:rsid w:val="00A753E1"/>
    <w:rsid w:val="00A75658"/>
    <w:rsid w:val="00A75769"/>
    <w:rsid w:val="00A75F17"/>
    <w:rsid w:val="00A76043"/>
    <w:rsid w:val="00A76EA8"/>
    <w:rsid w:val="00A77387"/>
    <w:rsid w:val="00A77DBD"/>
    <w:rsid w:val="00A80181"/>
    <w:rsid w:val="00A80F79"/>
    <w:rsid w:val="00A810CC"/>
    <w:rsid w:val="00A814E6"/>
    <w:rsid w:val="00A81A2C"/>
    <w:rsid w:val="00A822FA"/>
    <w:rsid w:val="00A82930"/>
    <w:rsid w:val="00A83078"/>
    <w:rsid w:val="00A830EE"/>
    <w:rsid w:val="00A8362C"/>
    <w:rsid w:val="00A83AD3"/>
    <w:rsid w:val="00A83E21"/>
    <w:rsid w:val="00A83EA0"/>
    <w:rsid w:val="00A8441E"/>
    <w:rsid w:val="00A85953"/>
    <w:rsid w:val="00A85A0C"/>
    <w:rsid w:val="00A85A84"/>
    <w:rsid w:val="00A85F66"/>
    <w:rsid w:val="00A8645C"/>
    <w:rsid w:val="00A868A1"/>
    <w:rsid w:val="00A8691A"/>
    <w:rsid w:val="00A86CC8"/>
    <w:rsid w:val="00A87805"/>
    <w:rsid w:val="00A87808"/>
    <w:rsid w:val="00A8781A"/>
    <w:rsid w:val="00A90C37"/>
    <w:rsid w:val="00A90E14"/>
    <w:rsid w:val="00A90E2B"/>
    <w:rsid w:val="00A9169B"/>
    <w:rsid w:val="00A919FC"/>
    <w:rsid w:val="00A91F30"/>
    <w:rsid w:val="00A92CBD"/>
    <w:rsid w:val="00A92DDB"/>
    <w:rsid w:val="00A9332D"/>
    <w:rsid w:val="00A93820"/>
    <w:rsid w:val="00A93C4C"/>
    <w:rsid w:val="00A953F2"/>
    <w:rsid w:val="00A955B7"/>
    <w:rsid w:val="00A95A36"/>
    <w:rsid w:val="00A95C32"/>
    <w:rsid w:val="00A95CE9"/>
    <w:rsid w:val="00A96052"/>
    <w:rsid w:val="00A9618D"/>
    <w:rsid w:val="00A969A3"/>
    <w:rsid w:val="00A96A4A"/>
    <w:rsid w:val="00A971EE"/>
    <w:rsid w:val="00AA0574"/>
    <w:rsid w:val="00AA075B"/>
    <w:rsid w:val="00AA0814"/>
    <w:rsid w:val="00AA0856"/>
    <w:rsid w:val="00AA08A6"/>
    <w:rsid w:val="00AA107E"/>
    <w:rsid w:val="00AA116A"/>
    <w:rsid w:val="00AA1759"/>
    <w:rsid w:val="00AA2303"/>
    <w:rsid w:val="00AA2A7F"/>
    <w:rsid w:val="00AA2D2F"/>
    <w:rsid w:val="00AA2F77"/>
    <w:rsid w:val="00AA38D6"/>
    <w:rsid w:val="00AA3D87"/>
    <w:rsid w:val="00AA40F6"/>
    <w:rsid w:val="00AA4704"/>
    <w:rsid w:val="00AA6297"/>
    <w:rsid w:val="00AA62F7"/>
    <w:rsid w:val="00AA7F64"/>
    <w:rsid w:val="00AB08D2"/>
    <w:rsid w:val="00AB175C"/>
    <w:rsid w:val="00AB1E86"/>
    <w:rsid w:val="00AB2070"/>
    <w:rsid w:val="00AB282C"/>
    <w:rsid w:val="00AB2BB8"/>
    <w:rsid w:val="00AB2CD3"/>
    <w:rsid w:val="00AB2E02"/>
    <w:rsid w:val="00AB31AD"/>
    <w:rsid w:val="00AB379A"/>
    <w:rsid w:val="00AB38D9"/>
    <w:rsid w:val="00AB41AD"/>
    <w:rsid w:val="00AB4371"/>
    <w:rsid w:val="00AB4463"/>
    <w:rsid w:val="00AB5281"/>
    <w:rsid w:val="00AB5439"/>
    <w:rsid w:val="00AB58CE"/>
    <w:rsid w:val="00AB58D1"/>
    <w:rsid w:val="00AB5B76"/>
    <w:rsid w:val="00AB602A"/>
    <w:rsid w:val="00AB728F"/>
    <w:rsid w:val="00AB72E2"/>
    <w:rsid w:val="00AB7917"/>
    <w:rsid w:val="00AC0174"/>
    <w:rsid w:val="00AC0915"/>
    <w:rsid w:val="00AC0A41"/>
    <w:rsid w:val="00AC177E"/>
    <w:rsid w:val="00AC2049"/>
    <w:rsid w:val="00AC233B"/>
    <w:rsid w:val="00AC2671"/>
    <w:rsid w:val="00AC26D3"/>
    <w:rsid w:val="00AC27BC"/>
    <w:rsid w:val="00AC2C73"/>
    <w:rsid w:val="00AC2E03"/>
    <w:rsid w:val="00AC4138"/>
    <w:rsid w:val="00AC4C89"/>
    <w:rsid w:val="00AC53E4"/>
    <w:rsid w:val="00AC5B3F"/>
    <w:rsid w:val="00AC5D6C"/>
    <w:rsid w:val="00AC5FDE"/>
    <w:rsid w:val="00AC6430"/>
    <w:rsid w:val="00AC6500"/>
    <w:rsid w:val="00AC6B53"/>
    <w:rsid w:val="00AC720A"/>
    <w:rsid w:val="00AC7329"/>
    <w:rsid w:val="00AC798E"/>
    <w:rsid w:val="00AD0070"/>
    <w:rsid w:val="00AD056F"/>
    <w:rsid w:val="00AD06AF"/>
    <w:rsid w:val="00AD0A48"/>
    <w:rsid w:val="00AD0B67"/>
    <w:rsid w:val="00AD15A0"/>
    <w:rsid w:val="00AD2798"/>
    <w:rsid w:val="00AD393E"/>
    <w:rsid w:val="00AD42D1"/>
    <w:rsid w:val="00AD4D14"/>
    <w:rsid w:val="00AD5455"/>
    <w:rsid w:val="00AD5842"/>
    <w:rsid w:val="00AD6429"/>
    <w:rsid w:val="00AD713B"/>
    <w:rsid w:val="00AD7C13"/>
    <w:rsid w:val="00AD7C72"/>
    <w:rsid w:val="00AE04C5"/>
    <w:rsid w:val="00AE06B5"/>
    <w:rsid w:val="00AE0D7B"/>
    <w:rsid w:val="00AE0EA4"/>
    <w:rsid w:val="00AE11C5"/>
    <w:rsid w:val="00AE1205"/>
    <w:rsid w:val="00AE12BE"/>
    <w:rsid w:val="00AE2120"/>
    <w:rsid w:val="00AE26AF"/>
    <w:rsid w:val="00AE2B3F"/>
    <w:rsid w:val="00AE2BBD"/>
    <w:rsid w:val="00AE2C57"/>
    <w:rsid w:val="00AE2C9F"/>
    <w:rsid w:val="00AE2CD3"/>
    <w:rsid w:val="00AE2D71"/>
    <w:rsid w:val="00AE3191"/>
    <w:rsid w:val="00AE3D38"/>
    <w:rsid w:val="00AE48EA"/>
    <w:rsid w:val="00AE4A3F"/>
    <w:rsid w:val="00AE4DF7"/>
    <w:rsid w:val="00AE50D1"/>
    <w:rsid w:val="00AE5224"/>
    <w:rsid w:val="00AE63A9"/>
    <w:rsid w:val="00AE6A53"/>
    <w:rsid w:val="00AE7944"/>
    <w:rsid w:val="00AF1FC7"/>
    <w:rsid w:val="00AF29B2"/>
    <w:rsid w:val="00AF432F"/>
    <w:rsid w:val="00AF4EAE"/>
    <w:rsid w:val="00AF5036"/>
    <w:rsid w:val="00AF5960"/>
    <w:rsid w:val="00AF5EE4"/>
    <w:rsid w:val="00AF63BA"/>
    <w:rsid w:val="00AF697C"/>
    <w:rsid w:val="00AF7018"/>
    <w:rsid w:val="00AF74BC"/>
    <w:rsid w:val="00AF778A"/>
    <w:rsid w:val="00AF79B2"/>
    <w:rsid w:val="00B003FB"/>
    <w:rsid w:val="00B00586"/>
    <w:rsid w:val="00B00668"/>
    <w:rsid w:val="00B00904"/>
    <w:rsid w:val="00B00DE3"/>
    <w:rsid w:val="00B0159D"/>
    <w:rsid w:val="00B01BA2"/>
    <w:rsid w:val="00B02506"/>
    <w:rsid w:val="00B02E28"/>
    <w:rsid w:val="00B0330E"/>
    <w:rsid w:val="00B033C5"/>
    <w:rsid w:val="00B035A8"/>
    <w:rsid w:val="00B03811"/>
    <w:rsid w:val="00B038D3"/>
    <w:rsid w:val="00B04D7B"/>
    <w:rsid w:val="00B05549"/>
    <w:rsid w:val="00B05B1E"/>
    <w:rsid w:val="00B05EAC"/>
    <w:rsid w:val="00B069C4"/>
    <w:rsid w:val="00B10D0E"/>
    <w:rsid w:val="00B10F55"/>
    <w:rsid w:val="00B11725"/>
    <w:rsid w:val="00B11E53"/>
    <w:rsid w:val="00B11F80"/>
    <w:rsid w:val="00B12076"/>
    <w:rsid w:val="00B12936"/>
    <w:rsid w:val="00B12EF7"/>
    <w:rsid w:val="00B132C6"/>
    <w:rsid w:val="00B139B3"/>
    <w:rsid w:val="00B13F0D"/>
    <w:rsid w:val="00B141A9"/>
    <w:rsid w:val="00B142F7"/>
    <w:rsid w:val="00B1499C"/>
    <w:rsid w:val="00B159EC"/>
    <w:rsid w:val="00B15A05"/>
    <w:rsid w:val="00B15C3B"/>
    <w:rsid w:val="00B1723B"/>
    <w:rsid w:val="00B17C45"/>
    <w:rsid w:val="00B2066C"/>
    <w:rsid w:val="00B21393"/>
    <w:rsid w:val="00B21DE8"/>
    <w:rsid w:val="00B224E8"/>
    <w:rsid w:val="00B227F8"/>
    <w:rsid w:val="00B2390B"/>
    <w:rsid w:val="00B23DCF"/>
    <w:rsid w:val="00B246BF"/>
    <w:rsid w:val="00B24BA4"/>
    <w:rsid w:val="00B24D4E"/>
    <w:rsid w:val="00B25BA9"/>
    <w:rsid w:val="00B25C59"/>
    <w:rsid w:val="00B25C95"/>
    <w:rsid w:val="00B25D58"/>
    <w:rsid w:val="00B26146"/>
    <w:rsid w:val="00B26389"/>
    <w:rsid w:val="00B26C09"/>
    <w:rsid w:val="00B26E18"/>
    <w:rsid w:val="00B300D2"/>
    <w:rsid w:val="00B30648"/>
    <w:rsid w:val="00B307E9"/>
    <w:rsid w:val="00B30BB0"/>
    <w:rsid w:val="00B30F43"/>
    <w:rsid w:val="00B30F7B"/>
    <w:rsid w:val="00B31925"/>
    <w:rsid w:val="00B32672"/>
    <w:rsid w:val="00B329F8"/>
    <w:rsid w:val="00B3312E"/>
    <w:rsid w:val="00B33876"/>
    <w:rsid w:val="00B33EB0"/>
    <w:rsid w:val="00B3408B"/>
    <w:rsid w:val="00B34B8E"/>
    <w:rsid w:val="00B35770"/>
    <w:rsid w:val="00B35A38"/>
    <w:rsid w:val="00B36687"/>
    <w:rsid w:val="00B36DAD"/>
    <w:rsid w:val="00B376F9"/>
    <w:rsid w:val="00B37709"/>
    <w:rsid w:val="00B37890"/>
    <w:rsid w:val="00B4109B"/>
    <w:rsid w:val="00B42696"/>
    <w:rsid w:val="00B42A74"/>
    <w:rsid w:val="00B42AE3"/>
    <w:rsid w:val="00B42E51"/>
    <w:rsid w:val="00B43715"/>
    <w:rsid w:val="00B438B2"/>
    <w:rsid w:val="00B43E28"/>
    <w:rsid w:val="00B4442C"/>
    <w:rsid w:val="00B44BCB"/>
    <w:rsid w:val="00B45BCD"/>
    <w:rsid w:val="00B46425"/>
    <w:rsid w:val="00B466F7"/>
    <w:rsid w:val="00B46918"/>
    <w:rsid w:val="00B4692C"/>
    <w:rsid w:val="00B46A6F"/>
    <w:rsid w:val="00B475AF"/>
    <w:rsid w:val="00B47CC8"/>
    <w:rsid w:val="00B50487"/>
    <w:rsid w:val="00B511DF"/>
    <w:rsid w:val="00B51DC8"/>
    <w:rsid w:val="00B527E2"/>
    <w:rsid w:val="00B53296"/>
    <w:rsid w:val="00B5336F"/>
    <w:rsid w:val="00B533A5"/>
    <w:rsid w:val="00B53F90"/>
    <w:rsid w:val="00B53FD5"/>
    <w:rsid w:val="00B5401F"/>
    <w:rsid w:val="00B5495E"/>
    <w:rsid w:val="00B54D33"/>
    <w:rsid w:val="00B552A8"/>
    <w:rsid w:val="00B55664"/>
    <w:rsid w:val="00B560FA"/>
    <w:rsid w:val="00B564B1"/>
    <w:rsid w:val="00B601AF"/>
    <w:rsid w:val="00B60971"/>
    <w:rsid w:val="00B60C25"/>
    <w:rsid w:val="00B61A08"/>
    <w:rsid w:val="00B622B3"/>
    <w:rsid w:val="00B634DC"/>
    <w:rsid w:val="00B639C1"/>
    <w:rsid w:val="00B63D29"/>
    <w:rsid w:val="00B645B4"/>
    <w:rsid w:val="00B64C49"/>
    <w:rsid w:val="00B65A18"/>
    <w:rsid w:val="00B65D28"/>
    <w:rsid w:val="00B6661A"/>
    <w:rsid w:val="00B66A25"/>
    <w:rsid w:val="00B67198"/>
    <w:rsid w:val="00B6720B"/>
    <w:rsid w:val="00B67388"/>
    <w:rsid w:val="00B6776F"/>
    <w:rsid w:val="00B6797B"/>
    <w:rsid w:val="00B7079F"/>
    <w:rsid w:val="00B712DA"/>
    <w:rsid w:val="00B7323B"/>
    <w:rsid w:val="00B73509"/>
    <w:rsid w:val="00B749D6"/>
    <w:rsid w:val="00B74F9F"/>
    <w:rsid w:val="00B754C2"/>
    <w:rsid w:val="00B75777"/>
    <w:rsid w:val="00B75B88"/>
    <w:rsid w:val="00B75D40"/>
    <w:rsid w:val="00B76600"/>
    <w:rsid w:val="00B7662C"/>
    <w:rsid w:val="00B770D8"/>
    <w:rsid w:val="00B77308"/>
    <w:rsid w:val="00B77652"/>
    <w:rsid w:val="00B77F96"/>
    <w:rsid w:val="00B77FB4"/>
    <w:rsid w:val="00B80565"/>
    <w:rsid w:val="00B805C7"/>
    <w:rsid w:val="00B80AEB"/>
    <w:rsid w:val="00B80C32"/>
    <w:rsid w:val="00B8160E"/>
    <w:rsid w:val="00B819E5"/>
    <w:rsid w:val="00B829A8"/>
    <w:rsid w:val="00B829B6"/>
    <w:rsid w:val="00B82B26"/>
    <w:rsid w:val="00B82B3E"/>
    <w:rsid w:val="00B845C0"/>
    <w:rsid w:val="00B84FFA"/>
    <w:rsid w:val="00B85260"/>
    <w:rsid w:val="00B8663B"/>
    <w:rsid w:val="00B86E3D"/>
    <w:rsid w:val="00B902D3"/>
    <w:rsid w:val="00B91033"/>
    <w:rsid w:val="00B9142B"/>
    <w:rsid w:val="00B915B5"/>
    <w:rsid w:val="00B9168A"/>
    <w:rsid w:val="00B91765"/>
    <w:rsid w:val="00B9231F"/>
    <w:rsid w:val="00B92971"/>
    <w:rsid w:val="00B92E3F"/>
    <w:rsid w:val="00B930F5"/>
    <w:rsid w:val="00B93155"/>
    <w:rsid w:val="00B93586"/>
    <w:rsid w:val="00B93DEF"/>
    <w:rsid w:val="00B94CA5"/>
    <w:rsid w:val="00B96A3D"/>
    <w:rsid w:val="00B970FF"/>
    <w:rsid w:val="00BA024A"/>
    <w:rsid w:val="00BA06AB"/>
    <w:rsid w:val="00BA095B"/>
    <w:rsid w:val="00BA178B"/>
    <w:rsid w:val="00BA2451"/>
    <w:rsid w:val="00BA3783"/>
    <w:rsid w:val="00BA4254"/>
    <w:rsid w:val="00BA4740"/>
    <w:rsid w:val="00BA4DCA"/>
    <w:rsid w:val="00BA5460"/>
    <w:rsid w:val="00BA5722"/>
    <w:rsid w:val="00BA59B7"/>
    <w:rsid w:val="00BA6468"/>
    <w:rsid w:val="00BA7506"/>
    <w:rsid w:val="00BA774D"/>
    <w:rsid w:val="00BA78EE"/>
    <w:rsid w:val="00BA7CE8"/>
    <w:rsid w:val="00BA7DA6"/>
    <w:rsid w:val="00BA7E0E"/>
    <w:rsid w:val="00BB0210"/>
    <w:rsid w:val="00BB042A"/>
    <w:rsid w:val="00BB0EA1"/>
    <w:rsid w:val="00BB12B1"/>
    <w:rsid w:val="00BB2B35"/>
    <w:rsid w:val="00BB4292"/>
    <w:rsid w:val="00BB446B"/>
    <w:rsid w:val="00BB47E9"/>
    <w:rsid w:val="00BB4B80"/>
    <w:rsid w:val="00BB4E23"/>
    <w:rsid w:val="00BB62C4"/>
    <w:rsid w:val="00BB71B7"/>
    <w:rsid w:val="00BB7B92"/>
    <w:rsid w:val="00BC012C"/>
    <w:rsid w:val="00BC072E"/>
    <w:rsid w:val="00BC1E49"/>
    <w:rsid w:val="00BC27B6"/>
    <w:rsid w:val="00BC2815"/>
    <w:rsid w:val="00BC2DD6"/>
    <w:rsid w:val="00BC2EB9"/>
    <w:rsid w:val="00BC32D5"/>
    <w:rsid w:val="00BC3723"/>
    <w:rsid w:val="00BC4925"/>
    <w:rsid w:val="00BC5F04"/>
    <w:rsid w:val="00BC60F9"/>
    <w:rsid w:val="00BC77FF"/>
    <w:rsid w:val="00BC7AC9"/>
    <w:rsid w:val="00BD03EC"/>
    <w:rsid w:val="00BD08C6"/>
    <w:rsid w:val="00BD11B7"/>
    <w:rsid w:val="00BD1C3F"/>
    <w:rsid w:val="00BD1D06"/>
    <w:rsid w:val="00BD25F6"/>
    <w:rsid w:val="00BD3085"/>
    <w:rsid w:val="00BD32BC"/>
    <w:rsid w:val="00BD408B"/>
    <w:rsid w:val="00BD4223"/>
    <w:rsid w:val="00BD4788"/>
    <w:rsid w:val="00BD4EE4"/>
    <w:rsid w:val="00BD5490"/>
    <w:rsid w:val="00BD55F3"/>
    <w:rsid w:val="00BD5938"/>
    <w:rsid w:val="00BD6DFC"/>
    <w:rsid w:val="00BD7510"/>
    <w:rsid w:val="00BD783E"/>
    <w:rsid w:val="00BE038C"/>
    <w:rsid w:val="00BE0938"/>
    <w:rsid w:val="00BE1730"/>
    <w:rsid w:val="00BE1B11"/>
    <w:rsid w:val="00BE1CDC"/>
    <w:rsid w:val="00BE2A70"/>
    <w:rsid w:val="00BE2C49"/>
    <w:rsid w:val="00BE3F16"/>
    <w:rsid w:val="00BE4710"/>
    <w:rsid w:val="00BE6230"/>
    <w:rsid w:val="00BE63FF"/>
    <w:rsid w:val="00BE6C2B"/>
    <w:rsid w:val="00BE7440"/>
    <w:rsid w:val="00BF08E5"/>
    <w:rsid w:val="00BF0A41"/>
    <w:rsid w:val="00BF1451"/>
    <w:rsid w:val="00BF1DAA"/>
    <w:rsid w:val="00BF2EA0"/>
    <w:rsid w:val="00BF3029"/>
    <w:rsid w:val="00BF411A"/>
    <w:rsid w:val="00BF431B"/>
    <w:rsid w:val="00BF438D"/>
    <w:rsid w:val="00BF5CDE"/>
    <w:rsid w:val="00BF6031"/>
    <w:rsid w:val="00BF659D"/>
    <w:rsid w:val="00BF6B09"/>
    <w:rsid w:val="00BF6CD1"/>
    <w:rsid w:val="00BF6EF1"/>
    <w:rsid w:val="00BF7E43"/>
    <w:rsid w:val="00BF7E44"/>
    <w:rsid w:val="00C00284"/>
    <w:rsid w:val="00C00653"/>
    <w:rsid w:val="00C0067A"/>
    <w:rsid w:val="00C00C15"/>
    <w:rsid w:val="00C016F8"/>
    <w:rsid w:val="00C017C0"/>
    <w:rsid w:val="00C01D30"/>
    <w:rsid w:val="00C025AA"/>
    <w:rsid w:val="00C02DE7"/>
    <w:rsid w:val="00C048B4"/>
    <w:rsid w:val="00C04C4F"/>
    <w:rsid w:val="00C051A4"/>
    <w:rsid w:val="00C062F4"/>
    <w:rsid w:val="00C078F7"/>
    <w:rsid w:val="00C07950"/>
    <w:rsid w:val="00C10C4B"/>
    <w:rsid w:val="00C1149D"/>
    <w:rsid w:val="00C11DCC"/>
    <w:rsid w:val="00C12383"/>
    <w:rsid w:val="00C135FB"/>
    <w:rsid w:val="00C13D47"/>
    <w:rsid w:val="00C13DEE"/>
    <w:rsid w:val="00C14B03"/>
    <w:rsid w:val="00C16593"/>
    <w:rsid w:val="00C16A0C"/>
    <w:rsid w:val="00C16C3E"/>
    <w:rsid w:val="00C16DD2"/>
    <w:rsid w:val="00C17958"/>
    <w:rsid w:val="00C17DFE"/>
    <w:rsid w:val="00C203F3"/>
    <w:rsid w:val="00C20415"/>
    <w:rsid w:val="00C209CD"/>
    <w:rsid w:val="00C20D15"/>
    <w:rsid w:val="00C21046"/>
    <w:rsid w:val="00C21A27"/>
    <w:rsid w:val="00C21A5B"/>
    <w:rsid w:val="00C21EB9"/>
    <w:rsid w:val="00C21F0D"/>
    <w:rsid w:val="00C22192"/>
    <w:rsid w:val="00C229E4"/>
    <w:rsid w:val="00C23686"/>
    <w:rsid w:val="00C23A5D"/>
    <w:rsid w:val="00C23D64"/>
    <w:rsid w:val="00C23F3D"/>
    <w:rsid w:val="00C264D4"/>
    <w:rsid w:val="00C26DE6"/>
    <w:rsid w:val="00C27824"/>
    <w:rsid w:val="00C27972"/>
    <w:rsid w:val="00C27B1E"/>
    <w:rsid w:val="00C30321"/>
    <w:rsid w:val="00C305DA"/>
    <w:rsid w:val="00C31272"/>
    <w:rsid w:val="00C31386"/>
    <w:rsid w:val="00C31CED"/>
    <w:rsid w:val="00C31F05"/>
    <w:rsid w:val="00C320D6"/>
    <w:rsid w:val="00C320DA"/>
    <w:rsid w:val="00C327A5"/>
    <w:rsid w:val="00C32DA3"/>
    <w:rsid w:val="00C33D1C"/>
    <w:rsid w:val="00C34723"/>
    <w:rsid w:val="00C35A4E"/>
    <w:rsid w:val="00C36709"/>
    <w:rsid w:val="00C3727E"/>
    <w:rsid w:val="00C37C1F"/>
    <w:rsid w:val="00C37D9E"/>
    <w:rsid w:val="00C4013C"/>
    <w:rsid w:val="00C4018C"/>
    <w:rsid w:val="00C40836"/>
    <w:rsid w:val="00C41B94"/>
    <w:rsid w:val="00C42F15"/>
    <w:rsid w:val="00C42FAB"/>
    <w:rsid w:val="00C4327C"/>
    <w:rsid w:val="00C44FB8"/>
    <w:rsid w:val="00C44FBD"/>
    <w:rsid w:val="00C45764"/>
    <w:rsid w:val="00C4588E"/>
    <w:rsid w:val="00C460F1"/>
    <w:rsid w:val="00C46110"/>
    <w:rsid w:val="00C46840"/>
    <w:rsid w:val="00C469A4"/>
    <w:rsid w:val="00C473C6"/>
    <w:rsid w:val="00C47747"/>
    <w:rsid w:val="00C505BE"/>
    <w:rsid w:val="00C50D55"/>
    <w:rsid w:val="00C51B4A"/>
    <w:rsid w:val="00C5204A"/>
    <w:rsid w:val="00C52491"/>
    <w:rsid w:val="00C524C8"/>
    <w:rsid w:val="00C52570"/>
    <w:rsid w:val="00C5339E"/>
    <w:rsid w:val="00C53C6E"/>
    <w:rsid w:val="00C54099"/>
    <w:rsid w:val="00C5522E"/>
    <w:rsid w:val="00C5537F"/>
    <w:rsid w:val="00C557DA"/>
    <w:rsid w:val="00C5605D"/>
    <w:rsid w:val="00C5646D"/>
    <w:rsid w:val="00C56940"/>
    <w:rsid w:val="00C56A14"/>
    <w:rsid w:val="00C57F10"/>
    <w:rsid w:val="00C57F64"/>
    <w:rsid w:val="00C616C4"/>
    <w:rsid w:val="00C62339"/>
    <w:rsid w:val="00C63B44"/>
    <w:rsid w:val="00C64BFA"/>
    <w:rsid w:val="00C6552C"/>
    <w:rsid w:val="00C665B5"/>
    <w:rsid w:val="00C66A33"/>
    <w:rsid w:val="00C66E50"/>
    <w:rsid w:val="00C67775"/>
    <w:rsid w:val="00C7081D"/>
    <w:rsid w:val="00C71ABD"/>
    <w:rsid w:val="00C71DA2"/>
    <w:rsid w:val="00C72001"/>
    <w:rsid w:val="00C7228B"/>
    <w:rsid w:val="00C726FB"/>
    <w:rsid w:val="00C72F12"/>
    <w:rsid w:val="00C731B9"/>
    <w:rsid w:val="00C735EE"/>
    <w:rsid w:val="00C73729"/>
    <w:rsid w:val="00C74F5A"/>
    <w:rsid w:val="00C755DE"/>
    <w:rsid w:val="00C75DDE"/>
    <w:rsid w:val="00C76D06"/>
    <w:rsid w:val="00C76D5B"/>
    <w:rsid w:val="00C76EE6"/>
    <w:rsid w:val="00C7712E"/>
    <w:rsid w:val="00C774A3"/>
    <w:rsid w:val="00C77616"/>
    <w:rsid w:val="00C77632"/>
    <w:rsid w:val="00C77663"/>
    <w:rsid w:val="00C77A89"/>
    <w:rsid w:val="00C77B46"/>
    <w:rsid w:val="00C77D4C"/>
    <w:rsid w:val="00C8093D"/>
    <w:rsid w:val="00C80B67"/>
    <w:rsid w:val="00C80DD5"/>
    <w:rsid w:val="00C8181A"/>
    <w:rsid w:val="00C82077"/>
    <w:rsid w:val="00C83A3B"/>
    <w:rsid w:val="00C841CD"/>
    <w:rsid w:val="00C843B8"/>
    <w:rsid w:val="00C84532"/>
    <w:rsid w:val="00C84717"/>
    <w:rsid w:val="00C84F8D"/>
    <w:rsid w:val="00C8546A"/>
    <w:rsid w:val="00C85C46"/>
    <w:rsid w:val="00C85F05"/>
    <w:rsid w:val="00C861F7"/>
    <w:rsid w:val="00C862B6"/>
    <w:rsid w:val="00C868CD"/>
    <w:rsid w:val="00C872FC"/>
    <w:rsid w:val="00C87BA5"/>
    <w:rsid w:val="00C87EE0"/>
    <w:rsid w:val="00C90667"/>
    <w:rsid w:val="00C91ADF"/>
    <w:rsid w:val="00C91F33"/>
    <w:rsid w:val="00C92F57"/>
    <w:rsid w:val="00C93397"/>
    <w:rsid w:val="00C9342A"/>
    <w:rsid w:val="00C9367D"/>
    <w:rsid w:val="00C936D6"/>
    <w:rsid w:val="00C93733"/>
    <w:rsid w:val="00C9419A"/>
    <w:rsid w:val="00C94405"/>
    <w:rsid w:val="00C94EEC"/>
    <w:rsid w:val="00C94EFF"/>
    <w:rsid w:val="00C95E52"/>
    <w:rsid w:val="00C960A0"/>
    <w:rsid w:val="00C96826"/>
    <w:rsid w:val="00C96C08"/>
    <w:rsid w:val="00C96E1F"/>
    <w:rsid w:val="00C9723A"/>
    <w:rsid w:val="00C97598"/>
    <w:rsid w:val="00C978C0"/>
    <w:rsid w:val="00CA0089"/>
    <w:rsid w:val="00CA0F3C"/>
    <w:rsid w:val="00CA12E8"/>
    <w:rsid w:val="00CA16F1"/>
    <w:rsid w:val="00CA193F"/>
    <w:rsid w:val="00CA286C"/>
    <w:rsid w:val="00CA2A7E"/>
    <w:rsid w:val="00CA301F"/>
    <w:rsid w:val="00CA4B1A"/>
    <w:rsid w:val="00CA53E3"/>
    <w:rsid w:val="00CA54F4"/>
    <w:rsid w:val="00CA55E8"/>
    <w:rsid w:val="00CA5660"/>
    <w:rsid w:val="00CA577C"/>
    <w:rsid w:val="00CA65AC"/>
    <w:rsid w:val="00CA672F"/>
    <w:rsid w:val="00CA67F5"/>
    <w:rsid w:val="00CA7548"/>
    <w:rsid w:val="00CA7612"/>
    <w:rsid w:val="00CA7B37"/>
    <w:rsid w:val="00CB0108"/>
    <w:rsid w:val="00CB014E"/>
    <w:rsid w:val="00CB01B7"/>
    <w:rsid w:val="00CB024A"/>
    <w:rsid w:val="00CB1B4A"/>
    <w:rsid w:val="00CB1D5C"/>
    <w:rsid w:val="00CB1FE8"/>
    <w:rsid w:val="00CB20FA"/>
    <w:rsid w:val="00CB41B6"/>
    <w:rsid w:val="00CB478A"/>
    <w:rsid w:val="00CB49C4"/>
    <w:rsid w:val="00CB4A57"/>
    <w:rsid w:val="00CB4AA2"/>
    <w:rsid w:val="00CB4CC1"/>
    <w:rsid w:val="00CB4FD4"/>
    <w:rsid w:val="00CB50C7"/>
    <w:rsid w:val="00CB5F4D"/>
    <w:rsid w:val="00CB61D5"/>
    <w:rsid w:val="00CB6661"/>
    <w:rsid w:val="00CB6FB8"/>
    <w:rsid w:val="00CB7273"/>
    <w:rsid w:val="00CB7B8D"/>
    <w:rsid w:val="00CC07DB"/>
    <w:rsid w:val="00CC0BD1"/>
    <w:rsid w:val="00CC0F2E"/>
    <w:rsid w:val="00CC0FCA"/>
    <w:rsid w:val="00CC105E"/>
    <w:rsid w:val="00CC113C"/>
    <w:rsid w:val="00CC11FD"/>
    <w:rsid w:val="00CC209A"/>
    <w:rsid w:val="00CC22FA"/>
    <w:rsid w:val="00CC36C7"/>
    <w:rsid w:val="00CC3BFA"/>
    <w:rsid w:val="00CC3CDE"/>
    <w:rsid w:val="00CC49C1"/>
    <w:rsid w:val="00CC4C65"/>
    <w:rsid w:val="00CC4DB6"/>
    <w:rsid w:val="00CC5596"/>
    <w:rsid w:val="00CC5892"/>
    <w:rsid w:val="00CC590D"/>
    <w:rsid w:val="00CC63DC"/>
    <w:rsid w:val="00CC6FBE"/>
    <w:rsid w:val="00CC748E"/>
    <w:rsid w:val="00CC7E59"/>
    <w:rsid w:val="00CD182F"/>
    <w:rsid w:val="00CD1948"/>
    <w:rsid w:val="00CD2217"/>
    <w:rsid w:val="00CD22D1"/>
    <w:rsid w:val="00CD2570"/>
    <w:rsid w:val="00CD2B02"/>
    <w:rsid w:val="00CD372A"/>
    <w:rsid w:val="00CD3B31"/>
    <w:rsid w:val="00CD3F4E"/>
    <w:rsid w:val="00CD4E01"/>
    <w:rsid w:val="00CD5D07"/>
    <w:rsid w:val="00CD6233"/>
    <w:rsid w:val="00CD6E48"/>
    <w:rsid w:val="00CE1672"/>
    <w:rsid w:val="00CE1B32"/>
    <w:rsid w:val="00CE1FBE"/>
    <w:rsid w:val="00CE2257"/>
    <w:rsid w:val="00CE30FD"/>
    <w:rsid w:val="00CE3386"/>
    <w:rsid w:val="00CE39CA"/>
    <w:rsid w:val="00CE49EC"/>
    <w:rsid w:val="00CE4F02"/>
    <w:rsid w:val="00CE53FA"/>
    <w:rsid w:val="00CE5E10"/>
    <w:rsid w:val="00CE630C"/>
    <w:rsid w:val="00CE6C04"/>
    <w:rsid w:val="00CE7333"/>
    <w:rsid w:val="00CE7CBA"/>
    <w:rsid w:val="00CF0031"/>
    <w:rsid w:val="00CF04D9"/>
    <w:rsid w:val="00CF0A45"/>
    <w:rsid w:val="00CF0CEF"/>
    <w:rsid w:val="00CF0EF3"/>
    <w:rsid w:val="00CF1721"/>
    <w:rsid w:val="00CF1CD8"/>
    <w:rsid w:val="00CF21A1"/>
    <w:rsid w:val="00CF21B7"/>
    <w:rsid w:val="00CF2444"/>
    <w:rsid w:val="00CF2BFB"/>
    <w:rsid w:val="00CF417F"/>
    <w:rsid w:val="00CF44C7"/>
    <w:rsid w:val="00CF59E0"/>
    <w:rsid w:val="00CF5A19"/>
    <w:rsid w:val="00CF60A8"/>
    <w:rsid w:val="00CF6226"/>
    <w:rsid w:val="00CF6720"/>
    <w:rsid w:val="00CF675C"/>
    <w:rsid w:val="00CF6B13"/>
    <w:rsid w:val="00CF6C15"/>
    <w:rsid w:val="00CF6D80"/>
    <w:rsid w:val="00CF73C3"/>
    <w:rsid w:val="00CF7A45"/>
    <w:rsid w:val="00CF7E31"/>
    <w:rsid w:val="00D0044B"/>
    <w:rsid w:val="00D00741"/>
    <w:rsid w:val="00D0111B"/>
    <w:rsid w:val="00D01CDB"/>
    <w:rsid w:val="00D021EC"/>
    <w:rsid w:val="00D02D4F"/>
    <w:rsid w:val="00D02E18"/>
    <w:rsid w:val="00D033EE"/>
    <w:rsid w:val="00D034D8"/>
    <w:rsid w:val="00D03E87"/>
    <w:rsid w:val="00D044E0"/>
    <w:rsid w:val="00D04567"/>
    <w:rsid w:val="00D04F47"/>
    <w:rsid w:val="00D0549D"/>
    <w:rsid w:val="00D060DE"/>
    <w:rsid w:val="00D073CE"/>
    <w:rsid w:val="00D07970"/>
    <w:rsid w:val="00D07D05"/>
    <w:rsid w:val="00D111FE"/>
    <w:rsid w:val="00D120F4"/>
    <w:rsid w:val="00D12450"/>
    <w:rsid w:val="00D12EA9"/>
    <w:rsid w:val="00D135B4"/>
    <w:rsid w:val="00D1397C"/>
    <w:rsid w:val="00D14CD6"/>
    <w:rsid w:val="00D16162"/>
    <w:rsid w:val="00D1649F"/>
    <w:rsid w:val="00D16C72"/>
    <w:rsid w:val="00D16C75"/>
    <w:rsid w:val="00D1735A"/>
    <w:rsid w:val="00D17CC1"/>
    <w:rsid w:val="00D2041C"/>
    <w:rsid w:val="00D20819"/>
    <w:rsid w:val="00D20C3E"/>
    <w:rsid w:val="00D21238"/>
    <w:rsid w:val="00D21E12"/>
    <w:rsid w:val="00D2223A"/>
    <w:rsid w:val="00D223C2"/>
    <w:rsid w:val="00D2296C"/>
    <w:rsid w:val="00D235FC"/>
    <w:rsid w:val="00D23890"/>
    <w:rsid w:val="00D2398A"/>
    <w:rsid w:val="00D2453C"/>
    <w:rsid w:val="00D24853"/>
    <w:rsid w:val="00D24E2E"/>
    <w:rsid w:val="00D255C2"/>
    <w:rsid w:val="00D26332"/>
    <w:rsid w:val="00D26740"/>
    <w:rsid w:val="00D2749E"/>
    <w:rsid w:val="00D27AF5"/>
    <w:rsid w:val="00D3043C"/>
    <w:rsid w:val="00D304F6"/>
    <w:rsid w:val="00D307C4"/>
    <w:rsid w:val="00D308AF"/>
    <w:rsid w:val="00D31137"/>
    <w:rsid w:val="00D317F0"/>
    <w:rsid w:val="00D31A5C"/>
    <w:rsid w:val="00D31BFF"/>
    <w:rsid w:val="00D31E94"/>
    <w:rsid w:val="00D327CC"/>
    <w:rsid w:val="00D329EA"/>
    <w:rsid w:val="00D3354A"/>
    <w:rsid w:val="00D3396A"/>
    <w:rsid w:val="00D34950"/>
    <w:rsid w:val="00D35249"/>
    <w:rsid w:val="00D35446"/>
    <w:rsid w:val="00D355E5"/>
    <w:rsid w:val="00D3577E"/>
    <w:rsid w:val="00D359FB"/>
    <w:rsid w:val="00D35E41"/>
    <w:rsid w:val="00D363F7"/>
    <w:rsid w:val="00D363F8"/>
    <w:rsid w:val="00D36C55"/>
    <w:rsid w:val="00D36F87"/>
    <w:rsid w:val="00D37D08"/>
    <w:rsid w:val="00D400B9"/>
    <w:rsid w:val="00D40445"/>
    <w:rsid w:val="00D40B80"/>
    <w:rsid w:val="00D40B9E"/>
    <w:rsid w:val="00D40F53"/>
    <w:rsid w:val="00D40FCE"/>
    <w:rsid w:val="00D41093"/>
    <w:rsid w:val="00D417B9"/>
    <w:rsid w:val="00D41D7C"/>
    <w:rsid w:val="00D42448"/>
    <w:rsid w:val="00D42E51"/>
    <w:rsid w:val="00D4311C"/>
    <w:rsid w:val="00D43EA1"/>
    <w:rsid w:val="00D43ED0"/>
    <w:rsid w:val="00D44060"/>
    <w:rsid w:val="00D44711"/>
    <w:rsid w:val="00D44AA3"/>
    <w:rsid w:val="00D45754"/>
    <w:rsid w:val="00D46636"/>
    <w:rsid w:val="00D46E7D"/>
    <w:rsid w:val="00D476F1"/>
    <w:rsid w:val="00D47C52"/>
    <w:rsid w:val="00D47FDE"/>
    <w:rsid w:val="00D50167"/>
    <w:rsid w:val="00D504E2"/>
    <w:rsid w:val="00D50BB1"/>
    <w:rsid w:val="00D50C92"/>
    <w:rsid w:val="00D50D32"/>
    <w:rsid w:val="00D50D8D"/>
    <w:rsid w:val="00D51794"/>
    <w:rsid w:val="00D51FAF"/>
    <w:rsid w:val="00D522BE"/>
    <w:rsid w:val="00D523FB"/>
    <w:rsid w:val="00D52565"/>
    <w:rsid w:val="00D53FD3"/>
    <w:rsid w:val="00D544AD"/>
    <w:rsid w:val="00D545AA"/>
    <w:rsid w:val="00D54B98"/>
    <w:rsid w:val="00D553A7"/>
    <w:rsid w:val="00D5589C"/>
    <w:rsid w:val="00D558DB"/>
    <w:rsid w:val="00D55BED"/>
    <w:rsid w:val="00D569AB"/>
    <w:rsid w:val="00D569AF"/>
    <w:rsid w:val="00D569D1"/>
    <w:rsid w:val="00D56B66"/>
    <w:rsid w:val="00D56F9A"/>
    <w:rsid w:val="00D575BD"/>
    <w:rsid w:val="00D60CEA"/>
    <w:rsid w:val="00D61196"/>
    <w:rsid w:val="00D61408"/>
    <w:rsid w:val="00D61A98"/>
    <w:rsid w:val="00D61C61"/>
    <w:rsid w:val="00D61D40"/>
    <w:rsid w:val="00D622C9"/>
    <w:rsid w:val="00D62549"/>
    <w:rsid w:val="00D6267A"/>
    <w:rsid w:val="00D6272D"/>
    <w:rsid w:val="00D62CFB"/>
    <w:rsid w:val="00D62F75"/>
    <w:rsid w:val="00D63191"/>
    <w:rsid w:val="00D633B9"/>
    <w:rsid w:val="00D651B7"/>
    <w:rsid w:val="00D6626B"/>
    <w:rsid w:val="00D664C3"/>
    <w:rsid w:val="00D66D2F"/>
    <w:rsid w:val="00D67241"/>
    <w:rsid w:val="00D673B7"/>
    <w:rsid w:val="00D673E8"/>
    <w:rsid w:val="00D67767"/>
    <w:rsid w:val="00D67784"/>
    <w:rsid w:val="00D705B0"/>
    <w:rsid w:val="00D70E8D"/>
    <w:rsid w:val="00D71621"/>
    <w:rsid w:val="00D7306C"/>
    <w:rsid w:val="00D735BF"/>
    <w:rsid w:val="00D74DB5"/>
    <w:rsid w:val="00D75829"/>
    <w:rsid w:val="00D75B49"/>
    <w:rsid w:val="00D76373"/>
    <w:rsid w:val="00D778B0"/>
    <w:rsid w:val="00D80430"/>
    <w:rsid w:val="00D805D5"/>
    <w:rsid w:val="00D80E6C"/>
    <w:rsid w:val="00D814DF"/>
    <w:rsid w:val="00D81E38"/>
    <w:rsid w:val="00D82018"/>
    <w:rsid w:val="00D82A18"/>
    <w:rsid w:val="00D82FF6"/>
    <w:rsid w:val="00D8306F"/>
    <w:rsid w:val="00D83145"/>
    <w:rsid w:val="00D838DF"/>
    <w:rsid w:val="00D83ADB"/>
    <w:rsid w:val="00D842F8"/>
    <w:rsid w:val="00D843CD"/>
    <w:rsid w:val="00D84740"/>
    <w:rsid w:val="00D84808"/>
    <w:rsid w:val="00D84AA5"/>
    <w:rsid w:val="00D84E80"/>
    <w:rsid w:val="00D84EA3"/>
    <w:rsid w:val="00D85A58"/>
    <w:rsid w:val="00D85ED3"/>
    <w:rsid w:val="00D85F5E"/>
    <w:rsid w:val="00D8644B"/>
    <w:rsid w:val="00D8695F"/>
    <w:rsid w:val="00D86961"/>
    <w:rsid w:val="00D86B60"/>
    <w:rsid w:val="00D86FFA"/>
    <w:rsid w:val="00D877E4"/>
    <w:rsid w:val="00D90184"/>
    <w:rsid w:val="00D90461"/>
    <w:rsid w:val="00D90A5F"/>
    <w:rsid w:val="00D90C73"/>
    <w:rsid w:val="00D911BF"/>
    <w:rsid w:val="00D91A70"/>
    <w:rsid w:val="00D91E33"/>
    <w:rsid w:val="00D92078"/>
    <w:rsid w:val="00D934B3"/>
    <w:rsid w:val="00D938CB"/>
    <w:rsid w:val="00D944E3"/>
    <w:rsid w:val="00D944E6"/>
    <w:rsid w:val="00D9455A"/>
    <w:rsid w:val="00D946F9"/>
    <w:rsid w:val="00D95426"/>
    <w:rsid w:val="00D959BD"/>
    <w:rsid w:val="00D95BA5"/>
    <w:rsid w:val="00D969C8"/>
    <w:rsid w:val="00D96B71"/>
    <w:rsid w:val="00D9726B"/>
    <w:rsid w:val="00DA0448"/>
    <w:rsid w:val="00DA0668"/>
    <w:rsid w:val="00DA0800"/>
    <w:rsid w:val="00DA129A"/>
    <w:rsid w:val="00DA1553"/>
    <w:rsid w:val="00DA2AA6"/>
    <w:rsid w:val="00DA3C52"/>
    <w:rsid w:val="00DA4165"/>
    <w:rsid w:val="00DA4256"/>
    <w:rsid w:val="00DA476A"/>
    <w:rsid w:val="00DA4A3F"/>
    <w:rsid w:val="00DA4BC3"/>
    <w:rsid w:val="00DA4D9F"/>
    <w:rsid w:val="00DA4EA5"/>
    <w:rsid w:val="00DA56EA"/>
    <w:rsid w:val="00DA5FF6"/>
    <w:rsid w:val="00DA6386"/>
    <w:rsid w:val="00DA67A5"/>
    <w:rsid w:val="00DA69C6"/>
    <w:rsid w:val="00DA6E9A"/>
    <w:rsid w:val="00DA7203"/>
    <w:rsid w:val="00DA73A9"/>
    <w:rsid w:val="00DB029D"/>
    <w:rsid w:val="00DB0749"/>
    <w:rsid w:val="00DB0F62"/>
    <w:rsid w:val="00DB1098"/>
    <w:rsid w:val="00DB128F"/>
    <w:rsid w:val="00DB1552"/>
    <w:rsid w:val="00DB1779"/>
    <w:rsid w:val="00DB1835"/>
    <w:rsid w:val="00DB209A"/>
    <w:rsid w:val="00DB24B5"/>
    <w:rsid w:val="00DB269C"/>
    <w:rsid w:val="00DB28D2"/>
    <w:rsid w:val="00DB315D"/>
    <w:rsid w:val="00DB3C1E"/>
    <w:rsid w:val="00DB43C6"/>
    <w:rsid w:val="00DB44CE"/>
    <w:rsid w:val="00DB4901"/>
    <w:rsid w:val="00DB4C21"/>
    <w:rsid w:val="00DB52B2"/>
    <w:rsid w:val="00DB568A"/>
    <w:rsid w:val="00DB5DD2"/>
    <w:rsid w:val="00DB63DB"/>
    <w:rsid w:val="00DB65F8"/>
    <w:rsid w:val="00DB7007"/>
    <w:rsid w:val="00DB7363"/>
    <w:rsid w:val="00DB7C85"/>
    <w:rsid w:val="00DC075D"/>
    <w:rsid w:val="00DC0795"/>
    <w:rsid w:val="00DC0847"/>
    <w:rsid w:val="00DC1A02"/>
    <w:rsid w:val="00DC1B49"/>
    <w:rsid w:val="00DC25CC"/>
    <w:rsid w:val="00DC2751"/>
    <w:rsid w:val="00DC3305"/>
    <w:rsid w:val="00DC3424"/>
    <w:rsid w:val="00DC356C"/>
    <w:rsid w:val="00DC415E"/>
    <w:rsid w:val="00DC4561"/>
    <w:rsid w:val="00DC49B7"/>
    <w:rsid w:val="00DC56C8"/>
    <w:rsid w:val="00DC60EE"/>
    <w:rsid w:val="00DC6734"/>
    <w:rsid w:val="00DC678C"/>
    <w:rsid w:val="00DC681F"/>
    <w:rsid w:val="00DC687C"/>
    <w:rsid w:val="00DC6D42"/>
    <w:rsid w:val="00DC7072"/>
    <w:rsid w:val="00DD009D"/>
    <w:rsid w:val="00DD061C"/>
    <w:rsid w:val="00DD087E"/>
    <w:rsid w:val="00DD08FA"/>
    <w:rsid w:val="00DD0ED5"/>
    <w:rsid w:val="00DD1381"/>
    <w:rsid w:val="00DD2651"/>
    <w:rsid w:val="00DD28B6"/>
    <w:rsid w:val="00DD32B1"/>
    <w:rsid w:val="00DD4547"/>
    <w:rsid w:val="00DD45FA"/>
    <w:rsid w:val="00DD528F"/>
    <w:rsid w:val="00DD5F48"/>
    <w:rsid w:val="00DD6966"/>
    <w:rsid w:val="00DD6E0D"/>
    <w:rsid w:val="00DD719B"/>
    <w:rsid w:val="00DD741A"/>
    <w:rsid w:val="00DD7F15"/>
    <w:rsid w:val="00DE039C"/>
    <w:rsid w:val="00DE0931"/>
    <w:rsid w:val="00DE0C0A"/>
    <w:rsid w:val="00DE0DCA"/>
    <w:rsid w:val="00DE0F79"/>
    <w:rsid w:val="00DE14DA"/>
    <w:rsid w:val="00DE15F4"/>
    <w:rsid w:val="00DE17CE"/>
    <w:rsid w:val="00DE1CED"/>
    <w:rsid w:val="00DE3287"/>
    <w:rsid w:val="00DE4086"/>
    <w:rsid w:val="00DE4652"/>
    <w:rsid w:val="00DE4882"/>
    <w:rsid w:val="00DE531E"/>
    <w:rsid w:val="00DE5368"/>
    <w:rsid w:val="00DE55C1"/>
    <w:rsid w:val="00DE563B"/>
    <w:rsid w:val="00DE56F5"/>
    <w:rsid w:val="00DE5812"/>
    <w:rsid w:val="00DE5818"/>
    <w:rsid w:val="00DE6057"/>
    <w:rsid w:val="00DE63D3"/>
    <w:rsid w:val="00DE6723"/>
    <w:rsid w:val="00DE6F66"/>
    <w:rsid w:val="00DE7081"/>
    <w:rsid w:val="00DF187D"/>
    <w:rsid w:val="00DF1C8D"/>
    <w:rsid w:val="00DF20AA"/>
    <w:rsid w:val="00DF3017"/>
    <w:rsid w:val="00DF3136"/>
    <w:rsid w:val="00DF31C1"/>
    <w:rsid w:val="00DF3567"/>
    <w:rsid w:val="00DF3872"/>
    <w:rsid w:val="00DF38B2"/>
    <w:rsid w:val="00DF3932"/>
    <w:rsid w:val="00DF3DD6"/>
    <w:rsid w:val="00DF49E8"/>
    <w:rsid w:val="00DF4D62"/>
    <w:rsid w:val="00DF4E3E"/>
    <w:rsid w:val="00DF4EF1"/>
    <w:rsid w:val="00DF5043"/>
    <w:rsid w:val="00DF5112"/>
    <w:rsid w:val="00DF5296"/>
    <w:rsid w:val="00DF5719"/>
    <w:rsid w:val="00DF5791"/>
    <w:rsid w:val="00DF5EDC"/>
    <w:rsid w:val="00DF6431"/>
    <w:rsid w:val="00DF671C"/>
    <w:rsid w:val="00DF7983"/>
    <w:rsid w:val="00DF7ED8"/>
    <w:rsid w:val="00DF7EE5"/>
    <w:rsid w:val="00E00038"/>
    <w:rsid w:val="00E00C8C"/>
    <w:rsid w:val="00E01494"/>
    <w:rsid w:val="00E017CA"/>
    <w:rsid w:val="00E0183F"/>
    <w:rsid w:val="00E01FF5"/>
    <w:rsid w:val="00E025F8"/>
    <w:rsid w:val="00E030DB"/>
    <w:rsid w:val="00E03309"/>
    <w:rsid w:val="00E0330C"/>
    <w:rsid w:val="00E03560"/>
    <w:rsid w:val="00E038E0"/>
    <w:rsid w:val="00E03FDC"/>
    <w:rsid w:val="00E0426B"/>
    <w:rsid w:val="00E04EAE"/>
    <w:rsid w:val="00E04F5E"/>
    <w:rsid w:val="00E05045"/>
    <w:rsid w:val="00E070E7"/>
    <w:rsid w:val="00E1010A"/>
    <w:rsid w:val="00E10A97"/>
    <w:rsid w:val="00E11A5C"/>
    <w:rsid w:val="00E11B52"/>
    <w:rsid w:val="00E1208A"/>
    <w:rsid w:val="00E12913"/>
    <w:rsid w:val="00E135AF"/>
    <w:rsid w:val="00E13904"/>
    <w:rsid w:val="00E14817"/>
    <w:rsid w:val="00E1569C"/>
    <w:rsid w:val="00E15D41"/>
    <w:rsid w:val="00E15EFF"/>
    <w:rsid w:val="00E164A6"/>
    <w:rsid w:val="00E165CE"/>
    <w:rsid w:val="00E16A70"/>
    <w:rsid w:val="00E16EEB"/>
    <w:rsid w:val="00E177A3"/>
    <w:rsid w:val="00E20288"/>
    <w:rsid w:val="00E2074C"/>
    <w:rsid w:val="00E21500"/>
    <w:rsid w:val="00E215CC"/>
    <w:rsid w:val="00E21A57"/>
    <w:rsid w:val="00E22949"/>
    <w:rsid w:val="00E23473"/>
    <w:rsid w:val="00E23485"/>
    <w:rsid w:val="00E23495"/>
    <w:rsid w:val="00E23712"/>
    <w:rsid w:val="00E23C18"/>
    <w:rsid w:val="00E241FD"/>
    <w:rsid w:val="00E25B3A"/>
    <w:rsid w:val="00E25BAA"/>
    <w:rsid w:val="00E25DCA"/>
    <w:rsid w:val="00E25ED8"/>
    <w:rsid w:val="00E2613D"/>
    <w:rsid w:val="00E26EE9"/>
    <w:rsid w:val="00E277BD"/>
    <w:rsid w:val="00E27B52"/>
    <w:rsid w:val="00E30B28"/>
    <w:rsid w:val="00E31409"/>
    <w:rsid w:val="00E3140B"/>
    <w:rsid w:val="00E31509"/>
    <w:rsid w:val="00E31D9A"/>
    <w:rsid w:val="00E32255"/>
    <w:rsid w:val="00E324E3"/>
    <w:rsid w:val="00E3269E"/>
    <w:rsid w:val="00E341B9"/>
    <w:rsid w:val="00E3440B"/>
    <w:rsid w:val="00E34652"/>
    <w:rsid w:val="00E34D84"/>
    <w:rsid w:val="00E35CA7"/>
    <w:rsid w:val="00E35D13"/>
    <w:rsid w:val="00E35D96"/>
    <w:rsid w:val="00E37742"/>
    <w:rsid w:val="00E379B3"/>
    <w:rsid w:val="00E37B47"/>
    <w:rsid w:val="00E37BB3"/>
    <w:rsid w:val="00E37EB0"/>
    <w:rsid w:val="00E40190"/>
    <w:rsid w:val="00E4063F"/>
    <w:rsid w:val="00E40CB0"/>
    <w:rsid w:val="00E41674"/>
    <w:rsid w:val="00E42AB9"/>
    <w:rsid w:val="00E42AE5"/>
    <w:rsid w:val="00E43291"/>
    <w:rsid w:val="00E43FAB"/>
    <w:rsid w:val="00E44190"/>
    <w:rsid w:val="00E44A00"/>
    <w:rsid w:val="00E44A65"/>
    <w:rsid w:val="00E45023"/>
    <w:rsid w:val="00E472F2"/>
    <w:rsid w:val="00E4753A"/>
    <w:rsid w:val="00E478A9"/>
    <w:rsid w:val="00E47DA8"/>
    <w:rsid w:val="00E51038"/>
    <w:rsid w:val="00E5264D"/>
    <w:rsid w:val="00E534B4"/>
    <w:rsid w:val="00E53600"/>
    <w:rsid w:val="00E540E6"/>
    <w:rsid w:val="00E54138"/>
    <w:rsid w:val="00E54A5D"/>
    <w:rsid w:val="00E55328"/>
    <w:rsid w:val="00E555D0"/>
    <w:rsid w:val="00E55819"/>
    <w:rsid w:val="00E55B0D"/>
    <w:rsid w:val="00E55C38"/>
    <w:rsid w:val="00E56852"/>
    <w:rsid w:val="00E5690A"/>
    <w:rsid w:val="00E57411"/>
    <w:rsid w:val="00E575FA"/>
    <w:rsid w:val="00E57DD2"/>
    <w:rsid w:val="00E60212"/>
    <w:rsid w:val="00E60244"/>
    <w:rsid w:val="00E62143"/>
    <w:rsid w:val="00E6252E"/>
    <w:rsid w:val="00E63A07"/>
    <w:rsid w:val="00E63B97"/>
    <w:rsid w:val="00E6497F"/>
    <w:rsid w:val="00E64BD2"/>
    <w:rsid w:val="00E65325"/>
    <w:rsid w:val="00E6572C"/>
    <w:rsid w:val="00E65AF1"/>
    <w:rsid w:val="00E65F81"/>
    <w:rsid w:val="00E66559"/>
    <w:rsid w:val="00E667BF"/>
    <w:rsid w:val="00E6685E"/>
    <w:rsid w:val="00E668D6"/>
    <w:rsid w:val="00E67755"/>
    <w:rsid w:val="00E67ABD"/>
    <w:rsid w:val="00E67EAC"/>
    <w:rsid w:val="00E707D3"/>
    <w:rsid w:val="00E70EF0"/>
    <w:rsid w:val="00E7240F"/>
    <w:rsid w:val="00E73360"/>
    <w:rsid w:val="00E73595"/>
    <w:rsid w:val="00E73E15"/>
    <w:rsid w:val="00E73E69"/>
    <w:rsid w:val="00E74A0C"/>
    <w:rsid w:val="00E74CED"/>
    <w:rsid w:val="00E74DC5"/>
    <w:rsid w:val="00E758C7"/>
    <w:rsid w:val="00E76618"/>
    <w:rsid w:val="00E771F3"/>
    <w:rsid w:val="00E77E8E"/>
    <w:rsid w:val="00E8006F"/>
    <w:rsid w:val="00E80D14"/>
    <w:rsid w:val="00E817F1"/>
    <w:rsid w:val="00E819DD"/>
    <w:rsid w:val="00E82661"/>
    <w:rsid w:val="00E832C5"/>
    <w:rsid w:val="00E833EE"/>
    <w:rsid w:val="00E8347B"/>
    <w:rsid w:val="00E83907"/>
    <w:rsid w:val="00E91683"/>
    <w:rsid w:val="00E917AA"/>
    <w:rsid w:val="00E9189F"/>
    <w:rsid w:val="00E91C56"/>
    <w:rsid w:val="00E922EF"/>
    <w:rsid w:val="00E9290C"/>
    <w:rsid w:val="00E938B9"/>
    <w:rsid w:val="00E93C23"/>
    <w:rsid w:val="00E93E10"/>
    <w:rsid w:val="00E9454D"/>
    <w:rsid w:val="00E94BE1"/>
    <w:rsid w:val="00E95459"/>
    <w:rsid w:val="00E95897"/>
    <w:rsid w:val="00E958EF"/>
    <w:rsid w:val="00E9602A"/>
    <w:rsid w:val="00E96AA6"/>
    <w:rsid w:val="00E97770"/>
    <w:rsid w:val="00E978B0"/>
    <w:rsid w:val="00E97D46"/>
    <w:rsid w:val="00E97FDA"/>
    <w:rsid w:val="00EA0B37"/>
    <w:rsid w:val="00EA0B66"/>
    <w:rsid w:val="00EA155B"/>
    <w:rsid w:val="00EA1810"/>
    <w:rsid w:val="00EA18C3"/>
    <w:rsid w:val="00EA1B06"/>
    <w:rsid w:val="00EA1E71"/>
    <w:rsid w:val="00EA2301"/>
    <w:rsid w:val="00EA2A93"/>
    <w:rsid w:val="00EA2AD3"/>
    <w:rsid w:val="00EA332A"/>
    <w:rsid w:val="00EA44BF"/>
    <w:rsid w:val="00EA488F"/>
    <w:rsid w:val="00EA5661"/>
    <w:rsid w:val="00EA5B5F"/>
    <w:rsid w:val="00EA5C30"/>
    <w:rsid w:val="00EA6279"/>
    <w:rsid w:val="00EA63C4"/>
    <w:rsid w:val="00EA6953"/>
    <w:rsid w:val="00EA698A"/>
    <w:rsid w:val="00EA6990"/>
    <w:rsid w:val="00EA6CD7"/>
    <w:rsid w:val="00EA7371"/>
    <w:rsid w:val="00EB0280"/>
    <w:rsid w:val="00EB0669"/>
    <w:rsid w:val="00EB1FD6"/>
    <w:rsid w:val="00EB2275"/>
    <w:rsid w:val="00EB34DB"/>
    <w:rsid w:val="00EB5542"/>
    <w:rsid w:val="00EB558A"/>
    <w:rsid w:val="00EB5890"/>
    <w:rsid w:val="00EB5981"/>
    <w:rsid w:val="00EB7184"/>
    <w:rsid w:val="00EB7306"/>
    <w:rsid w:val="00EB73CD"/>
    <w:rsid w:val="00EB7654"/>
    <w:rsid w:val="00EB7820"/>
    <w:rsid w:val="00EB7A20"/>
    <w:rsid w:val="00EB7E7B"/>
    <w:rsid w:val="00EC0B6F"/>
    <w:rsid w:val="00EC1D36"/>
    <w:rsid w:val="00EC20EC"/>
    <w:rsid w:val="00EC22EE"/>
    <w:rsid w:val="00EC3EFC"/>
    <w:rsid w:val="00EC438B"/>
    <w:rsid w:val="00EC4557"/>
    <w:rsid w:val="00EC4B33"/>
    <w:rsid w:val="00EC595B"/>
    <w:rsid w:val="00EC6131"/>
    <w:rsid w:val="00EC6D51"/>
    <w:rsid w:val="00EC7836"/>
    <w:rsid w:val="00EC7CC7"/>
    <w:rsid w:val="00ED020A"/>
    <w:rsid w:val="00ED0972"/>
    <w:rsid w:val="00ED0AF9"/>
    <w:rsid w:val="00ED0F56"/>
    <w:rsid w:val="00ED1503"/>
    <w:rsid w:val="00ED151A"/>
    <w:rsid w:val="00ED1D50"/>
    <w:rsid w:val="00ED2096"/>
    <w:rsid w:val="00ED26C5"/>
    <w:rsid w:val="00ED2735"/>
    <w:rsid w:val="00ED29DB"/>
    <w:rsid w:val="00ED3081"/>
    <w:rsid w:val="00ED334E"/>
    <w:rsid w:val="00ED3A0A"/>
    <w:rsid w:val="00ED4AF1"/>
    <w:rsid w:val="00ED4B1F"/>
    <w:rsid w:val="00ED51E7"/>
    <w:rsid w:val="00ED5BFC"/>
    <w:rsid w:val="00ED6A0D"/>
    <w:rsid w:val="00ED6E2B"/>
    <w:rsid w:val="00ED6E33"/>
    <w:rsid w:val="00ED7D54"/>
    <w:rsid w:val="00EE05A5"/>
    <w:rsid w:val="00EE07D4"/>
    <w:rsid w:val="00EE1242"/>
    <w:rsid w:val="00EE14AF"/>
    <w:rsid w:val="00EE167E"/>
    <w:rsid w:val="00EE236A"/>
    <w:rsid w:val="00EE345B"/>
    <w:rsid w:val="00EE3A89"/>
    <w:rsid w:val="00EE4CA7"/>
    <w:rsid w:val="00EE52AC"/>
    <w:rsid w:val="00EE628C"/>
    <w:rsid w:val="00EE76AA"/>
    <w:rsid w:val="00EE7EDA"/>
    <w:rsid w:val="00EF0250"/>
    <w:rsid w:val="00EF02DB"/>
    <w:rsid w:val="00EF0471"/>
    <w:rsid w:val="00EF0B85"/>
    <w:rsid w:val="00EF1BBB"/>
    <w:rsid w:val="00EF2D31"/>
    <w:rsid w:val="00EF3424"/>
    <w:rsid w:val="00EF3653"/>
    <w:rsid w:val="00EF391E"/>
    <w:rsid w:val="00EF4116"/>
    <w:rsid w:val="00EF4342"/>
    <w:rsid w:val="00EF5D58"/>
    <w:rsid w:val="00EF640C"/>
    <w:rsid w:val="00EF652F"/>
    <w:rsid w:val="00EF6EC8"/>
    <w:rsid w:val="00EF7277"/>
    <w:rsid w:val="00EF7314"/>
    <w:rsid w:val="00EF7BD8"/>
    <w:rsid w:val="00EF7F03"/>
    <w:rsid w:val="00F00E6A"/>
    <w:rsid w:val="00F0112B"/>
    <w:rsid w:val="00F0144D"/>
    <w:rsid w:val="00F0186E"/>
    <w:rsid w:val="00F026BD"/>
    <w:rsid w:val="00F02A34"/>
    <w:rsid w:val="00F02B7D"/>
    <w:rsid w:val="00F03494"/>
    <w:rsid w:val="00F036FE"/>
    <w:rsid w:val="00F03AED"/>
    <w:rsid w:val="00F05BBA"/>
    <w:rsid w:val="00F05C82"/>
    <w:rsid w:val="00F06734"/>
    <w:rsid w:val="00F06893"/>
    <w:rsid w:val="00F06F2C"/>
    <w:rsid w:val="00F072FD"/>
    <w:rsid w:val="00F07423"/>
    <w:rsid w:val="00F07628"/>
    <w:rsid w:val="00F07EC2"/>
    <w:rsid w:val="00F07FEF"/>
    <w:rsid w:val="00F10192"/>
    <w:rsid w:val="00F116B4"/>
    <w:rsid w:val="00F11F33"/>
    <w:rsid w:val="00F13DA0"/>
    <w:rsid w:val="00F13DCC"/>
    <w:rsid w:val="00F14325"/>
    <w:rsid w:val="00F1484C"/>
    <w:rsid w:val="00F1489F"/>
    <w:rsid w:val="00F14B58"/>
    <w:rsid w:val="00F14BD8"/>
    <w:rsid w:val="00F14BE9"/>
    <w:rsid w:val="00F14FCC"/>
    <w:rsid w:val="00F156CA"/>
    <w:rsid w:val="00F15751"/>
    <w:rsid w:val="00F15FEF"/>
    <w:rsid w:val="00F169ED"/>
    <w:rsid w:val="00F16C53"/>
    <w:rsid w:val="00F16CB7"/>
    <w:rsid w:val="00F16DE4"/>
    <w:rsid w:val="00F17781"/>
    <w:rsid w:val="00F21064"/>
    <w:rsid w:val="00F21498"/>
    <w:rsid w:val="00F219E1"/>
    <w:rsid w:val="00F23092"/>
    <w:rsid w:val="00F23CBB"/>
    <w:rsid w:val="00F2404B"/>
    <w:rsid w:val="00F24483"/>
    <w:rsid w:val="00F245B0"/>
    <w:rsid w:val="00F24E4C"/>
    <w:rsid w:val="00F25150"/>
    <w:rsid w:val="00F25B5E"/>
    <w:rsid w:val="00F25CDC"/>
    <w:rsid w:val="00F2669F"/>
    <w:rsid w:val="00F266DF"/>
    <w:rsid w:val="00F267BB"/>
    <w:rsid w:val="00F276A8"/>
    <w:rsid w:val="00F27DD8"/>
    <w:rsid w:val="00F30B63"/>
    <w:rsid w:val="00F32809"/>
    <w:rsid w:val="00F32E07"/>
    <w:rsid w:val="00F32E12"/>
    <w:rsid w:val="00F32EB6"/>
    <w:rsid w:val="00F32EC0"/>
    <w:rsid w:val="00F3454D"/>
    <w:rsid w:val="00F34A4E"/>
    <w:rsid w:val="00F34AC2"/>
    <w:rsid w:val="00F34B17"/>
    <w:rsid w:val="00F34DF2"/>
    <w:rsid w:val="00F35E13"/>
    <w:rsid w:val="00F36447"/>
    <w:rsid w:val="00F36636"/>
    <w:rsid w:val="00F3679A"/>
    <w:rsid w:val="00F368DE"/>
    <w:rsid w:val="00F37B59"/>
    <w:rsid w:val="00F37BBE"/>
    <w:rsid w:val="00F402BE"/>
    <w:rsid w:val="00F408BE"/>
    <w:rsid w:val="00F40E9F"/>
    <w:rsid w:val="00F4222F"/>
    <w:rsid w:val="00F43DC1"/>
    <w:rsid w:val="00F43DEB"/>
    <w:rsid w:val="00F4409D"/>
    <w:rsid w:val="00F442C5"/>
    <w:rsid w:val="00F444CF"/>
    <w:rsid w:val="00F45642"/>
    <w:rsid w:val="00F4588D"/>
    <w:rsid w:val="00F45B81"/>
    <w:rsid w:val="00F46BA7"/>
    <w:rsid w:val="00F46BFA"/>
    <w:rsid w:val="00F46EF9"/>
    <w:rsid w:val="00F46F3D"/>
    <w:rsid w:val="00F4766F"/>
    <w:rsid w:val="00F47BE9"/>
    <w:rsid w:val="00F47D75"/>
    <w:rsid w:val="00F47D7D"/>
    <w:rsid w:val="00F50530"/>
    <w:rsid w:val="00F519DE"/>
    <w:rsid w:val="00F51BD6"/>
    <w:rsid w:val="00F522D8"/>
    <w:rsid w:val="00F52C4E"/>
    <w:rsid w:val="00F5336F"/>
    <w:rsid w:val="00F5340B"/>
    <w:rsid w:val="00F53670"/>
    <w:rsid w:val="00F553E9"/>
    <w:rsid w:val="00F561B2"/>
    <w:rsid w:val="00F56364"/>
    <w:rsid w:val="00F566CE"/>
    <w:rsid w:val="00F566F3"/>
    <w:rsid w:val="00F56E51"/>
    <w:rsid w:val="00F56FD8"/>
    <w:rsid w:val="00F57005"/>
    <w:rsid w:val="00F576DE"/>
    <w:rsid w:val="00F57B86"/>
    <w:rsid w:val="00F60190"/>
    <w:rsid w:val="00F6039D"/>
    <w:rsid w:val="00F60549"/>
    <w:rsid w:val="00F60EA1"/>
    <w:rsid w:val="00F61569"/>
    <w:rsid w:val="00F61673"/>
    <w:rsid w:val="00F6374D"/>
    <w:rsid w:val="00F63B81"/>
    <w:rsid w:val="00F64623"/>
    <w:rsid w:val="00F6490F"/>
    <w:rsid w:val="00F65051"/>
    <w:rsid w:val="00F651C8"/>
    <w:rsid w:val="00F6526B"/>
    <w:rsid w:val="00F65B44"/>
    <w:rsid w:val="00F66543"/>
    <w:rsid w:val="00F66615"/>
    <w:rsid w:val="00F67450"/>
    <w:rsid w:val="00F67A80"/>
    <w:rsid w:val="00F70733"/>
    <w:rsid w:val="00F71DF7"/>
    <w:rsid w:val="00F723E4"/>
    <w:rsid w:val="00F72CC5"/>
    <w:rsid w:val="00F73171"/>
    <w:rsid w:val="00F7359B"/>
    <w:rsid w:val="00F735AE"/>
    <w:rsid w:val="00F739D4"/>
    <w:rsid w:val="00F744D5"/>
    <w:rsid w:val="00F749D2"/>
    <w:rsid w:val="00F758DD"/>
    <w:rsid w:val="00F75FA8"/>
    <w:rsid w:val="00F76301"/>
    <w:rsid w:val="00F76E49"/>
    <w:rsid w:val="00F77409"/>
    <w:rsid w:val="00F8079E"/>
    <w:rsid w:val="00F8091E"/>
    <w:rsid w:val="00F80F37"/>
    <w:rsid w:val="00F81DEC"/>
    <w:rsid w:val="00F822D3"/>
    <w:rsid w:val="00F825AD"/>
    <w:rsid w:val="00F8291D"/>
    <w:rsid w:val="00F8367D"/>
    <w:rsid w:val="00F84368"/>
    <w:rsid w:val="00F84823"/>
    <w:rsid w:val="00F84DCD"/>
    <w:rsid w:val="00F84F3B"/>
    <w:rsid w:val="00F85B31"/>
    <w:rsid w:val="00F8652B"/>
    <w:rsid w:val="00F86679"/>
    <w:rsid w:val="00F8684B"/>
    <w:rsid w:val="00F86A4D"/>
    <w:rsid w:val="00F86CEF"/>
    <w:rsid w:val="00F906FE"/>
    <w:rsid w:val="00F911F7"/>
    <w:rsid w:val="00F91241"/>
    <w:rsid w:val="00F91679"/>
    <w:rsid w:val="00F932D0"/>
    <w:rsid w:val="00F93BBD"/>
    <w:rsid w:val="00F9530E"/>
    <w:rsid w:val="00F95950"/>
    <w:rsid w:val="00F95F27"/>
    <w:rsid w:val="00F961BA"/>
    <w:rsid w:val="00F963B7"/>
    <w:rsid w:val="00F9675C"/>
    <w:rsid w:val="00F96CA0"/>
    <w:rsid w:val="00F97263"/>
    <w:rsid w:val="00F97869"/>
    <w:rsid w:val="00F97E1F"/>
    <w:rsid w:val="00F97F04"/>
    <w:rsid w:val="00FA1523"/>
    <w:rsid w:val="00FA1C16"/>
    <w:rsid w:val="00FA1D3C"/>
    <w:rsid w:val="00FA290B"/>
    <w:rsid w:val="00FA293F"/>
    <w:rsid w:val="00FA3A2B"/>
    <w:rsid w:val="00FA5E71"/>
    <w:rsid w:val="00FA686C"/>
    <w:rsid w:val="00FA6CBA"/>
    <w:rsid w:val="00FA6DAD"/>
    <w:rsid w:val="00FA6EF0"/>
    <w:rsid w:val="00FA6F1E"/>
    <w:rsid w:val="00FA736B"/>
    <w:rsid w:val="00FA74C0"/>
    <w:rsid w:val="00FA77FD"/>
    <w:rsid w:val="00FA78AE"/>
    <w:rsid w:val="00FA7A2B"/>
    <w:rsid w:val="00FA7AC0"/>
    <w:rsid w:val="00FA7D25"/>
    <w:rsid w:val="00FB05C8"/>
    <w:rsid w:val="00FB0695"/>
    <w:rsid w:val="00FB124E"/>
    <w:rsid w:val="00FB1310"/>
    <w:rsid w:val="00FB2C64"/>
    <w:rsid w:val="00FB2CB8"/>
    <w:rsid w:val="00FB3C68"/>
    <w:rsid w:val="00FB4D16"/>
    <w:rsid w:val="00FB51E7"/>
    <w:rsid w:val="00FB534F"/>
    <w:rsid w:val="00FB5AC9"/>
    <w:rsid w:val="00FB607F"/>
    <w:rsid w:val="00FB6ACD"/>
    <w:rsid w:val="00FB6EE8"/>
    <w:rsid w:val="00FB77CF"/>
    <w:rsid w:val="00FB7E43"/>
    <w:rsid w:val="00FC02DF"/>
    <w:rsid w:val="00FC14C9"/>
    <w:rsid w:val="00FC16F3"/>
    <w:rsid w:val="00FC2099"/>
    <w:rsid w:val="00FC271A"/>
    <w:rsid w:val="00FC34BB"/>
    <w:rsid w:val="00FC361D"/>
    <w:rsid w:val="00FC3883"/>
    <w:rsid w:val="00FC3B7C"/>
    <w:rsid w:val="00FC4B48"/>
    <w:rsid w:val="00FC4DBD"/>
    <w:rsid w:val="00FC5222"/>
    <w:rsid w:val="00FC5439"/>
    <w:rsid w:val="00FC54DC"/>
    <w:rsid w:val="00FC59A1"/>
    <w:rsid w:val="00FC5CC9"/>
    <w:rsid w:val="00FC5D53"/>
    <w:rsid w:val="00FC6390"/>
    <w:rsid w:val="00FC68AA"/>
    <w:rsid w:val="00FC7B7E"/>
    <w:rsid w:val="00FC7D87"/>
    <w:rsid w:val="00FD01B9"/>
    <w:rsid w:val="00FD031A"/>
    <w:rsid w:val="00FD07F7"/>
    <w:rsid w:val="00FD08F5"/>
    <w:rsid w:val="00FD09F5"/>
    <w:rsid w:val="00FD0A2B"/>
    <w:rsid w:val="00FD0A73"/>
    <w:rsid w:val="00FD0D42"/>
    <w:rsid w:val="00FD0DD2"/>
    <w:rsid w:val="00FD0F58"/>
    <w:rsid w:val="00FD0F66"/>
    <w:rsid w:val="00FD11FC"/>
    <w:rsid w:val="00FD213D"/>
    <w:rsid w:val="00FD2848"/>
    <w:rsid w:val="00FD305B"/>
    <w:rsid w:val="00FD368E"/>
    <w:rsid w:val="00FD46B8"/>
    <w:rsid w:val="00FD4C3F"/>
    <w:rsid w:val="00FD4C4B"/>
    <w:rsid w:val="00FD512F"/>
    <w:rsid w:val="00FD6EB7"/>
    <w:rsid w:val="00FD769F"/>
    <w:rsid w:val="00FD7DB5"/>
    <w:rsid w:val="00FE0072"/>
    <w:rsid w:val="00FE00DD"/>
    <w:rsid w:val="00FE02F4"/>
    <w:rsid w:val="00FE0763"/>
    <w:rsid w:val="00FE1DBE"/>
    <w:rsid w:val="00FE2014"/>
    <w:rsid w:val="00FE2581"/>
    <w:rsid w:val="00FE39C9"/>
    <w:rsid w:val="00FE3C50"/>
    <w:rsid w:val="00FE4BA9"/>
    <w:rsid w:val="00FE4BF6"/>
    <w:rsid w:val="00FE5179"/>
    <w:rsid w:val="00FE522F"/>
    <w:rsid w:val="00FE5363"/>
    <w:rsid w:val="00FE5CBC"/>
    <w:rsid w:val="00FE6547"/>
    <w:rsid w:val="00FE70C7"/>
    <w:rsid w:val="00FE740D"/>
    <w:rsid w:val="00FE7980"/>
    <w:rsid w:val="00FE7F1B"/>
    <w:rsid w:val="00FE7F80"/>
    <w:rsid w:val="00FF005D"/>
    <w:rsid w:val="00FF016F"/>
    <w:rsid w:val="00FF024F"/>
    <w:rsid w:val="00FF0485"/>
    <w:rsid w:val="00FF0617"/>
    <w:rsid w:val="00FF0917"/>
    <w:rsid w:val="00FF15EB"/>
    <w:rsid w:val="00FF1B28"/>
    <w:rsid w:val="00FF1EB4"/>
    <w:rsid w:val="00FF2750"/>
    <w:rsid w:val="00FF2AEE"/>
    <w:rsid w:val="00FF2B6C"/>
    <w:rsid w:val="00FF38B6"/>
    <w:rsid w:val="00FF3B4B"/>
    <w:rsid w:val="00FF3C89"/>
    <w:rsid w:val="00FF4C75"/>
    <w:rsid w:val="00FF4EE3"/>
    <w:rsid w:val="00FF5A7B"/>
    <w:rsid w:val="00FF652B"/>
    <w:rsid w:val="00FF6D48"/>
    <w:rsid w:val="00FF6E6D"/>
    <w:rsid w:val="00FF7656"/>
    <w:rsid w:val="00FF7A9C"/>
    <w:rsid w:val="00FF7F97"/>
    <w:rsid w:val="01137901"/>
    <w:rsid w:val="01577E19"/>
    <w:rsid w:val="016268AD"/>
    <w:rsid w:val="01F36DFD"/>
    <w:rsid w:val="01F72DC7"/>
    <w:rsid w:val="02002708"/>
    <w:rsid w:val="02405C3E"/>
    <w:rsid w:val="024066F3"/>
    <w:rsid w:val="031720AB"/>
    <w:rsid w:val="032834CD"/>
    <w:rsid w:val="032F251B"/>
    <w:rsid w:val="03505D80"/>
    <w:rsid w:val="03B63A1E"/>
    <w:rsid w:val="03C201B4"/>
    <w:rsid w:val="04713A6F"/>
    <w:rsid w:val="05042A09"/>
    <w:rsid w:val="051A63D1"/>
    <w:rsid w:val="05445783"/>
    <w:rsid w:val="05A25788"/>
    <w:rsid w:val="05D573B4"/>
    <w:rsid w:val="05DA441D"/>
    <w:rsid w:val="05DD36CF"/>
    <w:rsid w:val="06425CBC"/>
    <w:rsid w:val="06430846"/>
    <w:rsid w:val="066E5C42"/>
    <w:rsid w:val="06753ADA"/>
    <w:rsid w:val="06812B8E"/>
    <w:rsid w:val="068F1F8C"/>
    <w:rsid w:val="074C41E7"/>
    <w:rsid w:val="0759644E"/>
    <w:rsid w:val="07BE07AB"/>
    <w:rsid w:val="07DD06DB"/>
    <w:rsid w:val="081175EA"/>
    <w:rsid w:val="08720EFF"/>
    <w:rsid w:val="088E2887"/>
    <w:rsid w:val="09164A45"/>
    <w:rsid w:val="0A19727B"/>
    <w:rsid w:val="0A9D4F1C"/>
    <w:rsid w:val="0AA67598"/>
    <w:rsid w:val="0B8A75BF"/>
    <w:rsid w:val="0C353B8E"/>
    <w:rsid w:val="0C913BF8"/>
    <w:rsid w:val="0C9E2E0D"/>
    <w:rsid w:val="0D1246FC"/>
    <w:rsid w:val="0D6D69F4"/>
    <w:rsid w:val="0DFC245C"/>
    <w:rsid w:val="0E7D4FDD"/>
    <w:rsid w:val="0EF35E9C"/>
    <w:rsid w:val="0FFF4C31"/>
    <w:rsid w:val="110E6A5B"/>
    <w:rsid w:val="11611075"/>
    <w:rsid w:val="11784523"/>
    <w:rsid w:val="11AB7234"/>
    <w:rsid w:val="12463F40"/>
    <w:rsid w:val="1331786A"/>
    <w:rsid w:val="135337ED"/>
    <w:rsid w:val="1353783E"/>
    <w:rsid w:val="13FA1142"/>
    <w:rsid w:val="144C4B50"/>
    <w:rsid w:val="153B6F17"/>
    <w:rsid w:val="15482F08"/>
    <w:rsid w:val="156E4F7F"/>
    <w:rsid w:val="157B2112"/>
    <w:rsid w:val="15CE71A5"/>
    <w:rsid w:val="15E34B7D"/>
    <w:rsid w:val="15F57362"/>
    <w:rsid w:val="166E0C52"/>
    <w:rsid w:val="17032D96"/>
    <w:rsid w:val="17835362"/>
    <w:rsid w:val="184F3F74"/>
    <w:rsid w:val="189A3D58"/>
    <w:rsid w:val="18D14F31"/>
    <w:rsid w:val="19041920"/>
    <w:rsid w:val="193810D6"/>
    <w:rsid w:val="196F2716"/>
    <w:rsid w:val="19CF5FAE"/>
    <w:rsid w:val="19F6092E"/>
    <w:rsid w:val="1A3237DB"/>
    <w:rsid w:val="1A4D2335"/>
    <w:rsid w:val="1AF102A5"/>
    <w:rsid w:val="1B090A54"/>
    <w:rsid w:val="1B177E69"/>
    <w:rsid w:val="1B78645F"/>
    <w:rsid w:val="1CA628C0"/>
    <w:rsid w:val="1CA83D14"/>
    <w:rsid w:val="1CCF603F"/>
    <w:rsid w:val="1CDA4411"/>
    <w:rsid w:val="1CDC1D01"/>
    <w:rsid w:val="1CF13321"/>
    <w:rsid w:val="1CF2179D"/>
    <w:rsid w:val="1CF81D5A"/>
    <w:rsid w:val="1D4622ED"/>
    <w:rsid w:val="1D4B3D8D"/>
    <w:rsid w:val="1D652BED"/>
    <w:rsid w:val="1DC03D8C"/>
    <w:rsid w:val="1DC937C2"/>
    <w:rsid w:val="1F180209"/>
    <w:rsid w:val="1F880AD5"/>
    <w:rsid w:val="1FE6125B"/>
    <w:rsid w:val="1FFE2BDC"/>
    <w:rsid w:val="200121F0"/>
    <w:rsid w:val="20545D90"/>
    <w:rsid w:val="20987D59"/>
    <w:rsid w:val="20B076F7"/>
    <w:rsid w:val="21923AA7"/>
    <w:rsid w:val="22435CC7"/>
    <w:rsid w:val="2244562C"/>
    <w:rsid w:val="22ED1CA7"/>
    <w:rsid w:val="22ED2CEB"/>
    <w:rsid w:val="23EC369F"/>
    <w:rsid w:val="240E58DF"/>
    <w:rsid w:val="245C50AD"/>
    <w:rsid w:val="248355B7"/>
    <w:rsid w:val="24E840F1"/>
    <w:rsid w:val="24FC4ED2"/>
    <w:rsid w:val="24FC5B55"/>
    <w:rsid w:val="25605A8E"/>
    <w:rsid w:val="25DC7FB0"/>
    <w:rsid w:val="26374195"/>
    <w:rsid w:val="265F0413"/>
    <w:rsid w:val="265F2733"/>
    <w:rsid w:val="267F59BF"/>
    <w:rsid w:val="26E7356F"/>
    <w:rsid w:val="26EC030B"/>
    <w:rsid w:val="279C2144"/>
    <w:rsid w:val="290C1126"/>
    <w:rsid w:val="294A361B"/>
    <w:rsid w:val="29A13FCE"/>
    <w:rsid w:val="29D14198"/>
    <w:rsid w:val="29E92293"/>
    <w:rsid w:val="2A376571"/>
    <w:rsid w:val="2B3E6A70"/>
    <w:rsid w:val="2B7B1ECB"/>
    <w:rsid w:val="2BB65287"/>
    <w:rsid w:val="2C5106CE"/>
    <w:rsid w:val="2CB93E1D"/>
    <w:rsid w:val="2CCC5123"/>
    <w:rsid w:val="2CD73543"/>
    <w:rsid w:val="2CEB4EE3"/>
    <w:rsid w:val="2CF25559"/>
    <w:rsid w:val="2DE60A58"/>
    <w:rsid w:val="2E256DFB"/>
    <w:rsid w:val="2E3F4803"/>
    <w:rsid w:val="2ECD36F9"/>
    <w:rsid w:val="2F1E520E"/>
    <w:rsid w:val="2F353F26"/>
    <w:rsid w:val="2F791395"/>
    <w:rsid w:val="30A27A5B"/>
    <w:rsid w:val="313D107E"/>
    <w:rsid w:val="31D353A2"/>
    <w:rsid w:val="31EA5594"/>
    <w:rsid w:val="320B15F7"/>
    <w:rsid w:val="322D452C"/>
    <w:rsid w:val="32612471"/>
    <w:rsid w:val="326E62BE"/>
    <w:rsid w:val="32ED5215"/>
    <w:rsid w:val="33121D46"/>
    <w:rsid w:val="33724B78"/>
    <w:rsid w:val="33E8008C"/>
    <w:rsid w:val="34142E67"/>
    <w:rsid w:val="344933BF"/>
    <w:rsid w:val="34553E36"/>
    <w:rsid w:val="347C7AC6"/>
    <w:rsid w:val="34FE797D"/>
    <w:rsid w:val="351974BA"/>
    <w:rsid w:val="35850406"/>
    <w:rsid w:val="359A3EEB"/>
    <w:rsid w:val="35BA6F7C"/>
    <w:rsid w:val="35C9391F"/>
    <w:rsid w:val="361A70BD"/>
    <w:rsid w:val="37AC406B"/>
    <w:rsid w:val="381F1BA1"/>
    <w:rsid w:val="38600F5F"/>
    <w:rsid w:val="3871538F"/>
    <w:rsid w:val="38B506CD"/>
    <w:rsid w:val="38C56946"/>
    <w:rsid w:val="38CC2D37"/>
    <w:rsid w:val="38FD10EA"/>
    <w:rsid w:val="3942616F"/>
    <w:rsid w:val="3A224731"/>
    <w:rsid w:val="3A6619BA"/>
    <w:rsid w:val="3A6A75ED"/>
    <w:rsid w:val="3A9515AC"/>
    <w:rsid w:val="3ABA18D2"/>
    <w:rsid w:val="3B32314C"/>
    <w:rsid w:val="3B523210"/>
    <w:rsid w:val="3C7E1BE1"/>
    <w:rsid w:val="3CBE730C"/>
    <w:rsid w:val="3D2A12B9"/>
    <w:rsid w:val="3D546091"/>
    <w:rsid w:val="3D885FF2"/>
    <w:rsid w:val="3E052908"/>
    <w:rsid w:val="3E792485"/>
    <w:rsid w:val="3EBE217E"/>
    <w:rsid w:val="3EDB75F6"/>
    <w:rsid w:val="3F0D2E47"/>
    <w:rsid w:val="3F4E4F39"/>
    <w:rsid w:val="3F5F58BE"/>
    <w:rsid w:val="3F6659C0"/>
    <w:rsid w:val="3F696512"/>
    <w:rsid w:val="3F753BBF"/>
    <w:rsid w:val="3F8B68E7"/>
    <w:rsid w:val="3FF06990"/>
    <w:rsid w:val="402F11A9"/>
    <w:rsid w:val="406A2338"/>
    <w:rsid w:val="40A42AD5"/>
    <w:rsid w:val="40E96185"/>
    <w:rsid w:val="41204E31"/>
    <w:rsid w:val="41807BF5"/>
    <w:rsid w:val="418C6436"/>
    <w:rsid w:val="42511058"/>
    <w:rsid w:val="42B34A30"/>
    <w:rsid w:val="42CD30C7"/>
    <w:rsid w:val="42D62F14"/>
    <w:rsid w:val="437E1A5A"/>
    <w:rsid w:val="4396596F"/>
    <w:rsid w:val="439B26E7"/>
    <w:rsid w:val="43CB2D26"/>
    <w:rsid w:val="44533E76"/>
    <w:rsid w:val="4463644E"/>
    <w:rsid w:val="45042B91"/>
    <w:rsid w:val="45132A3C"/>
    <w:rsid w:val="457B7D39"/>
    <w:rsid w:val="45962899"/>
    <w:rsid w:val="459F0D09"/>
    <w:rsid w:val="45B2270B"/>
    <w:rsid w:val="46002EA6"/>
    <w:rsid w:val="477B13FA"/>
    <w:rsid w:val="478918B4"/>
    <w:rsid w:val="48026A71"/>
    <w:rsid w:val="48D42385"/>
    <w:rsid w:val="49C93949"/>
    <w:rsid w:val="49EC229B"/>
    <w:rsid w:val="4A190DEB"/>
    <w:rsid w:val="4A6F7B41"/>
    <w:rsid w:val="4B442AD3"/>
    <w:rsid w:val="4C810FE8"/>
    <w:rsid w:val="4C93500C"/>
    <w:rsid w:val="4CA11174"/>
    <w:rsid w:val="4CAF6B47"/>
    <w:rsid w:val="4D367932"/>
    <w:rsid w:val="4DE13E29"/>
    <w:rsid w:val="4E5179BA"/>
    <w:rsid w:val="4EB77CDD"/>
    <w:rsid w:val="4EBF3967"/>
    <w:rsid w:val="4EE6690B"/>
    <w:rsid w:val="4EFB0AE9"/>
    <w:rsid w:val="4F48302C"/>
    <w:rsid w:val="4FF31DE2"/>
    <w:rsid w:val="4FFC5056"/>
    <w:rsid w:val="50374903"/>
    <w:rsid w:val="504051C3"/>
    <w:rsid w:val="50671D46"/>
    <w:rsid w:val="507F05FF"/>
    <w:rsid w:val="50CF637D"/>
    <w:rsid w:val="50FC469A"/>
    <w:rsid w:val="516D194F"/>
    <w:rsid w:val="51870C5A"/>
    <w:rsid w:val="51AF1CA3"/>
    <w:rsid w:val="523551C2"/>
    <w:rsid w:val="5240650A"/>
    <w:rsid w:val="52C34377"/>
    <w:rsid w:val="52D15A2D"/>
    <w:rsid w:val="53A010FA"/>
    <w:rsid w:val="53D35D94"/>
    <w:rsid w:val="54092B2C"/>
    <w:rsid w:val="54244ECC"/>
    <w:rsid w:val="5468122A"/>
    <w:rsid w:val="54907953"/>
    <w:rsid w:val="55593312"/>
    <w:rsid w:val="555B5FCF"/>
    <w:rsid w:val="5648240B"/>
    <w:rsid w:val="56A81E74"/>
    <w:rsid w:val="56D82BCB"/>
    <w:rsid w:val="57032B96"/>
    <w:rsid w:val="575E3421"/>
    <w:rsid w:val="57F52DCC"/>
    <w:rsid w:val="5806718A"/>
    <w:rsid w:val="58076582"/>
    <w:rsid w:val="582400D6"/>
    <w:rsid w:val="594A47B9"/>
    <w:rsid w:val="5A1203D7"/>
    <w:rsid w:val="5A8C6135"/>
    <w:rsid w:val="5AA63603"/>
    <w:rsid w:val="5AB60BBB"/>
    <w:rsid w:val="5ACB0C6D"/>
    <w:rsid w:val="5AF848DA"/>
    <w:rsid w:val="5C12758B"/>
    <w:rsid w:val="5C5C61F5"/>
    <w:rsid w:val="5C7378EC"/>
    <w:rsid w:val="5CC75C73"/>
    <w:rsid w:val="5D0D074D"/>
    <w:rsid w:val="5DB637AF"/>
    <w:rsid w:val="5DD321AF"/>
    <w:rsid w:val="5E60673C"/>
    <w:rsid w:val="5E706B30"/>
    <w:rsid w:val="603D06BD"/>
    <w:rsid w:val="606A17F5"/>
    <w:rsid w:val="607F26DE"/>
    <w:rsid w:val="60A1542D"/>
    <w:rsid w:val="61315F8D"/>
    <w:rsid w:val="61B62C50"/>
    <w:rsid w:val="61E42A62"/>
    <w:rsid w:val="6202633D"/>
    <w:rsid w:val="621779CA"/>
    <w:rsid w:val="622D5C14"/>
    <w:rsid w:val="62374369"/>
    <w:rsid w:val="624931FE"/>
    <w:rsid w:val="62715EB0"/>
    <w:rsid w:val="628D53A7"/>
    <w:rsid w:val="639C20B6"/>
    <w:rsid w:val="640C06F3"/>
    <w:rsid w:val="64332246"/>
    <w:rsid w:val="64770721"/>
    <w:rsid w:val="64A36202"/>
    <w:rsid w:val="65B61215"/>
    <w:rsid w:val="66350D47"/>
    <w:rsid w:val="66477E7F"/>
    <w:rsid w:val="669945D4"/>
    <w:rsid w:val="67180550"/>
    <w:rsid w:val="672F7BC7"/>
    <w:rsid w:val="6892253A"/>
    <w:rsid w:val="68FF3CDF"/>
    <w:rsid w:val="695454FE"/>
    <w:rsid w:val="695E76CD"/>
    <w:rsid w:val="69642FD4"/>
    <w:rsid w:val="6A1225DB"/>
    <w:rsid w:val="6A7947DF"/>
    <w:rsid w:val="6A8237A0"/>
    <w:rsid w:val="6A8A6140"/>
    <w:rsid w:val="6A906CC8"/>
    <w:rsid w:val="6A9726A4"/>
    <w:rsid w:val="6AB82EE2"/>
    <w:rsid w:val="6B6461B9"/>
    <w:rsid w:val="6BBB5DF6"/>
    <w:rsid w:val="6BD423D4"/>
    <w:rsid w:val="6C6427CD"/>
    <w:rsid w:val="6CFD1B2C"/>
    <w:rsid w:val="6D3A51B2"/>
    <w:rsid w:val="6DCB2614"/>
    <w:rsid w:val="6E1458DF"/>
    <w:rsid w:val="6E556647"/>
    <w:rsid w:val="6E8E2CF2"/>
    <w:rsid w:val="6F0F3931"/>
    <w:rsid w:val="6FA438D6"/>
    <w:rsid w:val="70254AD6"/>
    <w:rsid w:val="707C51BA"/>
    <w:rsid w:val="710A0D46"/>
    <w:rsid w:val="719E5AD2"/>
    <w:rsid w:val="71C15A87"/>
    <w:rsid w:val="71E43883"/>
    <w:rsid w:val="72D16D18"/>
    <w:rsid w:val="73607F28"/>
    <w:rsid w:val="73B066E3"/>
    <w:rsid w:val="74037F0D"/>
    <w:rsid w:val="74047A8F"/>
    <w:rsid w:val="740852A2"/>
    <w:rsid w:val="749D53D1"/>
    <w:rsid w:val="755C4E7C"/>
    <w:rsid w:val="75846EA8"/>
    <w:rsid w:val="75B15AD0"/>
    <w:rsid w:val="75CD2C3A"/>
    <w:rsid w:val="77C511D6"/>
    <w:rsid w:val="78621054"/>
    <w:rsid w:val="78AE5CEC"/>
    <w:rsid w:val="791E10C4"/>
    <w:rsid w:val="794431CE"/>
    <w:rsid w:val="798C7FCC"/>
    <w:rsid w:val="7A0B741A"/>
    <w:rsid w:val="7A20095E"/>
    <w:rsid w:val="7A2C1664"/>
    <w:rsid w:val="7AC32D87"/>
    <w:rsid w:val="7B2F45DE"/>
    <w:rsid w:val="7BE35FB0"/>
    <w:rsid w:val="7C3218E0"/>
    <w:rsid w:val="7C3D5A8F"/>
    <w:rsid w:val="7C676990"/>
    <w:rsid w:val="7C6A28F6"/>
    <w:rsid w:val="7CB11856"/>
    <w:rsid w:val="7D8E15A7"/>
    <w:rsid w:val="7E7F3A24"/>
    <w:rsid w:val="7E8F07DE"/>
    <w:rsid w:val="7EF92410"/>
    <w:rsid w:val="7F520013"/>
    <w:rsid w:val="7F6802A2"/>
    <w:rsid w:val="7FA07464"/>
    <w:rsid w:val="7FBE11D2"/>
    <w:rsid w:val="7FDF54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nhideWhenUsed="0" w:uiPriority="99"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qFormat="1" w:uiPriority="99" w:semiHidden="0"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99" w:semiHidden="0" w:name="Date"/>
    <w:lsdException w:qFormat="1" w:unhideWhenUsed="0" w:uiPriority="99" w:semiHidden="0" w:name="Body Text First Indent"/>
    <w:lsdException w:uiPriority="99" w:name="Body Text First Indent 2"/>
    <w:lsdException w:qFormat="1" w:uiPriority="99" w:semiHidden="0" w:name="Note Heading"/>
    <w:lsdException w:qFormat="1" w:unhideWhenUsed="0" w:uiPriority="0" w:semiHidden="0" w:name="Body Text 2"/>
    <w:lsdException w:qFormat="1" w:unhideWhenUsed="0" w:uiPriority="0" w:semiHidden="0" w:name="Body Text 3"/>
    <w:lsdException w:qFormat="1" w:uiPriority="0" w:semiHidden="0" w:name="Body Text Indent 2"/>
    <w:lsdException w:qFormat="1" w:uiPriority="0" w:semiHidden="0" w:name="Body Text Indent 3"/>
    <w:lsdException w:qFormat="1" w:uiPriority="0" w:semiHidden="0" w:name="Block Text"/>
    <w:lsdException w:qFormat="1" w:unhideWhenUsed="0" w:uiPriority="99" w:semiHidden="0" w:name="Hyperlink"/>
    <w:lsdException w:qFormat="1" w:uiPriority="0" w:name="FollowedHyperlink"/>
    <w:lsdException w:qFormat="1" w:unhideWhenUsed="0" w:uiPriority="22" w:semiHidden="0" w:name="Strong"/>
    <w:lsdException w:qFormat="1" w:unhideWhenUsed="0" w:uiPriority="20" w:semiHidden="0" w:name="Emphasis"/>
    <w:lsdException w:qFormat="1" w:unhideWhenUsed="0" w:uiPriority="99" w:semiHidden="0" w:name="Document Map"/>
    <w:lsdException w:qFormat="1" w:unhideWhenUsed="0" w:uiPriority="99" w:semiHidden="0" w:name="Plain Text"/>
    <w:lsdException w:uiPriority="99" w:name="E-mail Signature"/>
    <w:lsdException w:qFormat="1" w:uiPriority="99" w:semiHidden="0" w:name="Normal (Web)"/>
    <w:lsdException w:uiPriority="99" w:name="HTML Acronym"/>
    <w:lsdException w:uiPriority="99" w:name="HTML Address"/>
    <w:lsdException w:qFormat="1"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qFormat="1" w:uiPriority="99" w:semiHidden="0"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20" w:lineRule="exact"/>
      <w:jc w:val="both"/>
    </w:pPr>
    <w:rPr>
      <w:rFonts w:ascii="Times New Roman" w:hAnsi="Times New Roman" w:eastAsia="宋体" w:cs="Times New Roman"/>
      <w:kern w:val="2"/>
      <w:sz w:val="24"/>
      <w:szCs w:val="22"/>
      <w:lang w:val="en-US" w:eastAsia="zh-CN" w:bidi="ar-SA"/>
    </w:rPr>
  </w:style>
  <w:style w:type="paragraph" w:styleId="3">
    <w:name w:val="heading 1"/>
    <w:basedOn w:val="1"/>
    <w:next w:val="1"/>
    <w:link w:val="144"/>
    <w:qFormat/>
    <w:uiPriority w:val="9"/>
    <w:pPr>
      <w:keepNext/>
      <w:keepLines/>
      <w:spacing w:before="340" w:after="340"/>
      <w:outlineLvl w:val="0"/>
    </w:pPr>
    <w:rPr>
      <w:b/>
      <w:bCs/>
      <w:kern w:val="44"/>
      <w:sz w:val="44"/>
      <w:szCs w:val="44"/>
      <w:lang w:val="zh-CN"/>
    </w:rPr>
  </w:style>
  <w:style w:type="paragraph" w:styleId="4">
    <w:name w:val="heading 2"/>
    <w:basedOn w:val="1"/>
    <w:next w:val="1"/>
    <w:link w:val="64"/>
    <w:qFormat/>
    <w:uiPriority w:val="9"/>
    <w:pPr>
      <w:keepNext/>
      <w:keepLines/>
      <w:spacing w:before="260" w:after="260"/>
      <w:outlineLvl w:val="1"/>
    </w:pPr>
    <w:rPr>
      <w:b/>
      <w:bCs/>
      <w:sz w:val="36"/>
      <w:szCs w:val="32"/>
      <w:lang w:val="zh-CN"/>
    </w:rPr>
  </w:style>
  <w:style w:type="paragraph" w:styleId="5">
    <w:name w:val="heading 3"/>
    <w:basedOn w:val="1"/>
    <w:next w:val="1"/>
    <w:link w:val="94"/>
    <w:qFormat/>
    <w:uiPriority w:val="9"/>
    <w:pPr>
      <w:keepNext/>
      <w:keepLines/>
      <w:spacing w:before="260" w:after="260"/>
      <w:outlineLvl w:val="2"/>
    </w:pPr>
    <w:rPr>
      <w:b/>
      <w:bCs/>
      <w:sz w:val="32"/>
      <w:szCs w:val="32"/>
      <w:lang w:val="zh-CN"/>
    </w:rPr>
  </w:style>
  <w:style w:type="paragraph" w:styleId="6">
    <w:name w:val="heading 4"/>
    <w:basedOn w:val="1"/>
    <w:next w:val="1"/>
    <w:link w:val="131"/>
    <w:qFormat/>
    <w:uiPriority w:val="0"/>
    <w:pPr>
      <w:keepNext/>
      <w:keepLines/>
      <w:spacing w:before="260" w:after="260"/>
      <w:outlineLvl w:val="3"/>
    </w:pPr>
    <w:rPr>
      <w:b/>
      <w:bCs/>
      <w:sz w:val="28"/>
      <w:szCs w:val="28"/>
      <w:lang w:val="zh-CN"/>
    </w:rPr>
  </w:style>
  <w:style w:type="paragraph" w:styleId="7">
    <w:name w:val="heading 5"/>
    <w:basedOn w:val="1"/>
    <w:next w:val="1"/>
    <w:link w:val="106"/>
    <w:qFormat/>
    <w:uiPriority w:val="0"/>
    <w:pPr>
      <w:keepNext/>
      <w:keepLines/>
      <w:widowControl/>
      <w:spacing w:before="280" w:after="290" w:line="376" w:lineRule="auto"/>
      <w:outlineLvl w:val="4"/>
    </w:pPr>
    <w:rPr>
      <w:b/>
      <w:bCs/>
      <w:color w:val="000000"/>
      <w:kern w:val="0"/>
      <w:sz w:val="28"/>
      <w:szCs w:val="28"/>
      <w:lang w:val="zh-CN"/>
    </w:rPr>
  </w:style>
  <w:style w:type="paragraph" w:styleId="8">
    <w:name w:val="heading 6"/>
    <w:basedOn w:val="1"/>
    <w:next w:val="1"/>
    <w:link w:val="151"/>
    <w:qFormat/>
    <w:uiPriority w:val="0"/>
    <w:pPr>
      <w:keepNext/>
      <w:keepLines/>
      <w:widowControl/>
      <w:spacing w:before="240" w:after="64" w:line="320" w:lineRule="auto"/>
      <w:outlineLvl w:val="5"/>
    </w:pPr>
    <w:rPr>
      <w:rFonts w:ascii="Arial" w:hAnsi="Arial" w:eastAsia="黑体"/>
      <w:b/>
      <w:bCs/>
      <w:color w:val="000000"/>
      <w:kern w:val="0"/>
      <w:szCs w:val="24"/>
      <w:lang w:val="zh-CN"/>
    </w:rPr>
  </w:style>
  <w:style w:type="paragraph" w:styleId="9">
    <w:name w:val="heading 7"/>
    <w:basedOn w:val="1"/>
    <w:next w:val="1"/>
    <w:link w:val="58"/>
    <w:qFormat/>
    <w:uiPriority w:val="0"/>
    <w:pPr>
      <w:keepNext/>
      <w:keepLines/>
      <w:widowControl/>
      <w:spacing w:before="240" w:after="64" w:line="320" w:lineRule="auto"/>
      <w:outlineLvl w:val="6"/>
    </w:pPr>
    <w:rPr>
      <w:b/>
      <w:bCs/>
      <w:color w:val="000000"/>
      <w:kern w:val="0"/>
      <w:szCs w:val="24"/>
      <w:lang w:val="zh-CN"/>
    </w:rPr>
  </w:style>
  <w:style w:type="paragraph" w:styleId="10">
    <w:name w:val="heading 8"/>
    <w:basedOn w:val="1"/>
    <w:next w:val="1"/>
    <w:link w:val="133"/>
    <w:qFormat/>
    <w:uiPriority w:val="0"/>
    <w:pPr>
      <w:keepNext/>
      <w:keepLines/>
      <w:widowControl/>
      <w:spacing w:before="240" w:after="64" w:line="320" w:lineRule="auto"/>
      <w:outlineLvl w:val="7"/>
    </w:pPr>
    <w:rPr>
      <w:rFonts w:ascii="Arial" w:hAnsi="Arial" w:eastAsia="黑体"/>
      <w:color w:val="000000"/>
      <w:kern w:val="0"/>
      <w:szCs w:val="24"/>
      <w:lang w:val="zh-CN"/>
    </w:rPr>
  </w:style>
  <w:style w:type="paragraph" w:styleId="11">
    <w:name w:val="heading 9"/>
    <w:basedOn w:val="1"/>
    <w:next w:val="1"/>
    <w:link w:val="134"/>
    <w:qFormat/>
    <w:uiPriority w:val="0"/>
    <w:pPr>
      <w:keepNext/>
      <w:keepLines/>
      <w:widowControl/>
      <w:spacing w:beforeLines="50" w:after="64" w:line="400" w:lineRule="exact"/>
      <w:jc w:val="center"/>
      <w:outlineLvl w:val="8"/>
    </w:pPr>
    <w:rPr>
      <w:color w:val="000000"/>
      <w:kern w:val="0"/>
      <w:szCs w:val="21"/>
      <w:lang w:val="zh-CN"/>
    </w:rPr>
  </w:style>
  <w:style w:type="character" w:default="1" w:styleId="45">
    <w:name w:val="Default Paragraph Font"/>
    <w:semiHidden/>
    <w:unhideWhenUsed/>
    <w:qFormat/>
    <w:uiPriority w:val="1"/>
  </w:style>
  <w:style w:type="table" w:default="1" w:styleId="53">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105"/>
    <w:qFormat/>
    <w:uiPriority w:val="0"/>
    <w:pPr>
      <w:tabs>
        <w:tab w:val="left" w:pos="12180"/>
      </w:tabs>
      <w:spacing w:line="500" w:lineRule="exact"/>
    </w:pPr>
    <w:rPr>
      <w:rFonts w:ascii="宋体"/>
      <w:kern w:val="0"/>
      <w:szCs w:val="24"/>
      <w:lang w:val="zh-CN"/>
    </w:rPr>
  </w:style>
  <w:style w:type="paragraph" w:styleId="12">
    <w:name w:val="annotation subject"/>
    <w:basedOn w:val="13"/>
    <w:next w:val="13"/>
    <w:link w:val="156"/>
    <w:qFormat/>
    <w:uiPriority w:val="0"/>
    <w:rPr>
      <w:b/>
      <w:bCs/>
    </w:rPr>
  </w:style>
  <w:style w:type="paragraph" w:styleId="13">
    <w:name w:val="annotation text"/>
    <w:basedOn w:val="1"/>
    <w:link w:val="109"/>
    <w:qFormat/>
    <w:uiPriority w:val="99"/>
    <w:pPr>
      <w:jc w:val="left"/>
    </w:pPr>
    <w:rPr>
      <w:rFonts w:ascii="Calibri" w:hAnsi="Calibri"/>
      <w:kern w:val="0"/>
      <w:sz w:val="20"/>
      <w:szCs w:val="20"/>
      <w:lang w:val="zh-CN"/>
    </w:rPr>
  </w:style>
  <w:style w:type="paragraph" w:styleId="14">
    <w:name w:val="toc 7"/>
    <w:basedOn w:val="1"/>
    <w:next w:val="1"/>
    <w:unhideWhenUsed/>
    <w:qFormat/>
    <w:uiPriority w:val="39"/>
    <w:pPr>
      <w:ind w:left="1440"/>
      <w:jc w:val="left"/>
    </w:pPr>
    <w:rPr>
      <w:rFonts w:ascii="Calibri" w:hAnsi="Calibri" w:cs="Calibri"/>
      <w:sz w:val="18"/>
      <w:szCs w:val="18"/>
    </w:rPr>
  </w:style>
  <w:style w:type="paragraph" w:styleId="15">
    <w:name w:val="Body Text First Indent"/>
    <w:basedOn w:val="2"/>
    <w:link w:val="102"/>
    <w:qFormat/>
    <w:uiPriority w:val="99"/>
    <w:pPr>
      <w:spacing w:after="120" w:line="480" w:lineRule="exact"/>
      <w:ind w:firstLine="420" w:firstLineChars="100"/>
    </w:pPr>
  </w:style>
  <w:style w:type="paragraph" w:styleId="16">
    <w:name w:val="Note Heading"/>
    <w:basedOn w:val="1"/>
    <w:next w:val="1"/>
    <w:link w:val="282"/>
    <w:unhideWhenUsed/>
    <w:qFormat/>
    <w:uiPriority w:val="99"/>
    <w:pPr>
      <w:jc w:val="center"/>
    </w:pPr>
    <w:rPr>
      <w:kern w:val="1"/>
    </w:rPr>
  </w:style>
  <w:style w:type="paragraph" w:styleId="17">
    <w:name w:val="Normal Indent"/>
    <w:basedOn w:val="1"/>
    <w:link w:val="147"/>
    <w:qFormat/>
    <w:uiPriority w:val="0"/>
    <w:pPr>
      <w:ind w:firstLine="420"/>
    </w:pPr>
    <w:rPr>
      <w:szCs w:val="20"/>
      <w:lang w:val="zh-CN"/>
    </w:rPr>
  </w:style>
  <w:style w:type="paragraph" w:styleId="18">
    <w:name w:val="caption"/>
    <w:basedOn w:val="1"/>
    <w:next w:val="1"/>
    <w:link w:val="111"/>
    <w:qFormat/>
    <w:uiPriority w:val="0"/>
    <w:pPr>
      <w:jc w:val="center"/>
    </w:pPr>
    <w:rPr>
      <w:sz w:val="21"/>
      <w:szCs w:val="20"/>
      <w:lang w:val="zh-CN"/>
    </w:rPr>
  </w:style>
  <w:style w:type="paragraph" w:styleId="19">
    <w:name w:val="Document Map"/>
    <w:basedOn w:val="1"/>
    <w:link w:val="99"/>
    <w:qFormat/>
    <w:uiPriority w:val="99"/>
    <w:rPr>
      <w:rFonts w:ascii="宋体" w:hAnsi="Calibri"/>
      <w:kern w:val="0"/>
      <w:sz w:val="18"/>
      <w:szCs w:val="18"/>
      <w:lang w:val="zh-CN"/>
    </w:rPr>
  </w:style>
  <w:style w:type="paragraph" w:styleId="20">
    <w:name w:val="Body Text 3"/>
    <w:basedOn w:val="1"/>
    <w:link w:val="90"/>
    <w:qFormat/>
    <w:uiPriority w:val="0"/>
    <w:pPr>
      <w:spacing w:after="120"/>
    </w:pPr>
    <w:rPr>
      <w:rFonts w:ascii="Calibri" w:hAnsi="Calibri"/>
      <w:kern w:val="0"/>
      <w:sz w:val="16"/>
      <w:szCs w:val="16"/>
      <w:lang w:val="zh-CN"/>
    </w:rPr>
  </w:style>
  <w:style w:type="paragraph" w:styleId="21">
    <w:name w:val="Body Text Indent"/>
    <w:basedOn w:val="1"/>
    <w:link w:val="85"/>
    <w:unhideWhenUsed/>
    <w:qFormat/>
    <w:uiPriority w:val="99"/>
    <w:pPr>
      <w:adjustRightInd w:val="0"/>
      <w:snapToGrid w:val="0"/>
      <w:spacing w:after="120"/>
      <w:ind w:left="420" w:leftChars="200"/>
    </w:pPr>
    <w:rPr>
      <w:kern w:val="0"/>
      <w:szCs w:val="20"/>
      <w:lang w:val="zh-CN"/>
    </w:rPr>
  </w:style>
  <w:style w:type="paragraph" w:styleId="22">
    <w:name w:val="Block Text"/>
    <w:basedOn w:val="1"/>
    <w:unhideWhenUsed/>
    <w:qFormat/>
    <w:uiPriority w:val="0"/>
    <w:pPr>
      <w:ind w:left="-108" w:right="-40"/>
    </w:pPr>
    <w:rPr>
      <w:rFonts w:ascii="宋体" w:hAnsi="宋体"/>
      <w:sz w:val="28"/>
      <w:szCs w:val="28"/>
    </w:rPr>
  </w:style>
  <w:style w:type="paragraph" w:styleId="23">
    <w:name w:val="toc 5"/>
    <w:basedOn w:val="1"/>
    <w:next w:val="1"/>
    <w:unhideWhenUsed/>
    <w:qFormat/>
    <w:uiPriority w:val="39"/>
    <w:pPr>
      <w:ind w:left="960"/>
      <w:jc w:val="left"/>
    </w:pPr>
    <w:rPr>
      <w:rFonts w:ascii="Calibri" w:hAnsi="Calibri" w:cs="Calibri"/>
      <w:sz w:val="18"/>
      <w:szCs w:val="18"/>
    </w:rPr>
  </w:style>
  <w:style w:type="paragraph" w:styleId="24">
    <w:name w:val="toc 3"/>
    <w:basedOn w:val="1"/>
    <w:next w:val="1"/>
    <w:unhideWhenUsed/>
    <w:qFormat/>
    <w:uiPriority w:val="39"/>
    <w:pPr>
      <w:ind w:left="480"/>
      <w:jc w:val="left"/>
    </w:pPr>
    <w:rPr>
      <w:rFonts w:ascii="Calibri" w:hAnsi="Calibri" w:cs="Calibri"/>
      <w:i/>
      <w:iCs/>
      <w:sz w:val="20"/>
      <w:szCs w:val="20"/>
    </w:rPr>
  </w:style>
  <w:style w:type="paragraph" w:styleId="25">
    <w:name w:val="Plain Text"/>
    <w:basedOn w:val="1"/>
    <w:link w:val="113"/>
    <w:qFormat/>
    <w:uiPriority w:val="99"/>
    <w:rPr>
      <w:rFonts w:ascii="宋体" w:hAnsi="Courier New"/>
      <w:kern w:val="0"/>
      <w:sz w:val="20"/>
      <w:szCs w:val="21"/>
      <w:lang w:val="zh-CN"/>
    </w:rPr>
  </w:style>
  <w:style w:type="paragraph" w:styleId="26">
    <w:name w:val="toc 8"/>
    <w:basedOn w:val="1"/>
    <w:next w:val="1"/>
    <w:unhideWhenUsed/>
    <w:qFormat/>
    <w:uiPriority w:val="39"/>
    <w:pPr>
      <w:ind w:left="1680"/>
      <w:jc w:val="left"/>
    </w:pPr>
    <w:rPr>
      <w:rFonts w:ascii="Calibri" w:hAnsi="Calibri" w:cs="Calibri"/>
      <w:sz w:val="18"/>
      <w:szCs w:val="18"/>
    </w:rPr>
  </w:style>
  <w:style w:type="paragraph" w:styleId="27">
    <w:name w:val="Date"/>
    <w:basedOn w:val="1"/>
    <w:next w:val="1"/>
    <w:link w:val="136"/>
    <w:unhideWhenUsed/>
    <w:qFormat/>
    <w:uiPriority w:val="99"/>
    <w:pPr>
      <w:ind w:left="100" w:leftChars="2500"/>
    </w:pPr>
    <w:rPr>
      <w:rFonts w:ascii="Calibri" w:hAnsi="Calibri"/>
      <w:kern w:val="0"/>
      <w:sz w:val="20"/>
      <w:szCs w:val="20"/>
      <w:lang w:val="zh-CN"/>
    </w:rPr>
  </w:style>
  <w:style w:type="paragraph" w:styleId="28">
    <w:name w:val="Body Text Indent 2"/>
    <w:basedOn w:val="1"/>
    <w:link w:val="88"/>
    <w:unhideWhenUsed/>
    <w:qFormat/>
    <w:uiPriority w:val="0"/>
    <w:pPr>
      <w:spacing w:after="120" w:line="480" w:lineRule="auto"/>
      <w:ind w:left="420" w:leftChars="200"/>
    </w:pPr>
    <w:rPr>
      <w:kern w:val="0"/>
      <w:sz w:val="20"/>
      <w:szCs w:val="20"/>
      <w:lang w:val="zh-CN"/>
    </w:rPr>
  </w:style>
  <w:style w:type="paragraph" w:styleId="29">
    <w:name w:val="Balloon Text"/>
    <w:basedOn w:val="1"/>
    <w:link w:val="118"/>
    <w:unhideWhenUsed/>
    <w:qFormat/>
    <w:uiPriority w:val="99"/>
    <w:rPr>
      <w:kern w:val="0"/>
      <w:sz w:val="18"/>
      <w:szCs w:val="18"/>
      <w:lang w:val="zh-CN"/>
    </w:rPr>
  </w:style>
  <w:style w:type="paragraph" w:styleId="30">
    <w:name w:val="footer"/>
    <w:basedOn w:val="1"/>
    <w:link w:val="78"/>
    <w:unhideWhenUsed/>
    <w:qFormat/>
    <w:uiPriority w:val="99"/>
    <w:pPr>
      <w:tabs>
        <w:tab w:val="center" w:pos="4153"/>
        <w:tab w:val="right" w:pos="8306"/>
      </w:tabs>
      <w:snapToGrid w:val="0"/>
      <w:jc w:val="left"/>
    </w:pPr>
    <w:rPr>
      <w:kern w:val="0"/>
      <w:sz w:val="18"/>
      <w:szCs w:val="18"/>
      <w:lang w:val="zh-CN"/>
    </w:rPr>
  </w:style>
  <w:style w:type="paragraph" w:styleId="31">
    <w:name w:val="header"/>
    <w:basedOn w:val="1"/>
    <w:link w:val="91"/>
    <w:unhideWhenUsed/>
    <w:qFormat/>
    <w:uiPriority w:val="99"/>
    <w:pPr>
      <w:pBdr>
        <w:bottom w:val="single" w:color="auto" w:sz="6" w:space="1"/>
      </w:pBdr>
      <w:tabs>
        <w:tab w:val="center" w:pos="4153"/>
        <w:tab w:val="right" w:pos="8306"/>
      </w:tabs>
      <w:snapToGrid w:val="0"/>
      <w:jc w:val="center"/>
    </w:pPr>
    <w:rPr>
      <w:kern w:val="0"/>
      <w:sz w:val="18"/>
      <w:szCs w:val="18"/>
      <w:lang w:val="zh-CN"/>
    </w:rPr>
  </w:style>
  <w:style w:type="paragraph" w:styleId="32">
    <w:name w:val="Signature"/>
    <w:basedOn w:val="1"/>
    <w:link w:val="283"/>
    <w:unhideWhenUsed/>
    <w:qFormat/>
    <w:uiPriority w:val="99"/>
    <w:pPr>
      <w:ind w:left="100" w:leftChars="2100"/>
    </w:pPr>
  </w:style>
  <w:style w:type="paragraph" w:styleId="33">
    <w:name w:val="toc 1"/>
    <w:basedOn w:val="1"/>
    <w:next w:val="1"/>
    <w:qFormat/>
    <w:uiPriority w:val="39"/>
    <w:pPr>
      <w:spacing w:before="120" w:after="120"/>
      <w:jc w:val="left"/>
    </w:pPr>
    <w:rPr>
      <w:rFonts w:ascii="Calibri" w:hAnsi="Calibri" w:cs="Calibri"/>
      <w:b/>
      <w:bCs/>
      <w:caps/>
      <w:sz w:val="20"/>
      <w:szCs w:val="20"/>
    </w:rPr>
  </w:style>
  <w:style w:type="paragraph" w:styleId="34">
    <w:name w:val="toc 4"/>
    <w:basedOn w:val="1"/>
    <w:next w:val="1"/>
    <w:unhideWhenUsed/>
    <w:qFormat/>
    <w:uiPriority w:val="39"/>
    <w:pPr>
      <w:ind w:left="720"/>
      <w:jc w:val="left"/>
    </w:pPr>
    <w:rPr>
      <w:rFonts w:ascii="Calibri" w:hAnsi="Calibri" w:cs="Calibri"/>
      <w:sz w:val="18"/>
      <w:szCs w:val="18"/>
    </w:rPr>
  </w:style>
  <w:style w:type="paragraph" w:styleId="35">
    <w:name w:val="Subtitle"/>
    <w:basedOn w:val="1"/>
    <w:next w:val="1"/>
    <w:link w:val="71"/>
    <w:qFormat/>
    <w:uiPriority w:val="0"/>
    <w:pPr>
      <w:spacing w:after="50" w:afterLines="50"/>
      <w:jc w:val="center"/>
      <w:outlineLvl w:val="1"/>
    </w:pPr>
    <w:rPr>
      <w:b/>
      <w:bCs/>
      <w:kern w:val="28"/>
      <w:sz w:val="20"/>
      <w:szCs w:val="32"/>
      <w:lang w:val="zh-CN"/>
    </w:rPr>
  </w:style>
  <w:style w:type="paragraph" w:styleId="36">
    <w:name w:val="List"/>
    <w:basedOn w:val="1"/>
    <w:unhideWhenUsed/>
    <w:qFormat/>
    <w:uiPriority w:val="0"/>
    <w:pPr>
      <w:ind w:left="200" w:hanging="200" w:hangingChars="200"/>
      <w:contextualSpacing/>
    </w:pPr>
    <w:rPr>
      <w:rFonts w:ascii="Calibri" w:hAnsi="Calibri"/>
    </w:rPr>
  </w:style>
  <w:style w:type="paragraph" w:styleId="37">
    <w:name w:val="toc 6"/>
    <w:basedOn w:val="1"/>
    <w:next w:val="1"/>
    <w:unhideWhenUsed/>
    <w:qFormat/>
    <w:uiPriority w:val="39"/>
    <w:pPr>
      <w:ind w:left="1200"/>
      <w:jc w:val="left"/>
    </w:pPr>
    <w:rPr>
      <w:rFonts w:ascii="Calibri" w:hAnsi="Calibri" w:cs="Calibri"/>
      <w:sz w:val="18"/>
      <w:szCs w:val="18"/>
    </w:rPr>
  </w:style>
  <w:style w:type="paragraph" w:styleId="38">
    <w:name w:val="Body Text Indent 3"/>
    <w:basedOn w:val="1"/>
    <w:link w:val="137"/>
    <w:unhideWhenUsed/>
    <w:qFormat/>
    <w:uiPriority w:val="0"/>
    <w:pPr>
      <w:spacing w:after="120"/>
      <w:ind w:left="420" w:leftChars="200"/>
    </w:pPr>
    <w:rPr>
      <w:rFonts w:ascii="Calibri" w:hAnsi="Calibri"/>
      <w:kern w:val="0"/>
      <w:sz w:val="16"/>
      <w:szCs w:val="16"/>
      <w:lang w:val="zh-CN"/>
    </w:rPr>
  </w:style>
  <w:style w:type="paragraph" w:styleId="39">
    <w:name w:val="toc 2"/>
    <w:basedOn w:val="1"/>
    <w:next w:val="1"/>
    <w:qFormat/>
    <w:uiPriority w:val="39"/>
    <w:pPr>
      <w:ind w:left="240"/>
      <w:jc w:val="left"/>
    </w:pPr>
    <w:rPr>
      <w:rFonts w:ascii="Calibri" w:hAnsi="Calibri" w:cs="Calibri"/>
      <w:smallCaps/>
      <w:sz w:val="20"/>
      <w:szCs w:val="20"/>
    </w:rPr>
  </w:style>
  <w:style w:type="paragraph" w:styleId="40">
    <w:name w:val="toc 9"/>
    <w:basedOn w:val="1"/>
    <w:next w:val="1"/>
    <w:unhideWhenUsed/>
    <w:qFormat/>
    <w:uiPriority w:val="39"/>
    <w:pPr>
      <w:ind w:left="1920"/>
      <w:jc w:val="left"/>
    </w:pPr>
    <w:rPr>
      <w:rFonts w:ascii="Calibri" w:hAnsi="Calibri" w:cs="Calibri"/>
      <w:sz w:val="18"/>
      <w:szCs w:val="18"/>
    </w:rPr>
  </w:style>
  <w:style w:type="paragraph" w:styleId="41">
    <w:name w:val="Body Text 2"/>
    <w:basedOn w:val="1"/>
    <w:link w:val="119"/>
    <w:qFormat/>
    <w:uiPriority w:val="0"/>
    <w:pPr>
      <w:spacing w:after="120" w:line="480" w:lineRule="auto"/>
    </w:pPr>
    <w:rPr>
      <w:kern w:val="0"/>
      <w:szCs w:val="24"/>
      <w:lang w:val="zh-CN"/>
    </w:rPr>
  </w:style>
  <w:style w:type="paragraph" w:styleId="42">
    <w:name w:val="HTML Preformatted"/>
    <w:basedOn w:val="1"/>
    <w:link w:val="157"/>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Cs w:val="24"/>
      <w:lang w:val="zh-CN"/>
    </w:rPr>
  </w:style>
  <w:style w:type="paragraph" w:styleId="43">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44">
    <w:name w:val="Title"/>
    <w:basedOn w:val="1"/>
    <w:next w:val="1"/>
    <w:link w:val="145"/>
    <w:qFormat/>
    <w:uiPriority w:val="10"/>
    <w:pPr>
      <w:jc w:val="center"/>
    </w:pPr>
    <w:rPr>
      <w:bCs/>
      <w:sz w:val="21"/>
      <w:szCs w:val="32"/>
      <w:lang w:val="zh-CN"/>
    </w:rPr>
  </w:style>
  <w:style w:type="character" w:styleId="46">
    <w:name w:val="Strong"/>
    <w:qFormat/>
    <w:uiPriority w:val="22"/>
    <w:rPr>
      <w:b/>
      <w:bCs/>
    </w:rPr>
  </w:style>
  <w:style w:type="character" w:styleId="47">
    <w:name w:val="page number"/>
    <w:basedOn w:val="45"/>
    <w:qFormat/>
    <w:uiPriority w:val="0"/>
  </w:style>
  <w:style w:type="character" w:styleId="48">
    <w:name w:val="FollowedHyperlink"/>
    <w:basedOn w:val="45"/>
    <w:semiHidden/>
    <w:unhideWhenUsed/>
    <w:qFormat/>
    <w:uiPriority w:val="0"/>
    <w:rPr>
      <w:color w:val="333333"/>
      <w:u w:val="none"/>
    </w:rPr>
  </w:style>
  <w:style w:type="character" w:styleId="49">
    <w:name w:val="Emphasis"/>
    <w:basedOn w:val="45"/>
    <w:qFormat/>
    <w:uiPriority w:val="20"/>
  </w:style>
  <w:style w:type="character" w:styleId="50">
    <w:name w:val="Hyperlink"/>
    <w:qFormat/>
    <w:uiPriority w:val="99"/>
    <w:rPr>
      <w:color w:val="0000FF"/>
      <w:u w:val="single"/>
    </w:rPr>
  </w:style>
  <w:style w:type="character" w:styleId="51">
    <w:name w:val="annotation reference"/>
    <w:qFormat/>
    <w:uiPriority w:val="0"/>
    <w:rPr>
      <w:sz w:val="21"/>
      <w:szCs w:val="21"/>
    </w:rPr>
  </w:style>
  <w:style w:type="character" w:styleId="52">
    <w:name w:val="HTML Cite"/>
    <w:basedOn w:val="45"/>
    <w:semiHidden/>
    <w:unhideWhenUsed/>
    <w:qFormat/>
    <w:uiPriority w:val="99"/>
  </w:style>
  <w:style w:type="table" w:styleId="54">
    <w:name w:val="Table Grid"/>
    <w:basedOn w:val="53"/>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
  </w:style>
  <w:style w:type="paragraph" w:customStyle="1" w:styleId="55">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56">
    <w:name w:val="[环评正文内容] Char"/>
    <w:link w:val="57"/>
    <w:qFormat/>
    <w:uiPriority w:val="0"/>
    <w:rPr>
      <w:bCs/>
      <w:kern w:val="2"/>
      <w:sz w:val="24"/>
    </w:rPr>
  </w:style>
  <w:style w:type="paragraph" w:customStyle="1" w:styleId="57">
    <w:name w:val="[环评正文内容]"/>
    <w:basedOn w:val="1"/>
    <w:next w:val="1"/>
    <w:link w:val="56"/>
    <w:qFormat/>
    <w:uiPriority w:val="0"/>
    <w:pPr>
      <w:topLinePunct/>
      <w:ind w:firstLine="200" w:firstLineChars="200"/>
      <w:jc w:val="left"/>
    </w:pPr>
    <w:rPr>
      <w:bCs/>
      <w:szCs w:val="20"/>
      <w:lang w:val="zh-CN"/>
    </w:rPr>
  </w:style>
  <w:style w:type="character" w:customStyle="1" w:styleId="58">
    <w:name w:val="标题 7 Char"/>
    <w:link w:val="9"/>
    <w:qFormat/>
    <w:uiPriority w:val="0"/>
    <w:rPr>
      <w:rFonts w:ascii="Times New Roman" w:hAnsi="Times New Roman" w:eastAsia="宋体" w:cs="Times New Roman"/>
      <w:b/>
      <w:bCs/>
      <w:color w:val="000000"/>
      <w:kern w:val="0"/>
      <w:sz w:val="24"/>
      <w:szCs w:val="24"/>
    </w:rPr>
  </w:style>
  <w:style w:type="character" w:customStyle="1" w:styleId="59">
    <w:name w:val="font71"/>
    <w:qFormat/>
    <w:uiPriority w:val="0"/>
    <w:rPr>
      <w:rFonts w:hint="eastAsia" w:ascii="宋体" w:hAnsi="宋体" w:eastAsia="宋体" w:cs="宋体"/>
      <w:color w:val="FF0000"/>
      <w:sz w:val="21"/>
      <w:szCs w:val="21"/>
    </w:rPr>
  </w:style>
  <w:style w:type="character" w:customStyle="1" w:styleId="60">
    <w:name w:val="表格 Char"/>
    <w:link w:val="61"/>
    <w:qFormat/>
    <w:uiPriority w:val="0"/>
    <w:rPr>
      <w:rFonts w:ascii="宋体" w:hAnsi="Calibri" w:eastAsia="仿宋" w:cs="Times New Roman"/>
      <w:lang w:val="zh-CN" w:eastAsia="zh-CN"/>
    </w:rPr>
  </w:style>
  <w:style w:type="paragraph" w:customStyle="1" w:styleId="61">
    <w:name w:val="表格"/>
    <w:basedOn w:val="1"/>
    <w:link w:val="60"/>
    <w:qFormat/>
    <w:uiPriority w:val="0"/>
    <w:pPr>
      <w:spacing w:line="440" w:lineRule="atLeast"/>
      <w:jc w:val="center"/>
    </w:pPr>
    <w:rPr>
      <w:rFonts w:ascii="宋体" w:hAnsi="Calibri" w:eastAsia="仿宋"/>
      <w:kern w:val="0"/>
      <w:sz w:val="20"/>
      <w:szCs w:val="20"/>
      <w:lang w:val="zh-CN"/>
    </w:rPr>
  </w:style>
  <w:style w:type="character" w:customStyle="1" w:styleId="62">
    <w:name w:val="5 正文 Char"/>
    <w:link w:val="63"/>
    <w:qFormat/>
    <w:uiPriority w:val="0"/>
    <w:rPr>
      <w:rFonts w:ascii="宋体" w:hAnsi="宋体"/>
      <w:kern w:val="2"/>
      <w:sz w:val="24"/>
      <w:szCs w:val="24"/>
      <w:lang w:val="en-US" w:eastAsia="zh-CN" w:bidi="ar-SA"/>
    </w:rPr>
  </w:style>
  <w:style w:type="paragraph" w:customStyle="1" w:styleId="63">
    <w:name w:val="5 正文"/>
    <w:link w:val="62"/>
    <w:qFormat/>
    <w:uiPriority w:val="0"/>
    <w:pPr>
      <w:spacing w:line="384" w:lineRule="auto"/>
      <w:ind w:firstLine="480" w:firstLineChars="200"/>
    </w:pPr>
    <w:rPr>
      <w:rFonts w:ascii="宋体" w:hAnsi="宋体" w:eastAsia="宋体" w:cs="Times New Roman"/>
      <w:kern w:val="2"/>
      <w:sz w:val="24"/>
      <w:szCs w:val="24"/>
      <w:lang w:val="en-US" w:eastAsia="zh-CN" w:bidi="ar-SA"/>
    </w:rPr>
  </w:style>
  <w:style w:type="character" w:customStyle="1" w:styleId="64">
    <w:name w:val="标题 2 Char"/>
    <w:link w:val="4"/>
    <w:qFormat/>
    <w:uiPriority w:val="9"/>
    <w:rPr>
      <w:rFonts w:eastAsia="宋体"/>
      <w:b/>
      <w:bCs/>
      <w:kern w:val="2"/>
      <w:sz w:val="36"/>
      <w:szCs w:val="32"/>
    </w:rPr>
  </w:style>
  <w:style w:type="character" w:customStyle="1" w:styleId="65">
    <w:name w:val="正文文本 (2) + Times New Roman"/>
    <w:qFormat/>
    <w:uiPriority w:val="0"/>
    <w:rPr>
      <w:rFonts w:ascii="Times New Roman" w:hAnsi="Times New Roman" w:eastAsia="MingLiU" w:cs="Times New Roman"/>
      <w:b/>
      <w:bCs/>
      <w:sz w:val="20"/>
      <w:szCs w:val="20"/>
      <w:lang w:bidi="ar-SA"/>
    </w:rPr>
  </w:style>
  <w:style w:type="character" w:customStyle="1" w:styleId="66">
    <w:name w:val="内容 Char"/>
    <w:link w:val="67"/>
    <w:qFormat/>
    <w:uiPriority w:val="0"/>
    <w:rPr>
      <w:rFonts w:ascii="Calibri" w:hAnsi="Calibri" w:eastAsia="宋体" w:cs="Times New Roman"/>
      <w:color w:val="000000"/>
      <w:kern w:val="0"/>
      <w:sz w:val="24"/>
      <w:szCs w:val="24"/>
      <w:lang w:val="zh-CN" w:eastAsia="zh-CN"/>
    </w:rPr>
  </w:style>
  <w:style w:type="paragraph" w:customStyle="1" w:styleId="67">
    <w:name w:val="内容"/>
    <w:basedOn w:val="1"/>
    <w:link w:val="66"/>
    <w:qFormat/>
    <w:uiPriority w:val="0"/>
    <w:pPr>
      <w:spacing w:beforeLines="50" w:afterLines="50"/>
      <w:ind w:firstLine="200" w:firstLineChars="200"/>
    </w:pPr>
    <w:rPr>
      <w:rFonts w:ascii="Calibri" w:hAnsi="Calibri"/>
      <w:color w:val="000000"/>
      <w:kern w:val="0"/>
      <w:szCs w:val="24"/>
      <w:lang w:val="zh-CN"/>
    </w:rPr>
  </w:style>
  <w:style w:type="character" w:customStyle="1" w:styleId="68">
    <w:name w:val="已访问的超链接1"/>
    <w:qFormat/>
    <w:uiPriority w:val="0"/>
    <w:rPr>
      <w:color w:val="800080"/>
      <w:u w:val="single"/>
    </w:rPr>
  </w:style>
  <w:style w:type="character" w:customStyle="1" w:styleId="69">
    <w:name w:val="a正文 Char"/>
    <w:link w:val="70"/>
    <w:qFormat/>
    <w:uiPriority w:val="0"/>
    <w:rPr>
      <w:kern w:val="2"/>
      <w:sz w:val="28"/>
      <w:szCs w:val="22"/>
    </w:rPr>
  </w:style>
  <w:style w:type="paragraph" w:customStyle="1" w:styleId="70">
    <w:name w:val="a正文"/>
    <w:basedOn w:val="1"/>
    <w:link w:val="69"/>
    <w:qFormat/>
    <w:uiPriority w:val="0"/>
    <w:pPr>
      <w:ind w:firstLine="561"/>
    </w:pPr>
    <w:rPr>
      <w:sz w:val="28"/>
      <w:lang w:val="zh-CN"/>
    </w:rPr>
  </w:style>
  <w:style w:type="character" w:customStyle="1" w:styleId="71">
    <w:name w:val="副标题 Char"/>
    <w:link w:val="35"/>
    <w:qFormat/>
    <w:uiPriority w:val="0"/>
    <w:rPr>
      <w:rFonts w:ascii="Times New Roman" w:hAnsi="Times New Roman" w:eastAsia="宋体" w:cs="Times New Roman"/>
      <w:b/>
      <w:bCs/>
      <w:kern w:val="28"/>
      <w:szCs w:val="32"/>
    </w:rPr>
  </w:style>
  <w:style w:type="character" w:customStyle="1" w:styleId="72">
    <w:name w:val="批注框文本 Char1"/>
    <w:qFormat/>
    <w:uiPriority w:val="0"/>
    <w:rPr>
      <w:sz w:val="18"/>
      <w:szCs w:val="18"/>
    </w:rPr>
  </w:style>
  <w:style w:type="character" w:customStyle="1" w:styleId="73">
    <w:name w:val="标题 3 Char1"/>
    <w:qFormat/>
    <w:uiPriority w:val="0"/>
    <w:rPr>
      <w:rFonts w:ascii="Times New Roman" w:hAnsi="Times New Roman" w:eastAsia="黑体" w:cs="Times New Roman"/>
      <w:b/>
      <w:bCs/>
      <w:kern w:val="0"/>
      <w:sz w:val="28"/>
      <w:szCs w:val="32"/>
    </w:rPr>
  </w:style>
  <w:style w:type="character" w:customStyle="1" w:styleId="74">
    <w:name w:val="Normal Char Char"/>
    <w:link w:val="75"/>
    <w:qFormat/>
    <w:uiPriority w:val="0"/>
    <w:rPr>
      <w:rFonts w:ascii="宋体"/>
      <w:kern w:val="2"/>
      <w:sz w:val="24"/>
      <w:szCs w:val="22"/>
      <w:lang w:val="en-US" w:eastAsia="zh-CN" w:bidi="ar-SA"/>
    </w:rPr>
  </w:style>
  <w:style w:type="paragraph" w:customStyle="1" w:styleId="75">
    <w:name w:val="正文1"/>
    <w:link w:val="74"/>
    <w:qFormat/>
    <w:uiPriority w:val="0"/>
    <w:pPr>
      <w:widowControl w:val="0"/>
      <w:adjustRightInd w:val="0"/>
      <w:spacing w:line="360" w:lineRule="atLeast"/>
    </w:pPr>
    <w:rPr>
      <w:rFonts w:ascii="宋体" w:hAnsi="Times New Roman" w:eastAsia="宋体" w:cs="Times New Roman"/>
      <w:kern w:val="2"/>
      <w:sz w:val="24"/>
      <w:szCs w:val="22"/>
      <w:lang w:val="en-US" w:eastAsia="zh-CN" w:bidi="ar-SA"/>
    </w:rPr>
  </w:style>
  <w:style w:type="character" w:customStyle="1" w:styleId="76">
    <w:name w:val="Quote Char"/>
    <w:link w:val="77"/>
    <w:qFormat/>
    <w:locked/>
    <w:uiPriority w:val="0"/>
    <w:rPr>
      <w:b/>
      <w:iCs/>
      <w:color w:val="000000"/>
      <w:kern w:val="2"/>
      <w:sz w:val="21"/>
      <w:szCs w:val="22"/>
    </w:rPr>
  </w:style>
  <w:style w:type="paragraph" w:customStyle="1" w:styleId="77">
    <w:name w:val="引用1"/>
    <w:basedOn w:val="1"/>
    <w:next w:val="1"/>
    <w:link w:val="76"/>
    <w:qFormat/>
    <w:uiPriority w:val="0"/>
    <w:pPr>
      <w:spacing w:beforeLines="50"/>
      <w:jc w:val="center"/>
    </w:pPr>
    <w:rPr>
      <w:b/>
      <w:iCs/>
      <w:color w:val="000000"/>
      <w:sz w:val="21"/>
      <w:lang w:val="zh-CN"/>
    </w:rPr>
  </w:style>
  <w:style w:type="character" w:customStyle="1" w:styleId="78">
    <w:name w:val="页脚 Char"/>
    <w:link w:val="30"/>
    <w:qFormat/>
    <w:uiPriority w:val="99"/>
    <w:rPr>
      <w:sz w:val="18"/>
      <w:szCs w:val="18"/>
    </w:rPr>
  </w:style>
  <w:style w:type="character" w:customStyle="1" w:styleId="79">
    <w:name w:val="标题1"/>
    <w:basedOn w:val="45"/>
    <w:qFormat/>
    <w:uiPriority w:val="0"/>
  </w:style>
  <w:style w:type="character" w:customStyle="1" w:styleId="80">
    <w:name w:val="正文文本 (2)_"/>
    <w:link w:val="81"/>
    <w:qFormat/>
    <w:uiPriority w:val="0"/>
    <w:rPr>
      <w:rFonts w:ascii="MingLiU" w:eastAsia="MingLiU"/>
      <w:sz w:val="23"/>
      <w:szCs w:val="23"/>
      <w:shd w:val="clear" w:color="auto" w:fill="FFFFFF"/>
    </w:rPr>
  </w:style>
  <w:style w:type="paragraph" w:customStyle="1" w:styleId="81">
    <w:name w:val="正文文本 (2)"/>
    <w:basedOn w:val="1"/>
    <w:link w:val="80"/>
    <w:qFormat/>
    <w:uiPriority w:val="0"/>
    <w:pPr>
      <w:shd w:val="clear" w:color="auto" w:fill="FFFFFF"/>
      <w:spacing w:line="466" w:lineRule="exact"/>
      <w:jc w:val="distribute"/>
    </w:pPr>
    <w:rPr>
      <w:rFonts w:ascii="MingLiU" w:eastAsia="MingLiU"/>
      <w:kern w:val="0"/>
      <w:sz w:val="23"/>
      <w:szCs w:val="23"/>
      <w:shd w:val="clear" w:color="auto" w:fill="FFFFFF"/>
      <w:lang w:val="zh-CN"/>
    </w:rPr>
  </w:style>
  <w:style w:type="character" w:customStyle="1" w:styleId="82">
    <w:name w:val="标题 1 Char1"/>
    <w:qFormat/>
    <w:uiPriority w:val="0"/>
    <w:rPr>
      <w:rFonts w:ascii="Times New Roman" w:hAnsi="Times New Roman" w:eastAsia="宋体" w:cs="Times New Roman"/>
      <w:b/>
      <w:kern w:val="0"/>
      <w:sz w:val="24"/>
      <w:szCs w:val="24"/>
    </w:rPr>
  </w:style>
  <w:style w:type="character" w:customStyle="1" w:styleId="83">
    <w:name w:val="报告正文 Char"/>
    <w:link w:val="84"/>
    <w:qFormat/>
    <w:uiPriority w:val="0"/>
    <w:rPr>
      <w:kern w:val="2"/>
      <w:sz w:val="24"/>
      <w:szCs w:val="22"/>
    </w:rPr>
  </w:style>
  <w:style w:type="paragraph" w:customStyle="1" w:styleId="84">
    <w:name w:val="报告正文"/>
    <w:basedOn w:val="1"/>
    <w:link w:val="83"/>
    <w:qFormat/>
    <w:uiPriority w:val="0"/>
    <w:pPr>
      <w:spacing w:line="360" w:lineRule="auto"/>
      <w:ind w:firstLine="200" w:firstLineChars="200"/>
    </w:pPr>
    <w:rPr>
      <w:lang w:val="zh-CN"/>
    </w:rPr>
  </w:style>
  <w:style w:type="character" w:customStyle="1" w:styleId="85">
    <w:name w:val="正文文本缩进 Char"/>
    <w:link w:val="21"/>
    <w:qFormat/>
    <w:uiPriority w:val="99"/>
    <w:rPr>
      <w:rFonts w:ascii="Times New Roman" w:hAnsi="Times New Roman" w:eastAsia="宋体" w:cs="Times New Roman"/>
      <w:kern w:val="0"/>
      <w:sz w:val="24"/>
      <w:lang w:val="zh-CN" w:eastAsia="zh-CN"/>
    </w:rPr>
  </w:style>
  <w:style w:type="character" w:customStyle="1" w:styleId="86">
    <w:name w:val="No Spacing Char"/>
    <w:link w:val="87"/>
    <w:qFormat/>
    <w:locked/>
    <w:uiPriority w:val="0"/>
    <w:rPr>
      <w:rFonts w:ascii="Calibri" w:hAnsi="Calibri"/>
      <w:kern w:val="2"/>
      <w:sz w:val="22"/>
      <w:lang w:val="en-US" w:eastAsia="zh-CN" w:bidi="ar-SA"/>
    </w:rPr>
  </w:style>
  <w:style w:type="paragraph" w:customStyle="1" w:styleId="87">
    <w:name w:val="无间隔4"/>
    <w:link w:val="86"/>
    <w:qFormat/>
    <w:uiPriority w:val="0"/>
    <w:pPr>
      <w:widowControl w:val="0"/>
      <w:jc w:val="both"/>
    </w:pPr>
    <w:rPr>
      <w:rFonts w:ascii="Calibri" w:hAnsi="Calibri" w:eastAsia="宋体" w:cs="Times New Roman"/>
      <w:kern w:val="2"/>
      <w:sz w:val="22"/>
      <w:lang w:val="en-US" w:eastAsia="zh-CN" w:bidi="ar-SA"/>
    </w:rPr>
  </w:style>
  <w:style w:type="character" w:customStyle="1" w:styleId="88">
    <w:name w:val="正文文本缩进 2 Char"/>
    <w:link w:val="28"/>
    <w:qFormat/>
    <w:uiPriority w:val="0"/>
    <w:rPr>
      <w:rFonts w:ascii="Times New Roman" w:hAnsi="Times New Roman" w:eastAsia="宋体" w:cs="Times New Roman"/>
    </w:rPr>
  </w:style>
  <w:style w:type="character" w:customStyle="1" w:styleId="89">
    <w:name w:val="正文(首行缩进) Char Char"/>
    <w:qFormat/>
    <w:uiPriority w:val="0"/>
    <w:rPr>
      <w:snapToGrid/>
      <w:sz w:val="24"/>
      <w:szCs w:val="24"/>
    </w:rPr>
  </w:style>
  <w:style w:type="character" w:customStyle="1" w:styleId="90">
    <w:name w:val="正文文本 3 Char"/>
    <w:link w:val="20"/>
    <w:qFormat/>
    <w:uiPriority w:val="0"/>
    <w:rPr>
      <w:rFonts w:ascii="Calibri" w:hAnsi="Calibri" w:eastAsia="宋体" w:cs="Times New Roman"/>
      <w:kern w:val="0"/>
      <w:sz w:val="16"/>
      <w:szCs w:val="16"/>
    </w:rPr>
  </w:style>
  <w:style w:type="character" w:customStyle="1" w:styleId="91">
    <w:name w:val="页眉 Char"/>
    <w:link w:val="31"/>
    <w:qFormat/>
    <w:uiPriority w:val="99"/>
    <w:rPr>
      <w:sz w:val="18"/>
      <w:szCs w:val="18"/>
    </w:rPr>
  </w:style>
  <w:style w:type="character" w:customStyle="1" w:styleId="92">
    <w:name w:val="正文文本 + Times New Roman3"/>
    <w:qFormat/>
    <w:uiPriority w:val="0"/>
    <w:rPr>
      <w:rFonts w:ascii="Times New Roman" w:hAnsi="Times New Roman" w:eastAsia="MingLiU" w:cs="Times New Roman"/>
      <w:sz w:val="23"/>
      <w:szCs w:val="23"/>
      <w:u w:val="none"/>
    </w:rPr>
  </w:style>
  <w:style w:type="character" w:customStyle="1" w:styleId="93">
    <w:name w:val="样式 正文zoe + 幼圆1 Char Char"/>
    <w:qFormat/>
    <w:uiPriority w:val="0"/>
    <w:rPr>
      <w:rFonts w:ascii="幼圆" w:hAnsi="幼圆" w:eastAsia="宋体" w:cs="Times New Roman"/>
      <w:kern w:val="0"/>
      <w:sz w:val="24"/>
      <w:szCs w:val="20"/>
    </w:rPr>
  </w:style>
  <w:style w:type="character" w:customStyle="1" w:styleId="94">
    <w:name w:val="标题 3 Char"/>
    <w:link w:val="5"/>
    <w:qFormat/>
    <w:uiPriority w:val="9"/>
    <w:rPr>
      <w:rFonts w:eastAsia="宋体"/>
      <w:b/>
      <w:bCs/>
      <w:kern w:val="2"/>
      <w:sz w:val="32"/>
      <w:szCs w:val="32"/>
    </w:rPr>
  </w:style>
  <w:style w:type="character" w:customStyle="1" w:styleId="95">
    <w:name w:val="正文文本 + Times New Roman2"/>
    <w:qFormat/>
    <w:uiPriority w:val="0"/>
    <w:rPr>
      <w:rFonts w:ascii="Times New Roman" w:hAnsi="Times New Roman" w:eastAsia="MingLiU" w:cs="Times New Roman"/>
      <w:b/>
      <w:bCs/>
      <w:sz w:val="16"/>
      <w:szCs w:val="16"/>
      <w:u w:val="none"/>
    </w:rPr>
  </w:style>
  <w:style w:type="character" w:customStyle="1" w:styleId="96">
    <w:name w:val="正文缩进（标准） Char"/>
    <w:link w:val="97"/>
    <w:qFormat/>
    <w:uiPriority w:val="0"/>
    <w:rPr>
      <w:rFonts w:eastAsia="仿宋_GB2312"/>
      <w:spacing w:val="-2"/>
      <w:kern w:val="2"/>
      <w:sz w:val="24"/>
      <w:szCs w:val="24"/>
      <w:lang w:val="en-US" w:eastAsia="zh-CN" w:bidi="ar-SA"/>
    </w:rPr>
  </w:style>
  <w:style w:type="paragraph" w:customStyle="1" w:styleId="97">
    <w:name w:val="正文缩进（标准）"/>
    <w:link w:val="96"/>
    <w:qFormat/>
    <w:uiPriority w:val="0"/>
    <w:pPr>
      <w:widowControl w:val="0"/>
      <w:tabs>
        <w:tab w:val="left" w:pos="1800"/>
        <w:tab w:val="left" w:pos="1980"/>
        <w:tab w:val="right" w:leader="dot" w:pos="8505"/>
        <w:tab w:val="left" w:pos="14459"/>
      </w:tabs>
      <w:adjustRightInd w:val="0"/>
      <w:snapToGrid w:val="0"/>
      <w:spacing w:line="520" w:lineRule="exact"/>
      <w:ind w:firstLine="472" w:firstLineChars="200"/>
      <w:jc w:val="both"/>
    </w:pPr>
    <w:rPr>
      <w:rFonts w:ascii="Times New Roman" w:hAnsi="Times New Roman" w:eastAsia="仿宋_GB2312" w:cs="Times New Roman"/>
      <w:spacing w:val="-2"/>
      <w:kern w:val="2"/>
      <w:sz w:val="24"/>
      <w:szCs w:val="24"/>
      <w:lang w:val="en-US" w:eastAsia="zh-CN" w:bidi="ar-SA"/>
    </w:rPr>
  </w:style>
  <w:style w:type="character" w:customStyle="1" w:styleId="98">
    <w:name w:val="正文文本 + 间距 0 pt10"/>
    <w:qFormat/>
    <w:uiPriority w:val="0"/>
    <w:rPr>
      <w:rFonts w:ascii="MingLiU" w:eastAsia="MingLiU" w:cs="MingLiU"/>
      <w:spacing w:val="-15"/>
      <w:sz w:val="23"/>
      <w:szCs w:val="23"/>
      <w:u w:val="none"/>
    </w:rPr>
  </w:style>
  <w:style w:type="character" w:customStyle="1" w:styleId="99">
    <w:name w:val="文档结构图 Char"/>
    <w:link w:val="19"/>
    <w:qFormat/>
    <w:uiPriority w:val="99"/>
    <w:rPr>
      <w:rFonts w:ascii="宋体" w:hAnsi="Calibri" w:eastAsia="宋体" w:cs="Times New Roman"/>
      <w:kern w:val="0"/>
      <w:sz w:val="18"/>
      <w:szCs w:val="18"/>
    </w:rPr>
  </w:style>
  <w:style w:type="character" w:customStyle="1" w:styleId="100">
    <w:name w:val="样式 正文zoe + 幼圆1 Char"/>
    <w:link w:val="101"/>
    <w:qFormat/>
    <w:uiPriority w:val="0"/>
    <w:rPr>
      <w:rFonts w:ascii="幼圆" w:hAnsi="幼圆" w:eastAsia="宋体" w:cs="Times New Roman"/>
      <w:kern w:val="0"/>
      <w:sz w:val="24"/>
      <w:szCs w:val="20"/>
      <w:lang w:val="zh-CN" w:eastAsia="zh-CN"/>
    </w:rPr>
  </w:style>
  <w:style w:type="paragraph" w:customStyle="1" w:styleId="101">
    <w:name w:val="样式 正文zoe + 幼圆1"/>
    <w:basedOn w:val="1"/>
    <w:link w:val="100"/>
    <w:qFormat/>
    <w:uiPriority w:val="0"/>
    <w:pPr>
      <w:adjustRightInd w:val="0"/>
      <w:spacing w:line="360" w:lineRule="auto"/>
      <w:ind w:firstLine="480" w:firstLineChars="200"/>
      <w:textAlignment w:val="baseline"/>
    </w:pPr>
    <w:rPr>
      <w:rFonts w:ascii="幼圆" w:hAnsi="幼圆"/>
      <w:kern w:val="0"/>
      <w:szCs w:val="20"/>
      <w:lang w:val="zh-CN"/>
    </w:rPr>
  </w:style>
  <w:style w:type="character" w:customStyle="1" w:styleId="102">
    <w:name w:val="正文首行缩进 Char"/>
    <w:link w:val="15"/>
    <w:qFormat/>
    <w:uiPriority w:val="99"/>
    <w:rPr>
      <w:rFonts w:ascii="宋体" w:hAnsi="Times New Roman" w:eastAsia="宋体" w:cs="Times New Roman"/>
      <w:kern w:val="0"/>
      <w:sz w:val="24"/>
      <w:szCs w:val="24"/>
    </w:rPr>
  </w:style>
  <w:style w:type="character" w:customStyle="1" w:styleId="103">
    <w:name w:val="引用 Char"/>
    <w:link w:val="104"/>
    <w:qFormat/>
    <w:uiPriority w:val="29"/>
    <w:rPr>
      <w:b/>
      <w:iCs/>
      <w:color w:val="000000"/>
      <w:kern w:val="2"/>
      <w:sz w:val="21"/>
      <w:szCs w:val="22"/>
    </w:rPr>
  </w:style>
  <w:style w:type="paragraph" w:styleId="104">
    <w:name w:val="Quote"/>
    <w:basedOn w:val="1"/>
    <w:next w:val="1"/>
    <w:link w:val="103"/>
    <w:qFormat/>
    <w:uiPriority w:val="29"/>
    <w:pPr>
      <w:spacing w:beforeLines="50"/>
      <w:jc w:val="center"/>
    </w:pPr>
    <w:rPr>
      <w:b/>
      <w:iCs/>
      <w:color w:val="000000"/>
      <w:sz w:val="21"/>
      <w:lang w:val="zh-CN"/>
    </w:rPr>
  </w:style>
  <w:style w:type="character" w:customStyle="1" w:styleId="105">
    <w:name w:val="正文文本 Char"/>
    <w:link w:val="2"/>
    <w:qFormat/>
    <w:uiPriority w:val="0"/>
    <w:rPr>
      <w:rFonts w:ascii="宋体" w:eastAsia="宋体"/>
      <w:sz w:val="24"/>
      <w:szCs w:val="24"/>
    </w:rPr>
  </w:style>
  <w:style w:type="character" w:customStyle="1" w:styleId="106">
    <w:name w:val="标题 5 Char"/>
    <w:link w:val="7"/>
    <w:qFormat/>
    <w:uiPriority w:val="0"/>
    <w:rPr>
      <w:rFonts w:ascii="Times New Roman" w:hAnsi="Times New Roman" w:eastAsia="宋体" w:cs="Times New Roman"/>
      <w:b/>
      <w:bCs/>
      <w:color w:val="000000"/>
      <w:kern w:val="0"/>
      <w:sz w:val="28"/>
      <w:szCs w:val="28"/>
    </w:rPr>
  </w:style>
  <w:style w:type="character" w:customStyle="1" w:styleId="107">
    <w:name w:val="正文文本 2 Char1"/>
    <w:qFormat/>
    <w:uiPriority w:val="0"/>
    <w:rPr>
      <w:rFonts w:ascii="Times New Roman" w:hAnsi="Times New Roman" w:eastAsia="宋体" w:cs="Times New Roman"/>
    </w:rPr>
  </w:style>
  <w:style w:type="character" w:customStyle="1" w:styleId="108">
    <w:name w:val="正文首行缩进 Char1"/>
    <w:qFormat/>
    <w:uiPriority w:val="0"/>
    <w:rPr>
      <w:rFonts w:ascii="Times New Roman" w:hAnsi="Times New Roman" w:eastAsia="宋体" w:cs="Times New Roman"/>
      <w:sz w:val="24"/>
      <w:szCs w:val="24"/>
    </w:rPr>
  </w:style>
  <w:style w:type="character" w:customStyle="1" w:styleId="109">
    <w:name w:val="批注文字 Char"/>
    <w:link w:val="13"/>
    <w:qFormat/>
    <w:uiPriority w:val="99"/>
    <w:rPr>
      <w:rFonts w:ascii="Calibri" w:hAnsi="Calibri" w:eastAsia="宋体" w:cs="Times New Roman"/>
    </w:rPr>
  </w:style>
  <w:style w:type="character" w:customStyle="1" w:styleId="110">
    <w:name w:val="正文文本 + 间距 0 pt"/>
    <w:qFormat/>
    <w:uiPriority w:val="0"/>
    <w:rPr>
      <w:rFonts w:ascii="MingLiU" w:eastAsia="MingLiU" w:cs="MingLiU"/>
      <w:spacing w:val="-11"/>
      <w:sz w:val="23"/>
      <w:szCs w:val="23"/>
      <w:u w:val="none"/>
    </w:rPr>
  </w:style>
  <w:style w:type="character" w:customStyle="1" w:styleId="111">
    <w:name w:val="题注 Char"/>
    <w:link w:val="18"/>
    <w:qFormat/>
    <w:uiPriority w:val="0"/>
    <w:rPr>
      <w:rFonts w:cs="Arial"/>
      <w:kern w:val="2"/>
      <w:sz w:val="21"/>
    </w:rPr>
  </w:style>
  <w:style w:type="character" w:customStyle="1" w:styleId="112">
    <w:name w:val="标题 7 Char1"/>
    <w:qFormat/>
    <w:uiPriority w:val="0"/>
    <w:rPr>
      <w:rFonts w:eastAsia="宋体"/>
      <w:b/>
      <w:color w:val="000000"/>
      <w:kern w:val="28"/>
      <w:sz w:val="24"/>
      <w:lang w:bidi="ar-SA"/>
    </w:rPr>
  </w:style>
  <w:style w:type="character" w:customStyle="1" w:styleId="113">
    <w:name w:val="纯文本 Char"/>
    <w:link w:val="25"/>
    <w:qFormat/>
    <w:uiPriority w:val="99"/>
    <w:rPr>
      <w:rFonts w:ascii="宋体" w:hAnsi="Courier New" w:eastAsia="宋体" w:cs="Times New Roman"/>
      <w:kern w:val="0"/>
      <w:sz w:val="20"/>
      <w:szCs w:val="21"/>
    </w:rPr>
  </w:style>
  <w:style w:type="character" w:customStyle="1" w:styleId="114">
    <w:name w:val="【标题3】 Char"/>
    <w:link w:val="115"/>
    <w:qFormat/>
    <w:uiPriority w:val="0"/>
    <w:rPr>
      <w:rFonts w:ascii="Times New Roman" w:hAnsi="Times New Roman"/>
      <w:b/>
      <w:bCs/>
      <w:sz w:val="30"/>
    </w:rPr>
  </w:style>
  <w:style w:type="paragraph" w:customStyle="1" w:styleId="115">
    <w:name w:val="【标题3】"/>
    <w:basedOn w:val="5"/>
    <w:link w:val="114"/>
    <w:qFormat/>
    <w:uiPriority w:val="0"/>
    <w:pPr>
      <w:keepNext w:val="0"/>
      <w:spacing w:before="240" w:after="240" w:line="240" w:lineRule="auto"/>
    </w:pPr>
    <w:rPr>
      <w:kern w:val="0"/>
      <w:sz w:val="30"/>
      <w:szCs w:val="20"/>
    </w:rPr>
  </w:style>
  <w:style w:type="character" w:customStyle="1" w:styleId="116">
    <w:name w:val="正文111 Char"/>
    <w:link w:val="117"/>
    <w:qFormat/>
    <w:uiPriority w:val="0"/>
    <w:rPr>
      <w:rFonts w:eastAsia="仿宋_GB2312"/>
      <w:spacing w:val="6"/>
      <w:sz w:val="24"/>
      <w:szCs w:val="24"/>
    </w:rPr>
  </w:style>
  <w:style w:type="paragraph" w:customStyle="1" w:styleId="117">
    <w:name w:val="正文111"/>
    <w:basedOn w:val="1"/>
    <w:link w:val="116"/>
    <w:qFormat/>
    <w:uiPriority w:val="0"/>
    <w:pPr>
      <w:ind w:firstLine="480" w:firstLineChars="200"/>
    </w:pPr>
    <w:rPr>
      <w:rFonts w:eastAsia="仿宋_GB2312"/>
      <w:spacing w:val="6"/>
      <w:kern w:val="0"/>
      <w:szCs w:val="24"/>
      <w:lang w:val="zh-CN"/>
    </w:rPr>
  </w:style>
  <w:style w:type="character" w:customStyle="1" w:styleId="118">
    <w:name w:val="批注框文本 Char"/>
    <w:link w:val="29"/>
    <w:qFormat/>
    <w:uiPriority w:val="99"/>
    <w:rPr>
      <w:rFonts w:ascii="Times New Roman" w:hAnsi="Times New Roman" w:eastAsia="宋体" w:cs="Times New Roman"/>
      <w:sz w:val="18"/>
      <w:szCs w:val="18"/>
    </w:rPr>
  </w:style>
  <w:style w:type="character" w:customStyle="1" w:styleId="119">
    <w:name w:val="正文文本 2 Char"/>
    <w:link w:val="41"/>
    <w:qFormat/>
    <w:uiPriority w:val="0"/>
    <w:rPr>
      <w:sz w:val="24"/>
      <w:szCs w:val="24"/>
    </w:rPr>
  </w:style>
  <w:style w:type="character" w:customStyle="1" w:styleId="120">
    <w:name w:val="Char Char16"/>
    <w:qFormat/>
    <w:uiPriority w:val="0"/>
    <w:rPr>
      <w:rFonts w:ascii="Times New Roman" w:hAnsi="Times New Roman" w:eastAsia="宋体" w:cs="Times New Roman"/>
      <w:b/>
      <w:bCs/>
      <w:color w:val="000000"/>
      <w:sz w:val="28"/>
      <w:szCs w:val="28"/>
    </w:rPr>
  </w:style>
  <w:style w:type="character" w:customStyle="1" w:styleId="121">
    <w:name w:val="正文文本缩进 Char Char"/>
    <w:basedOn w:val="45"/>
    <w:qFormat/>
    <w:uiPriority w:val="0"/>
  </w:style>
  <w:style w:type="character" w:customStyle="1" w:styleId="122">
    <w:name w:val="表格 Char Char"/>
    <w:qFormat/>
    <w:uiPriority w:val="0"/>
    <w:rPr>
      <w:rFonts w:ascii="宋体" w:hAnsi="宋体" w:eastAsia="宋体" w:cs="Times New Roman"/>
      <w:snapToGrid/>
      <w:kern w:val="0"/>
      <w:sz w:val="20"/>
      <w:szCs w:val="20"/>
    </w:rPr>
  </w:style>
  <w:style w:type="character" w:customStyle="1" w:styleId="123">
    <w:name w:val="正文（首行缩进两字）1 Char"/>
    <w:link w:val="124"/>
    <w:qFormat/>
    <w:uiPriority w:val="0"/>
    <w:rPr>
      <w:rFonts w:ascii="Times New Roman" w:hAnsi="Times New Roman" w:eastAsia="宋体" w:cs="Times New Roman"/>
      <w:szCs w:val="21"/>
    </w:rPr>
  </w:style>
  <w:style w:type="paragraph" w:customStyle="1" w:styleId="124">
    <w:name w:val="正文（首行缩进两字）"/>
    <w:basedOn w:val="1"/>
    <w:link w:val="123"/>
    <w:qFormat/>
    <w:uiPriority w:val="0"/>
    <w:rPr>
      <w:kern w:val="0"/>
      <w:sz w:val="20"/>
      <w:szCs w:val="21"/>
      <w:lang w:val="zh-CN"/>
    </w:rPr>
  </w:style>
  <w:style w:type="character" w:customStyle="1" w:styleId="125">
    <w:name w:val="【表中文字】 Char"/>
    <w:link w:val="126"/>
    <w:qFormat/>
    <w:uiPriority w:val="0"/>
    <w:rPr>
      <w:rFonts w:ascii="Times New Roman" w:hAnsi="Times New Roman" w:eastAsia="宋体" w:cs="Times New Roman"/>
      <w:szCs w:val="20"/>
      <w:lang w:val="zh-CN" w:eastAsia="zh-CN"/>
    </w:rPr>
  </w:style>
  <w:style w:type="paragraph" w:customStyle="1" w:styleId="126">
    <w:name w:val="【表中文字】"/>
    <w:basedOn w:val="1"/>
    <w:link w:val="125"/>
    <w:qFormat/>
    <w:uiPriority w:val="0"/>
    <w:pPr>
      <w:jc w:val="center"/>
    </w:pPr>
    <w:rPr>
      <w:kern w:val="0"/>
      <w:sz w:val="20"/>
      <w:szCs w:val="20"/>
      <w:lang w:val="zh-CN"/>
    </w:rPr>
  </w:style>
  <w:style w:type="character" w:customStyle="1" w:styleId="127">
    <w:name w:val="lanse"/>
    <w:basedOn w:val="45"/>
    <w:qFormat/>
    <w:uiPriority w:val="0"/>
  </w:style>
  <w:style w:type="character" w:customStyle="1" w:styleId="128">
    <w:name w:val="【正文】 Char"/>
    <w:link w:val="129"/>
    <w:qFormat/>
    <w:uiPriority w:val="0"/>
    <w:rPr>
      <w:spacing w:val="16"/>
      <w:sz w:val="24"/>
    </w:rPr>
  </w:style>
  <w:style w:type="paragraph" w:customStyle="1" w:styleId="129">
    <w:name w:val="【正文】"/>
    <w:basedOn w:val="1"/>
    <w:link w:val="128"/>
    <w:qFormat/>
    <w:uiPriority w:val="0"/>
    <w:pPr>
      <w:spacing w:line="440" w:lineRule="exact"/>
      <w:ind w:firstLine="544" w:firstLineChars="200"/>
    </w:pPr>
    <w:rPr>
      <w:spacing w:val="16"/>
      <w:kern w:val="0"/>
      <w:szCs w:val="20"/>
      <w:lang w:val="zh-CN"/>
    </w:rPr>
  </w:style>
  <w:style w:type="character" w:customStyle="1" w:styleId="130">
    <w:name w:val="apple-converted-space"/>
    <w:qFormat/>
    <w:uiPriority w:val="0"/>
  </w:style>
  <w:style w:type="character" w:customStyle="1" w:styleId="131">
    <w:name w:val="标题 4 Char"/>
    <w:link w:val="6"/>
    <w:qFormat/>
    <w:uiPriority w:val="0"/>
    <w:rPr>
      <w:rFonts w:cs="Times New Roman"/>
      <w:b/>
      <w:bCs/>
      <w:kern w:val="2"/>
      <w:sz w:val="28"/>
      <w:szCs w:val="28"/>
    </w:rPr>
  </w:style>
  <w:style w:type="character" w:customStyle="1" w:styleId="132">
    <w:name w:val="题注 Char1"/>
    <w:qFormat/>
    <w:uiPriority w:val="0"/>
    <w:rPr>
      <w:rFonts w:eastAsia="仿宋_GB2312"/>
      <w:kern w:val="2"/>
      <w:sz w:val="24"/>
      <w:lang w:val="en-US" w:eastAsia="zh-CN" w:bidi="ar-SA"/>
    </w:rPr>
  </w:style>
  <w:style w:type="character" w:customStyle="1" w:styleId="133">
    <w:name w:val="标题 8 Char"/>
    <w:link w:val="10"/>
    <w:qFormat/>
    <w:uiPriority w:val="0"/>
    <w:rPr>
      <w:rFonts w:ascii="Arial" w:hAnsi="Arial" w:eastAsia="黑体" w:cs="Times New Roman"/>
      <w:color w:val="000000"/>
      <w:kern w:val="0"/>
      <w:sz w:val="24"/>
      <w:szCs w:val="24"/>
    </w:rPr>
  </w:style>
  <w:style w:type="character" w:customStyle="1" w:styleId="134">
    <w:name w:val="标题 9 Char"/>
    <w:link w:val="11"/>
    <w:qFormat/>
    <w:uiPriority w:val="0"/>
    <w:rPr>
      <w:rFonts w:ascii="Times New Roman" w:hAnsi="Times New Roman" w:eastAsia="宋体" w:cs="Times New Roman"/>
      <w:color w:val="000000"/>
      <w:kern w:val="0"/>
      <w:sz w:val="24"/>
      <w:szCs w:val="21"/>
    </w:rPr>
  </w:style>
  <w:style w:type="character" w:customStyle="1" w:styleId="135">
    <w:name w:val="Normal Char"/>
    <w:qFormat/>
    <w:uiPriority w:val="0"/>
    <w:rPr>
      <w:rFonts w:ascii="宋体" w:hAnsi="Times New Roman" w:eastAsia="宋体" w:cs="Times New Roman"/>
      <w:sz w:val="24"/>
      <w:szCs w:val="22"/>
      <w:lang w:bidi="ar-SA"/>
    </w:rPr>
  </w:style>
  <w:style w:type="character" w:customStyle="1" w:styleId="136">
    <w:name w:val="日期 Char"/>
    <w:link w:val="27"/>
    <w:qFormat/>
    <w:uiPriority w:val="99"/>
    <w:rPr>
      <w:rFonts w:ascii="Calibri" w:hAnsi="Calibri" w:eastAsia="宋体" w:cs="Times New Roman"/>
      <w:kern w:val="0"/>
      <w:sz w:val="20"/>
      <w:szCs w:val="20"/>
    </w:rPr>
  </w:style>
  <w:style w:type="character" w:customStyle="1" w:styleId="137">
    <w:name w:val="正文文本缩进 3 Char"/>
    <w:link w:val="38"/>
    <w:qFormat/>
    <w:uiPriority w:val="0"/>
    <w:rPr>
      <w:rFonts w:ascii="Calibri" w:hAnsi="Calibri" w:eastAsia="宋体" w:cs="Times New Roman"/>
      <w:kern w:val="0"/>
      <w:sz w:val="16"/>
      <w:szCs w:val="16"/>
    </w:rPr>
  </w:style>
  <w:style w:type="character" w:customStyle="1" w:styleId="138">
    <w:name w:val="无间隔 Char"/>
    <w:link w:val="139"/>
    <w:qFormat/>
    <w:uiPriority w:val="1"/>
    <w:rPr>
      <w:rFonts w:ascii="Calibri" w:hAnsi="Calibri"/>
      <w:sz w:val="22"/>
      <w:lang w:val="en-US" w:eastAsia="zh-CN" w:bidi="ar-SA"/>
    </w:rPr>
  </w:style>
  <w:style w:type="paragraph" w:customStyle="1" w:styleId="139">
    <w:name w:val="无间隔1"/>
    <w:link w:val="138"/>
    <w:qFormat/>
    <w:uiPriority w:val="1"/>
    <w:rPr>
      <w:rFonts w:ascii="Calibri" w:hAnsi="Calibri" w:eastAsia="宋体" w:cs="Times New Roman"/>
      <w:sz w:val="22"/>
      <w:lang w:val="en-US" w:eastAsia="zh-CN" w:bidi="ar-SA"/>
    </w:rPr>
  </w:style>
  <w:style w:type="character" w:customStyle="1" w:styleId="140">
    <w:name w:val="正文(首行缩进) Char"/>
    <w:link w:val="141"/>
    <w:qFormat/>
    <w:uiPriority w:val="0"/>
    <w:rPr>
      <w:snapToGrid/>
      <w:sz w:val="24"/>
      <w:szCs w:val="24"/>
    </w:rPr>
  </w:style>
  <w:style w:type="paragraph" w:customStyle="1" w:styleId="141">
    <w:name w:val="正文(首行缩进)"/>
    <w:basedOn w:val="1"/>
    <w:link w:val="140"/>
    <w:qFormat/>
    <w:uiPriority w:val="0"/>
    <w:pPr>
      <w:adjustRightInd w:val="0"/>
      <w:snapToGrid w:val="0"/>
      <w:spacing w:line="360" w:lineRule="auto"/>
      <w:ind w:firstLine="200" w:firstLineChars="200"/>
    </w:pPr>
    <w:rPr>
      <w:kern w:val="0"/>
      <w:szCs w:val="24"/>
      <w:lang w:val="zh-CN"/>
    </w:rPr>
  </w:style>
  <w:style w:type="character" w:customStyle="1" w:styleId="142">
    <w:name w:val="正文文本_"/>
    <w:qFormat/>
    <w:uiPriority w:val="0"/>
    <w:rPr>
      <w:rFonts w:ascii="MingLiU" w:eastAsia="MingLiU" w:cs="MingLiU"/>
      <w:sz w:val="23"/>
      <w:szCs w:val="23"/>
      <w:u w:val="none"/>
    </w:rPr>
  </w:style>
  <w:style w:type="character" w:customStyle="1" w:styleId="143">
    <w:name w:val="正文文本 3 Char1"/>
    <w:semiHidden/>
    <w:qFormat/>
    <w:uiPriority w:val="99"/>
    <w:rPr>
      <w:rFonts w:ascii="Calibri" w:hAnsi="Calibri" w:eastAsia="宋体" w:cs="Times New Roman"/>
      <w:sz w:val="16"/>
      <w:szCs w:val="16"/>
    </w:rPr>
  </w:style>
  <w:style w:type="character" w:customStyle="1" w:styleId="144">
    <w:name w:val="标题 1 Char"/>
    <w:link w:val="3"/>
    <w:qFormat/>
    <w:uiPriority w:val="9"/>
    <w:rPr>
      <w:b/>
      <w:bCs/>
      <w:kern w:val="44"/>
      <w:sz w:val="44"/>
      <w:szCs w:val="44"/>
    </w:rPr>
  </w:style>
  <w:style w:type="character" w:customStyle="1" w:styleId="145">
    <w:name w:val="标题 Char"/>
    <w:link w:val="44"/>
    <w:qFormat/>
    <w:uiPriority w:val="10"/>
    <w:rPr>
      <w:bCs/>
      <w:kern w:val="2"/>
      <w:sz w:val="21"/>
      <w:szCs w:val="32"/>
    </w:rPr>
  </w:style>
  <w:style w:type="character" w:customStyle="1" w:styleId="146">
    <w:name w:val="正文文本 Char1"/>
    <w:qFormat/>
    <w:uiPriority w:val="99"/>
    <w:rPr>
      <w:rFonts w:ascii="Times New Roman" w:hAnsi="Times New Roman" w:eastAsia="宋体" w:cs="Times New Roman"/>
    </w:rPr>
  </w:style>
  <w:style w:type="character" w:customStyle="1" w:styleId="147">
    <w:name w:val="正文缩进 Char"/>
    <w:link w:val="17"/>
    <w:qFormat/>
    <w:uiPriority w:val="0"/>
    <w:rPr>
      <w:kern w:val="2"/>
      <w:sz w:val="24"/>
    </w:rPr>
  </w:style>
  <w:style w:type="character" w:customStyle="1" w:styleId="148">
    <w:name w:val="正缩1 Char Char"/>
    <w:link w:val="149"/>
    <w:qFormat/>
    <w:uiPriority w:val="0"/>
    <w:rPr>
      <w:rFonts w:ascii="Times New Roman" w:hAnsi="Times New Roman" w:eastAsia="仿宋_GB2312" w:cs="Times New Roman"/>
      <w:snapToGrid/>
      <w:color w:val="000000"/>
      <w:kern w:val="0"/>
      <w:sz w:val="28"/>
      <w:szCs w:val="20"/>
      <w:lang w:val="zh-CN" w:eastAsia="zh-CN"/>
    </w:rPr>
  </w:style>
  <w:style w:type="paragraph" w:customStyle="1" w:styleId="149">
    <w:name w:val="正缩1 Char"/>
    <w:basedOn w:val="1"/>
    <w:link w:val="148"/>
    <w:qFormat/>
    <w:uiPriority w:val="0"/>
    <w:pPr>
      <w:adjustRightInd w:val="0"/>
      <w:snapToGrid w:val="0"/>
      <w:spacing w:line="500" w:lineRule="exact"/>
      <w:ind w:firstLine="567"/>
    </w:pPr>
    <w:rPr>
      <w:rFonts w:eastAsia="仿宋_GB2312"/>
      <w:color w:val="000000"/>
      <w:kern w:val="0"/>
      <w:sz w:val="28"/>
      <w:szCs w:val="20"/>
      <w:lang w:val="zh-CN"/>
    </w:rPr>
  </w:style>
  <w:style w:type="character" w:customStyle="1" w:styleId="150">
    <w:name w:val="【正文】 Char Char"/>
    <w:qFormat/>
    <w:uiPriority w:val="0"/>
    <w:rPr>
      <w:spacing w:val="16"/>
      <w:kern w:val="2"/>
      <w:sz w:val="24"/>
      <w:lang w:bidi="ar-SA"/>
    </w:rPr>
  </w:style>
  <w:style w:type="character" w:customStyle="1" w:styleId="151">
    <w:name w:val="标题 6 Char"/>
    <w:link w:val="8"/>
    <w:qFormat/>
    <w:uiPriority w:val="0"/>
    <w:rPr>
      <w:rFonts w:ascii="Arial" w:hAnsi="Arial" w:eastAsia="黑体" w:cs="Times New Roman"/>
      <w:b/>
      <w:bCs/>
      <w:color w:val="000000"/>
      <w:kern w:val="0"/>
      <w:sz w:val="24"/>
      <w:szCs w:val="24"/>
    </w:rPr>
  </w:style>
  <w:style w:type="character" w:customStyle="1" w:styleId="152">
    <w:name w:val="正文内容 Char Char"/>
    <w:link w:val="153"/>
    <w:qFormat/>
    <w:uiPriority w:val="0"/>
    <w:rPr>
      <w:rFonts w:ascii="Times New Roman" w:hAnsi="Times New Roman" w:eastAsia="宋体" w:cs="Times New Roman"/>
      <w:kern w:val="0"/>
      <w:sz w:val="28"/>
      <w:szCs w:val="28"/>
      <w:lang w:val="zh-CN" w:eastAsia="zh-CN"/>
    </w:rPr>
  </w:style>
  <w:style w:type="paragraph" w:customStyle="1" w:styleId="153">
    <w:name w:val="正文内容"/>
    <w:basedOn w:val="1"/>
    <w:link w:val="152"/>
    <w:qFormat/>
    <w:uiPriority w:val="0"/>
    <w:pPr>
      <w:overflowPunct w:val="0"/>
      <w:topLinePunct/>
      <w:spacing w:beforeLines="50" w:line="480" w:lineRule="exact"/>
      <w:ind w:firstLine="560" w:firstLineChars="200"/>
    </w:pPr>
    <w:rPr>
      <w:kern w:val="0"/>
      <w:sz w:val="28"/>
      <w:szCs w:val="28"/>
      <w:lang w:val="zh-CN"/>
    </w:rPr>
  </w:style>
  <w:style w:type="character" w:customStyle="1" w:styleId="154">
    <w:name w:val="style81"/>
    <w:qFormat/>
    <w:uiPriority w:val="0"/>
    <w:rPr>
      <w:rFonts w:ascii="宋体" w:hAnsi="宋体" w:eastAsia="黑体" w:cs="宋体"/>
      <w:kern w:val="2"/>
      <w:sz w:val="24"/>
      <w:szCs w:val="24"/>
      <w:lang w:val="en-US" w:eastAsia="zh-CN" w:bidi="ar-SA"/>
    </w:rPr>
  </w:style>
  <w:style w:type="character" w:customStyle="1" w:styleId="155">
    <w:name w:val="Char Char17"/>
    <w:qFormat/>
    <w:uiPriority w:val="0"/>
    <w:rPr>
      <w:rFonts w:ascii="Times New Roman" w:hAnsi="Times New Roman" w:eastAsia="黑体" w:cs="Times New Roman"/>
      <w:bCs/>
      <w:color w:val="000000"/>
      <w:sz w:val="28"/>
      <w:szCs w:val="28"/>
    </w:rPr>
  </w:style>
  <w:style w:type="character" w:customStyle="1" w:styleId="156">
    <w:name w:val="批注主题 Char"/>
    <w:link w:val="12"/>
    <w:qFormat/>
    <w:uiPriority w:val="0"/>
    <w:rPr>
      <w:rFonts w:ascii="Calibri" w:hAnsi="Calibri" w:eastAsia="宋体" w:cs="Times New Roman"/>
      <w:b/>
      <w:bCs/>
    </w:rPr>
  </w:style>
  <w:style w:type="character" w:customStyle="1" w:styleId="157">
    <w:name w:val="HTML 预设格式 Char"/>
    <w:link w:val="42"/>
    <w:qFormat/>
    <w:uiPriority w:val="99"/>
    <w:rPr>
      <w:rFonts w:ascii="宋体" w:hAnsi="宋体" w:eastAsia="宋体" w:cs="Times New Roman"/>
      <w:kern w:val="0"/>
      <w:sz w:val="24"/>
      <w:szCs w:val="24"/>
    </w:rPr>
  </w:style>
  <w:style w:type="paragraph" w:customStyle="1" w:styleId="158">
    <w:name w:val="style1"/>
    <w:basedOn w:val="1"/>
    <w:qFormat/>
    <w:uiPriority w:val="0"/>
    <w:pPr>
      <w:widowControl/>
      <w:spacing w:before="100" w:beforeAutospacing="1" w:after="100" w:afterAutospacing="1"/>
      <w:jc w:val="left"/>
    </w:pPr>
    <w:rPr>
      <w:rFonts w:ascii="宋体" w:hAnsi="宋体" w:cs="宋体"/>
      <w:color w:val="333333"/>
      <w:kern w:val="0"/>
      <w:sz w:val="19"/>
      <w:szCs w:val="19"/>
    </w:rPr>
  </w:style>
  <w:style w:type="paragraph" w:customStyle="1" w:styleId="159">
    <w:name w:val="表格式"/>
    <w:basedOn w:val="36"/>
    <w:qFormat/>
    <w:uiPriority w:val="0"/>
    <w:pPr>
      <w:spacing w:line="480" w:lineRule="exact"/>
      <w:ind w:left="0" w:firstLine="0" w:firstLineChars="0"/>
      <w:jc w:val="center"/>
      <w:textAlignment w:val="center"/>
    </w:pPr>
    <w:rPr>
      <w:rFonts w:ascii="宋体" w:hAnsi="宋体"/>
      <w:szCs w:val="20"/>
    </w:rPr>
  </w:style>
  <w:style w:type="paragraph" w:styleId="160">
    <w:name w:val="No Spacing"/>
    <w:qFormat/>
    <w:uiPriority w:val="1"/>
    <w:pPr>
      <w:widowControl w:val="0"/>
      <w:wordWrap w:val="0"/>
      <w:ind w:firstLine="200" w:firstLineChars="200"/>
      <w:jc w:val="both"/>
    </w:pPr>
    <w:rPr>
      <w:rFonts w:ascii="Times New Roman" w:hAnsi="Times New Roman" w:eastAsia="仿宋_GB2312" w:cs="Times New Roman"/>
      <w:kern w:val="2"/>
      <w:sz w:val="24"/>
      <w:szCs w:val="22"/>
      <w:lang w:val="en-US" w:eastAsia="zh-CN" w:bidi="ar-SA"/>
    </w:rPr>
  </w:style>
  <w:style w:type="paragraph" w:customStyle="1" w:styleId="161">
    <w:name w:val="公式"/>
    <w:basedOn w:val="1"/>
    <w:qFormat/>
    <w:uiPriority w:val="0"/>
    <w:pPr>
      <w:spacing w:line="312" w:lineRule="auto"/>
      <w:jc w:val="right"/>
    </w:pPr>
    <w:rPr>
      <w:rFonts w:ascii="宋体" w:hAnsi="宋体"/>
      <w:szCs w:val="24"/>
    </w:rPr>
  </w:style>
  <w:style w:type="paragraph" w:customStyle="1" w:styleId="162">
    <w:name w:val="纯文本2"/>
    <w:basedOn w:val="1"/>
    <w:qFormat/>
    <w:uiPriority w:val="0"/>
    <w:rPr>
      <w:rFonts w:ascii="宋体" w:hAnsi="Courier New"/>
      <w:kern w:val="0"/>
      <w:sz w:val="20"/>
      <w:szCs w:val="21"/>
    </w:rPr>
  </w:style>
  <w:style w:type="paragraph" w:customStyle="1" w:styleId="163">
    <w:name w:val="Char Char Char Char Char Char Char Char Char Char Char Char Char Char Char Char Char Char Char Char Char1 Char"/>
    <w:basedOn w:val="1"/>
    <w:qFormat/>
    <w:uiPriority w:val="0"/>
    <w:pPr>
      <w:spacing w:line="360" w:lineRule="auto"/>
      <w:ind w:firstLine="200" w:firstLineChars="200"/>
    </w:pPr>
    <w:rPr>
      <w:rFonts w:ascii="宋体" w:hAnsi="宋体" w:cs="宋体"/>
      <w:szCs w:val="24"/>
    </w:rPr>
  </w:style>
  <w:style w:type="paragraph" w:customStyle="1" w:styleId="164">
    <w:name w:val="正文5"/>
    <w:qFormat/>
    <w:uiPriority w:val="0"/>
    <w:pPr>
      <w:widowControl w:val="0"/>
      <w:adjustRightInd w:val="0"/>
      <w:spacing w:line="360" w:lineRule="atLeast"/>
    </w:pPr>
    <w:rPr>
      <w:rFonts w:ascii="宋体" w:hAnsi="Times New Roman" w:eastAsia="宋体" w:cs="Times New Roman"/>
      <w:kern w:val="2"/>
      <w:sz w:val="24"/>
      <w:szCs w:val="22"/>
      <w:lang w:val="en-US" w:eastAsia="zh-CN" w:bidi="ar-SA"/>
    </w:rPr>
  </w:style>
  <w:style w:type="paragraph" w:customStyle="1" w:styleId="165">
    <w:name w:val="表格标题"/>
    <w:basedOn w:val="1"/>
    <w:link w:val="214"/>
    <w:qFormat/>
    <w:uiPriority w:val="0"/>
    <w:pPr>
      <w:keepNext/>
      <w:jc w:val="center"/>
    </w:pPr>
    <w:rPr>
      <w:b/>
      <w:kern w:val="0"/>
      <w:sz w:val="21"/>
      <w:szCs w:val="24"/>
      <w:lang w:val="zh-CN"/>
    </w:rPr>
  </w:style>
  <w:style w:type="paragraph" w:customStyle="1" w:styleId="166">
    <w:name w:val="TOC 标题2"/>
    <w:basedOn w:val="3"/>
    <w:next w:val="1"/>
    <w:qFormat/>
    <w:uiPriority w:val="39"/>
    <w:pPr>
      <w:widowControl/>
      <w:spacing w:before="480" w:after="0" w:line="276" w:lineRule="auto"/>
      <w:jc w:val="left"/>
      <w:outlineLvl w:val="9"/>
    </w:pPr>
    <w:rPr>
      <w:rFonts w:ascii="Cambria" w:hAnsi="Cambria"/>
      <w:color w:val="365F91"/>
      <w:kern w:val="0"/>
      <w:sz w:val="32"/>
      <w:szCs w:val="28"/>
    </w:rPr>
  </w:style>
  <w:style w:type="paragraph" w:customStyle="1" w:styleId="167">
    <w:name w:val="无间隔11"/>
    <w:qFormat/>
    <w:uiPriority w:val="0"/>
    <w:rPr>
      <w:rFonts w:ascii="Calibri" w:hAnsi="Calibri" w:eastAsia="宋体" w:cs="Times New Roman"/>
      <w:sz w:val="22"/>
      <w:lang w:val="en-US" w:eastAsia="zh-CN" w:bidi="ar-SA"/>
    </w:rPr>
  </w:style>
  <w:style w:type="paragraph" w:customStyle="1" w:styleId="168">
    <w:name w:val="正文3"/>
    <w:qFormat/>
    <w:uiPriority w:val="0"/>
    <w:pPr>
      <w:widowControl w:val="0"/>
      <w:adjustRightInd w:val="0"/>
      <w:spacing w:line="360" w:lineRule="atLeast"/>
    </w:pPr>
    <w:rPr>
      <w:rFonts w:ascii="宋体" w:hAnsi="Times New Roman" w:eastAsia="宋体" w:cs="Times New Roman"/>
      <w:sz w:val="24"/>
      <w:lang w:val="en-US" w:eastAsia="zh-CN" w:bidi="ar-SA"/>
    </w:rPr>
  </w:style>
  <w:style w:type="paragraph" w:customStyle="1" w:styleId="169">
    <w:name w:val="表样式"/>
    <w:basedOn w:val="1"/>
    <w:qFormat/>
    <w:uiPriority w:val="0"/>
    <w:pPr>
      <w:jc w:val="center"/>
    </w:pPr>
    <w:rPr>
      <w:rFonts w:ascii="仿宋_GB2312" w:eastAsia="黑体"/>
      <w:szCs w:val="24"/>
    </w:rPr>
  </w:style>
  <w:style w:type="paragraph" w:customStyle="1" w:styleId="170">
    <w:name w:val="2"/>
    <w:basedOn w:val="1"/>
    <w:next w:val="28"/>
    <w:qFormat/>
    <w:uiPriority w:val="0"/>
    <w:pPr>
      <w:spacing w:line="420" w:lineRule="exact"/>
      <w:ind w:firstLine="480"/>
    </w:pPr>
    <w:rPr>
      <w:szCs w:val="24"/>
    </w:rPr>
  </w:style>
  <w:style w:type="paragraph" w:customStyle="1" w:styleId="171">
    <w:name w:val="TOC 标题1"/>
    <w:basedOn w:val="3"/>
    <w:next w:val="1"/>
    <w:qFormat/>
    <w:uiPriority w:val="0"/>
    <w:pPr>
      <w:widowControl/>
      <w:spacing w:before="260" w:after="260"/>
      <w:jc w:val="left"/>
      <w:outlineLvl w:val="1"/>
    </w:pPr>
    <w:rPr>
      <w:color w:val="000000"/>
      <w:kern w:val="0"/>
      <w:sz w:val="30"/>
      <w:szCs w:val="28"/>
    </w:rPr>
  </w:style>
  <w:style w:type="paragraph" w:customStyle="1" w:styleId="172">
    <w:name w:val="表体"/>
    <w:basedOn w:val="1"/>
    <w:qFormat/>
    <w:uiPriority w:val="0"/>
    <w:pPr>
      <w:adjustRightInd w:val="0"/>
      <w:snapToGrid w:val="0"/>
      <w:spacing w:before="62" w:beforeLines="20" w:after="62" w:afterLines="20"/>
      <w:jc w:val="center"/>
    </w:pPr>
    <w:rPr>
      <w:szCs w:val="24"/>
    </w:rPr>
  </w:style>
  <w:style w:type="paragraph" w:customStyle="1" w:styleId="173">
    <w:name w:val="表格正文样式"/>
    <w:basedOn w:val="1"/>
    <w:qFormat/>
    <w:uiPriority w:val="0"/>
    <w:pPr>
      <w:widowControl/>
      <w:jc w:val="center"/>
    </w:pPr>
    <w:rPr>
      <w:kern w:val="0"/>
      <w:lang w:bidi="en-US"/>
    </w:rPr>
  </w:style>
  <w:style w:type="paragraph" w:customStyle="1" w:styleId="174">
    <w:name w:val="表头"/>
    <w:basedOn w:val="1"/>
    <w:qFormat/>
    <w:uiPriority w:val="0"/>
    <w:pPr>
      <w:keepNext/>
      <w:adjustRightInd w:val="0"/>
      <w:snapToGrid w:val="0"/>
      <w:jc w:val="center"/>
    </w:pPr>
    <w:rPr>
      <w:b/>
      <w:kern w:val="0"/>
    </w:rPr>
  </w:style>
  <w:style w:type="paragraph" w:customStyle="1" w:styleId="175">
    <w:name w:val="日期3"/>
    <w:basedOn w:val="1"/>
    <w:next w:val="1"/>
    <w:qFormat/>
    <w:uiPriority w:val="0"/>
    <w:pPr>
      <w:ind w:left="100" w:leftChars="2500"/>
    </w:pPr>
    <w:rPr>
      <w:rFonts w:ascii="Calibri" w:hAnsi="Calibri"/>
      <w:kern w:val="0"/>
      <w:sz w:val="20"/>
      <w:szCs w:val="20"/>
    </w:rPr>
  </w:style>
  <w:style w:type="paragraph" w:customStyle="1" w:styleId="176">
    <w:name w:val="图"/>
    <w:basedOn w:val="1"/>
    <w:qFormat/>
    <w:uiPriority w:val="0"/>
    <w:pPr>
      <w:jc w:val="center"/>
    </w:pPr>
    <w:rPr>
      <w:rFonts w:eastAsia="Times New Roman"/>
      <w:b/>
      <w:sz w:val="21"/>
    </w:rPr>
  </w:style>
  <w:style w:type="paragraph" w:customStyle="1" w:styleId="177">
    <w:name w:val="默认段落字体 Para Char Char Char Char"/>
    <w:basedOn w:val="1"/>
    <w:qFormat/>
    <w:uiPriority w:val="0"/>
    <w:rPr>
      <w:szCs w:val="24"/>
    </w:rPr>
  </w:style>
  <w:style w:type="paragraph" w:customStyle="1" w:styleId="178">
    <w:name w:val="列出段落1"/>
    <w:basedOn w:val="1"/>
    <w:qFormat/>
    <w:uiPriority w:val="0"/>
    <w:pPr>
      <w:ind w:firstLine="420" w:firstLineChars="200"/>
    </w:pPr>
    <w:rPr>
      <w:rFonts w:ascii="Calibri" w:hAnsi="Calibri"/>
    </w:rPr>
  </w:style>
  <w:style w:type="paragraph" w:customStyle="1" w:styleId="179">
    <w:name w:val="引用3"/>
    <w:basedOn w:val="1"/>
    <w:next w:val="1"/>
    <w:qFormat/>
    <w:uiPriority w:val="0"/>
    <w:pPr>
      <w:spacing w:beforeLines="50"/>
      <w:jc w:val="center"/>
    </w:pPr>
    <w:rPr>
      <w:b/>
      <w:iCs/>
      <w:color w:val="000000"/>
    </w:rPr>
  </w:style>
  <w:style w:type="paragraph" w:customStyle="1" w:styleId="180">
    <w:name w:val="正文样式"/>
    <w:basedOn w:val="1"/>
    <w:qFormat/>
    <w:uiPriority w:val="0"/>
    <w:pPr>
      <w:spacing w:line="460" w:lineRule="exact"/>
      <w:ind w:firstLine="200" w:firstLineChars="200"/>
    </w:pPr>
    <w:rPr>
      <w:rFonts w:ascii="宋体" w:hAnsi="宋体"/>
      <w:szCs w:val="24"/>
    </w:rPr>
  </w:style>
  <w:style w:type="paragraph" w:customStyle="1" w:styleId="181">
    <w:name w:val="列出段落3"/>
    <w:basedOn w:val="1"/>
    <w:qFormat/>
    <w:uiPriority w:val="0"/>
    <w:pPr>
      <w:ind w:firstLine="420" w:firstLineChars="200"/>
    </w:pPr>
    <w:rPr>
      <w:rFonts w:ascii="Calibri" w:hAnsi="Calibri"/>
    </w:rPr>
  </w:style>
  <w:style w:type="paragraph" w:customStyle="1" w:styleId="182">
    <w:name w:val="日期1"/>
    <w:basedOn w:val="1"/>
    <w:next w:val="1"/>
    <w:qFormat/>
    <w:uiPriority w:val="0"/>
    <w:pPr>
      <w:ind w:left="100" w:leftChars="2500"/>
    </w:pPr>
    <w:rPr>
      <w:rFonts w:ascii="Calibri" w:hAnsi="Calibri"/>
      <w:kern w:val="0"/>
      <w:sz w:val="20"/>
      <w:szCs w:val="20"/>
    </w:rPr>
  </w:style>
  <w:style w:type="paragraph" w:customStyle="1" w:styleId="183">
    <w:name w:val="0"/>
    <w:basedOn w:val="1"/>
    <w:qFormat/>
    <w:uiPriority w:val="0"/>
    <w:pPr>
      <w:widowControl/>
      <w:snapToGrid w:val="0"/>
      <w:spacing w:line="365" w:lineRule="atLeast"/>
      <w:ind w:left="1"/>
      <w:textAlignment w:val="bottom"/>
    </w:pPr>
    <w:rPr>
      <w:kern w:val="0"/>
      <w:sz w:val="20"/>
      <w:szCs w:val="20"/>
    </w:rPr>
  </w:style>
  <w:style w:type="paragraph" w:customStyle="1" w:styleId="184">
    <w:name w:val="中文报告书样式"/>
    <w:basedOn w:val="1"/>
    <w:qFormat/>
    <w:uiPriority w:val="0"/>
    <w:pPr>
      <w:adjustRightInd w:val="0"/>
      <w:spacing w:line="480" w:lineRule="atLeast"/>
      <w:ind w:firstLine="482"/>
      <w:textAlignment w:val="baseline"/>
    </w:pPr>
    <w:rPr>
      <w:kern w:val="24"/>
      <w:szCs w:val="20"/>
    </w:rPr>
  </w:style>
  <w:style w:type="paragraph" w:customStyle="1" w:styleId="185">
    <w:name w:val="尾注文本1"/>
    <w:basedOn w:val="186"/>
    <w:qFormat/>
    <w:uiPriority w:val="0"/>
    <w:rPr>
      <w:sz w:val="21"/>
    </w:rPr>
  </w:style>
  <w:style w:type="paragraph" w:customStyle="1" w:styleId="186">
    <w:name w:val="正文2"/>
    <w:qFormat/>
    <w:uiPriority w:val="0"/>
    <w:pPr>
      <w:widowControl w:val="0"/>
      <w:adjustRightInd w:val="0"/>
      <w:spacing w:line="360" w:lineRule="atLeast"/>
      <w:textAlignment w:val="baseline"/>
    </w:pPr>
    <w:rPr>
      <w:rFonts w:ascii="宋体" w:hAnsi="Times New Roman" w:eastAsia="宋体" w:cs="Times New Roman"/>
      <w:sz w:val="24"/>
      <w:lang w:val="en-US" w:eastAsia="zh-CN" w:bidi="ar-SA"/>
    </w:rPr>
  </w:style>
  <w:style w:type="paragraph" w:customStyle="1" w:styleId="187">
    <w:name w:val="正文（我）"/>
    <w:basedOn w:val="1"/>
    <w:qFormat/>
    <w:uiPriority w:val="0"/>
    <w:pPr>
      <w:ind w:firstLine="200" w:firstLineChars="200"/>
    </w:pPr>
    <w:rPr>
      <w:sz w:val="28"/>
      <w:szCs w:val="24"/>
    </w:rPr>
  </w:style>
  <w:style w:type="paragraph" w:customStyle="1" w:styleId="188">
    <w:name w:val="表内文"/>
    <w:basedOn w:val="1"/>
    <w:qFormat/>
    <w:uiPriority w:val="0"/>
    <w:pPr>
      <w:spacing w:line="320" w:lineRule="atLeast"/>
      <w:jc w:val="center"/>
    </w:pPr>
    <w:rPr>
      <w:szCs w:val="20"/>
    </w:rPr>
  </w:style>
  <w:style w:type="paragraph" w:customStyle="1" w:styleId="189">
    <w:name w:val="Char1"/>
    <w:basedOn w:val="1"/>
    <w:qFormat/>
    <w:uiPriority w:val="0"/>
    <w:pPr>
      <w:ind w:left="510"/>
    </w:pPr>
    <w:rPr>
      <w:szCs w:val="21"/>
    </w:rPr>
  </w:style>
  <w:style w:type="paragraph" w:customStyle="1" w:styleId="190">
    <w:name w:val="reader-word-layer"/>
    <w:basedOn w:val="1"/>
    <w:qFormat/>
    <w:uiPriority w:val="0"/>
    <w:pPr>
      <w:widowControl/>
      <w:spacing w:before="100" w:beforeAutospacing="1" w:after="100" w:afterAutospacing="1" w:line="240" w:lineRule="auto"/>
      <w:jc w:val="left"/>
    </w:pPr>
    <w:rPr>
      <w:rFonts w:ascii="宋体" w:hAnsi="宋体" w:cs="宋体"/>
      <w:kern w:val="0"/>
      <w:szCs w:val="24"/>
    </w:rPr>
  </w:style>
  <w:style w:type="paragraph" w:customStyle="1" w:styleId="191">
    <w:name w:val="Char Char Char1 Char Char Char Char Char Char1 Char Char Char Char Char Char"/>
    <w:basedOn w:val="1"/>
    <w:qFormat/>
    <w:uiPriority w:val="0"/>
    <w:pPr>
      <w:snapToGrid w:val="0"/>
      <w:spacing w:line="360" w:lineRule="auto"/>
      <w:ind w:firstLine="200" w:firstLineChars="200"/>
    </w:pPr>
    <w:rPr>
      <w:rFonts w:eastAsia="仿宋_GB2312"/>
      <w:szCs w:val="24"/>
    </w:rPr>
  </w:style>
  <w:style w:type="paragraph" w:customStyle="1" w:styleId="192">
    <w:name w:val="纯文本1"/>
    <w:basedOn w:val="1"/>
    <w:qFormat/>
    <w:uiPriority w:val="0"/>
    <w:pPr>
      <w:adjustRightInd w:val="0"/>
    </w:pPr>
    <w:rPr>
      <w:rFonts w:hint="eastAsia" w:ascii="宋体" w:hAnsi="Courier New"/>
      <w:szCs w:val="20"/>
    </w:rPr>
  </w:style>
  <w:style w:type="paragraph" w:customStyle="1" w:styleId="193">
    <w:name w:val="标题4"/>
    <w:basedOn w:val="1"/>
    <w:link w:val="229"/>
    <w:qFormat/>
    <w:uiPriority w:val="0"/>
    <w:pPr>
      <w:spacing w:line="400" w:lineRule="exact"/>
    </w:pPr>
    <w:rPr>
      <w:rFonts w:hAnsi="宋体"/>
      <w:b/>
      <w:color w:val="FF0000"/>
      <w:szCs w:val="24"/>
    </w:rPr>
  </w:style>
  <w:style w:type="paragraph" w:customStyle="1" w:styleId="194">
    <w:name w:val="无间隔2"/>
    <w:qFormat/>
    <w:uiPriority w:val="0"/>
    <w:rPr>
      <w:rFonts w:ascii="Calibri" w:hAnsi="Calibri" w:eastAsia="宋体" w:cs="Times New Roman"/>
      <w:sz w:val="22"/>
      <w:lang w:val="en-US" w:eastAsia="zh-CN" w:bidi="ar-SA"/>
    </w:rPr>
  </w:style>
  <w:style w:type="paragraph" w:customStyle="1" w:styleId="195">
    <w:name w:val="Char"/>
    <w:basedOn w:val="1"/>
    <w:next w:val="2"/>
    <w:qFormat/>
    <w:uiPriority w:val="0"/>
    <w:pPr>
      <w:spacing w:line="360" w:lineRule="auto"/>
      <w:ind w:firstLine="200" w:firstLineChars="200"/>
      <w:jc w:val="center"/>
    </w:pPr>
    <w:rPr>
      <w:rFonts w:ascii="宋体" w:hAnsi="宋体" w:cs="宋体"/>
      <w:b/>
      <w:sz w:val="30"/>
      <w:szCs w:val="30"/>
    </w:rPr>
  </w:style>
  <w:style w:type="paragraph" w:customStyle="1" w:styleId="196">
    <w:name w:val="Char2"/>
    <w:basedOn w:val="1"/>
    <w:qFormat/>
    <w:uiPriority w:val="0"/>
    <w:pPr>
      <w:spacing w:line="360" w:lineRule="auto"/>
      <w:ind w:firstLine="200" w:firstLineChars="200"/>
    </w:pPr>
    <w:rPr>
      <w:rFonts w:ascii="宋体" w:hAnsi="宋体" w:cs="宋体"/>
      <w:szCs w:val="24"/>
    </w:rPr>
  </w:style>
  <w:style w:type="paragraph" w:customStyle="1" w:styleId="197">
    <w:name w:val="Char Char Char1 Char Char Char Char Char Char Char Char"/>
    <w:basedOn w:val="1"/>
    <w:qFormat/>
    <w:uiPriority w:val="0"/>
    <w:pPr>
      <w:spacing w:line="360" w:lineRule="auto"/>
      <w:ind w:firstLine="200" w:firstLineChars="200"/>
    </w:pPr>
    <w:rPr>
      <w:rFonts w:ascii="宋体" w:hAnsi="宋体" w:cs="宋体"/>
      <w:szCs w:val="24"/>
    </w:rPr>
  </w:style>
  <w:style w:type="paragraph" w:customStyle="1" w:styleId="198">
    <w:name w:val="列出段落2"/>
    <w:basedOn w:val="1"/>
    <w:qFormat/>
    <w:uiPriority w:val="0"/>
    <w:pPr>
      <w:ind w:firstLine="420" w:firstLineChars="200"/>
    </w:pPr>
    <w:rPr>
      <w:rFonts w:ascii="Calibri" w:hAnsi="Calibri"/>
    </w:rPr>
  </w:style>
  <w:style w:type="paragraph" w:customStyle="1" w:styleId="199">
    <w:name w:val="Char Char Char Char Char Char Char Char Char Char Char Char Char Char Char Char"/>
    <w:basedOn w:val="1"/>
    <w:qFormat/>
    <w:uiPriority w:val="0"/>
    <w:pPr>
      <w:spacing w:line="360" w:lineRule="auto"/>
      <w:ind w:firstLine="200" w:firstLineChars="200"/>
    </w:pPr>
    <w:rPr>
      <w:rFonts w:ascii="宋体" w:hAnsi="宋体" w:cs="宋体"/>
      <w:szCs w:val="24"/>
    </w:rPr>
  </w:style>
  <w:style w:type="paragraph" w:customStyle="1" w:styleId="200">
    <w:name w:val="纯文本4"/>
    <w:basedOn w:val="1"/>
    <w:qFormat/>
    <w:uiPriority w:val="0"/>
    <w:rPr>
      <w:rFonts w:ascii="宋体" w:hAnsi="Courier New"/>
      <w:kern w:val="0"/>
      <w:sz w:val="20"/>
      <w:szCs w:val="21"/>
    </w:rPr>
  </w:style>
  <w:style w:type="paragraph" w:customStyle="1" w:styleId="201">
    <w:name w:val="样式5"/>
    <w:basedOn w:val="4"/>
    <w:qFormat/>
    <w:uiPriority w:val="0"/>
    <w:pPr>
      <w:snapToGrid w:val="0"/>
      <w:spacing w:before="120" w:beforeLines="50" w:after="0" w:line="500" w:lineRule="exact"/>
      <w:jc w:val="left"/>
    </w:pPr>
    <w:rPr>
      <w:rFonts w:ascii="黑体" w:hAnsi="宋体" w:eastAsia="黑体"/>
      <w:bCs w:val="0"/>
      <w:sz w:val="30"/>
      <w:szCs w:val="30"/>
    </w:rPr>
  </w:style>
  <w:style w:type="paragraph" w:customStyle="1" w:styleId="202">
    <w:name w:val="日期2"/>
    <w:basedOn w:val="1"/>
    <w:next w:val="1"/>
    <w:qFormat/>
    <w:uiPriority w:val="0"/>
    <w:pPr>
      <w:ind w:left="100" w:leftChars="2500"/>
    </w:pPr>
    <w:rPr>
      <w:rFonts w:ascii="Calibri" w:hAnsi="Calibri"/>
      <w:kern w:val="0"/>
      <w:sz w:val="20"/>
      <w:szCs w:val="20"/>
    </w:rPr>
  </w:style>
  <w:style w:type="paragraph" w:customStyle="1" w:styleId="203">
    <w:name w:val="纯文本5"/>
    <w:basedOn w:val="1"/>
    <w:qFormat/>
    <w:uiPriority w:val="0"/>
    <w:rPr>
      <w:rFonts w:ascii="宋体" w:hAnsi="Courier New"/>
      <w:kern w:val="0"/>
      <w:sz w:val="20"/>
      <w:szCs w:val="21"/>
    </w:rPr>
  </w:style>
  <w:style w:type="paragraph" w:customStyle="1" w:styleId="204">
    <w:name w:val="表中文字（1）"/>
    <w:basedOn w:val="1"/>
    <w:qFormat/>
    <w:uiPriority w:val="0"/>
    <w:pPr>
      <w:spacing w:line="240" w:lineRule="auto"/>
      <w:jc w:val="center"/>
    </w:pPr>
    <w:rPr>
      <w:sz w:val="21"/>
    </w:rPr>
  </w:style>
  <w:style w:type="paragraph" w:customStyle="1" w:styleId="205">
    <w:name w:val="无间隔3"/>
    <w:qFormat/>
    <w:uiPriority w:val="0"/>
    <w:rPr>
      <w:rFonts w:ascii="Calibri" w:hAnsi="Calibri" w:eastAsia="宋体" w:cs="Times New Roman"/>
      <w:sz w:val="22"/>
      <w:lang w:val="en-US" w:eastAsia="zh-CN" w:bidi="ar-SA"/>
    </w:rPr>
  </w:style>
  <w:style w:type="paragraph" w:customStyle="1" w:styleId="206">
    <w:name w:val="表中文字"/>
    <w:basedOn w:val="1"/>
    <w:qFormat/>
    <w:uiPriority w:val="0"/>
    <w:pPr>
      <w:spacing w:line="240" w:lineRule="auto"/>
      <w:jc w:val="center"/>
    </w:pPr>
    <w:rPr>
      <w:sz w:val="21"/>
    </w:rPr>
  </w:style>
  <w:style w:type="paragraph" w:customStyle="1" w:styleId="207">
    <w:name w:val="引用2"/>
    <w:basedOn w:val="1"/>
    <w:next w:val="1"/>
    <w:qFormat/>
    <w:uiPriority w:val="0"/>
    <w:pPr>
      <w:spacing w:beforeLines="50"/>
      <w:jc w:val="center"/>
    </w:pPr>
    <w:rPr>
      <w:b/>
      <w:iCs/>
      <w:color w:val="000000"/>
    </w:rPr>
  </w:style>
  <w:style w:type="paragraph" w:customStyle="1" w:styleId="208">
    <w:name w:val="正文缩进2"/>
    <w:basedOn w:val="1"/>
    <w:qFormat/>
    <w:uiPriority w:val="0"/>
    <w:pPr>
      <w:ind w:firstLine="624"/>
    </w:pPr>
    <w:rPr>
      <w:sz w:val="28"/>
      <w:szCs w:val="20"/>
    </w:rPr>
  </w:style>
  <w:style w:type="paragraph" w:customStyle="1" w:styleId="209">
    <w:name w:val="6 图名"/>
    <w:qFormat/>
    <w:uiPriority w:val="0"/>
    <w:pPr>
      <w:spacing w:beforeLines="50" w:afterLines="50"/>
      <w:ind w:firstLine="480" w:firstLineChars="200"/>
      <w:jc w:val="center"/>
    </w:pPr>
    <w:rPr>
      <w:rFonts w:ascii="宋体" w:hAnsi="宋体" w:eastAsia="宋体" w:cs="Times New Roman"/>
      <w:kern w:val="2"/>
      <w:sz w:val="24"/>
      <w:szCs w:val="24"/>
      <w:lang w:val="en-US" w:eastAsia="zh-CN" w:bidi="ar-SA"/>
    </w:rPr>
  </w:style>
  <w:style w:type="paragraph" w:customStyle="1" w:styleId="210">
    <w:name w:val="TOC 标题3"/>
    <w:basedOn w:val="3"/>
    <w:next w:val="1"/>
    <w:qFormat/>
    <w:uiPriority w:val="39"/>
    <w:pPr>
      <w:widowControl/>
      <w:spacing w:before="0" w:after="0" w:line="276" w:lineRule="auto"/>
      <w:jc w:val="left"/>
      <w:outlineLvl w:val="9"/>
    </w:pPr>
    <w:rPr>
      <w:rFonts w:ascii="Cambria" w:hAnsi="Cambria"/>
      <w:color w:val="365F91"/>
      <w:kern w:val="0"/>
      <w:sz w:val="28"/>
      <w:szCs w:val="28"/>
    </w:rPr>
  </w:style>
  <w:style w:type="paragraph" w:styleId="211">
    <w:name w:val="List Paragraph"/>
    <w:basedOn w:val="1"/>
    <w:qFormat/>
    <w:uiPriority w:val="34"/>
    <w:pPr>
      <w:ind w:firstLine="420" w:firstLineChars="200"/>
    </w:pPr>
    <w:rPr>
      <w:rFonts w:ascii="Calibri" w:hAnsi="Calibri"/>
    </w:rPr>
  </w:style>
  <w:style w:type="paragraph" w:customStyle="1" w:styleId="212">
    <w:name w:val="Char Char Char Char Char Char Char Char Char Char Char Char Char Char Char Char1"/>
    <w:basedOn w:val="1"/>
    <w:qFormat/>
    <w:uiPriority w:val="0"/>
    <w:pPr>
      <w:spacing w:line="360" w:lineRule="auto"/>
      <w:ind w:firstLine="200" w:firstLineChars="200"/>
    </w:pPr>
    <w:rPr>
      <w:rFonts w:ascii="宋体" w:hAnsi="宋体" w:cs="宋体"/>
      <w:szCs w:val="24"/>
    </w:rPr>
  </w:style>
  <w:style w:type="paragraph" w:customStyle="1" w:styleId="213">
    <w:name w:val="表文字"/>
    <w:qFormat/>
    <w:uiPriority w:val="0"/>
    <w:pPr>
      <w:widowControl w:val="0"/>
      <w:adjustRightInd w:val="0"/>
      <w:spacing w:line="240" w:lineRule="exact"/>
      <w:jc w:val="both"/>
      <w:textAlignment w:val="baseline"/>
    </w:pPr>
    <w:rPr>
      <w:rFonts w:ascii="Times New Roman" w:hAnsi="Times New Roman" w:eastAsia="宋体" w:cs="Times New Roman"/>
      <w:sz w:val="21"/>
      <w:lang w:val="en-US" w:eastAsia="zh-CN" w:bidi="ar-SA"/>
    </w:rPr>
  </w:style>
  <w:style w:type="character" w:customStyle="1" w:styleId="214">
    <w:name w:val="表格标题 Char"/>
    <w:link w:val="165"/>
    <w:qFormat/>
    <w:uiPriority w:val="0"/>
    <w:rPr>
      <w:b/>
      <w:sz w:val="21"/>
      <w:szCs w:val="24"/>
      <w:lang w:val="zh-CN"/>
    </w:rPr>
  </w:style>
  <w:style w:type="character" w:customStyle="1" w:styleId="215">
    <w:name w:val="正文---------------- Char"/>
    <w:link w:val="216"/>
    <w:qFormat/>
    <w:uiPriority w:val="0"/>
    <w:rPr>
      <w:rFonts w:cs="宋体"/>
      <w:spacing w:val="16"/>
      <w:kern w:val="2"/>
      <w:sz w:val="24"/>
    </w:rPr>
  </w:style>
  <w:style w:type="paragraph" w:customStyle="1" w:styleId="216">
    <w:name w:val="正文----------------"/>
    <w:basedOn w:val="1"/>
    <w:link w:val="215"/>
    <w:qFormat/>
    <w:uiPriority w:val="0"/>
    <w:pPr>
      <w:spacing w:line="440" w:lineRule="exact"/>
      <w:ind w:firstLine="544" w:firstLineChars="200"/>
    </w:pPr>
    <w:rPr>
      <w:spacing w:val="16"/>
      <w:szCs w:val="20"/>
      <w:lang w:val="zh-CN"/>
    </w:rPr>
  </w:style>
  <w:style w:type="character" w:customStyle="1" w:styleId="217">
    <w:name w:val="表格内容 Char"/>
    <w:link w:val="218"/>
    <w:qFormat/>
    <w:uiPriority w:val="0"/>
    <w:rPr>
      <w:snapToGrid w:val="0"/>
      <w:color w:val="FF0000"/>
      <w:sz w:val="21"/>
      <w:szCs w:val="21"/>
    </w:rPr>
  </w:style>
  <w:style w:type="paragraph" w:customStyle="1" w:styleId="218">
    <w:name w:val="表格内容"/>
    <w:basedOn w:val="1"/>
    <w:link w:val="217"/>
    <w:qFormat/>
    <w:uiPriority w:val="0"/>
    <w:pPr>
      <w:spacing w:line="240" w:lineRule="exact"/>
      <w:jc w:val="center"/>
    </w:pPr>
    <w:rPr>
      <w:snapToGrid w:val="0"/>
      <w:color w:val="FF0000"/>
      <w:kern w:val="0"/>
      <w:sz w:val="21"/>
      <w:szCs w:val="21"/>
      <w:lang w:val="zh-CN"/>
    </w:rPr>
  </w:style>
  <w:style w:type="paragraph" w:customStyle="1" w:styleId="219">
    <w:name w:val="环评表中文字"/>
    <w:basedOn w:val="1"/>
    <w:qFormat/>
    <w:uiPriority w:val="0"/>
    <w:pPr>
      <w:spacing w:line="240" w:lineRule="auto"/>
      <w:jc w:val="center"/>
    </w:pPr>
    <w:rPr>
      <w:sz w:val="21"/>
    </w:rPr>
  </w:style>
  <w:style w:type="paragraph" w:customStyle="1" w:styleId="220">
    <w:name w:val="正文 New New New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221">
    <w:name w:val="样式"/>
    <w:qFormat/>
    <w:uiPriority w:val="0"/>
    <w:pPr>
      <w:widowControl w:val="0"/>
      <w:autoSpaceDE w:val="0"/>
      <w:autoSpaceDN w:val="0"/>
      <w:adjustRightInd w:val="0"/>
    </w:pPr>
    <w:rPr>
      <w:rFonts w:ascii="宋体" w:hAnsi="宋体" w:eastAsia="宋体" w:cs="Times New Roman"/>
      <w:sz w:val="24"/>
      <w:szCs w:val="24"/>
      <w:lang w:val="en-US" w:eastAsia="zh-CN" w:bidi="ar-SA"/>
    </w:rPr>
  </w:style>
  <w:style w:type="table" w:customStyle="1" w:styleId="222">
    <w:name w:val="环评表格"/>
    <w:basedOn w:val="53"/>
    <w:qFormat/>
    <w:uiPriority w:val="0"/>
    <w:pPr>
      <w:snapToGrid w:val="0"/>
      <w:jc w:val="center"/>
    </w:pPr>
    <w:rPr>
      <w:sz w:val="21"/>
    </w:rPr>
    <w:tblPr>
      <w:jc w:val="center"/>
      <w:tblBorders>
        <w:top w:val="single" w:color="auto" w:sz="12" w:space="0"/>
        <w:bottom w:val="single" w:color="auto" w:sz="12" w:space="0"/>
        <w:insideH w:val="single" w:color="auto" w:sz="4" w:space="0"/>
        <w:insideV w:val="single" w:color="auto" w:sz="4" w:space="0"/>
      </w:tblBorders>
      <w:tblLayout w:type="fixed"/>
    </w:tblPr>
    <w:trPr>
      <w:jc w:val="center"/>
    </w:trPr>
    <w:tcPr>
      <w:vAlign w:val="center"/>
    </w:tcPr>
  </w:style>
  <w:style w:type="character" w:customStyle="1" w:styleId="223">
    <w:name w:val="【表头】 Char"/>
    <w:link w:val="224"/>
    <w:qFormat/>
    <w:uiPriority w:val="0"/>
    <w:rPr>
      <w:rFonts w:eastAsia="Times New Roman"/>
      <w:b/>
    </w:rPr>
  </w:style>
  <w:style w:type="paragraph" w:customStyle="1" w:styleId="224">
    <w:name w:val="【表头】"/>
    <w:basedOn w:val="1"/>
    <w:link w:val="223"/>
    <w:qFormat/>
    <w:uiPriority w:val="0"/>
    <w:pPr>
      <w:spacing w:line="460" w:lineRule="exact"/>
      <w:jc w:val="center"/>
    </w:pPr>
    <w:rPr>
      <w:rFonts w:eastAsia="Times New Roman"/>
      <w:b/>
      <w:kern w:val="0"/>
      <w:sz w:val="20"/>
      <w:szCs w:val="20"/>
    </w:rPr>
  </w:style>
  <w:style w:type="paragraph" w:customStyle="1" w:styleId="225">
    <w:name w:val="二级标题"/>
    <w:basedOn w:val="4"/>
    <w:link w:val="226"/>
    <w:qFormat/>
    <w:uiPriority w:val="0"/>
    <w:pPr>
      <w:spacing w:before="200" w:after="200" w:line="360" w:lineRule="auto"/>
    </w:pPr>
    <w:rPr>
      <w:rFonts w:hAnsi="黑体" w:eastAsia="黑体"/>
      <w:b w:val="0"/>
      <w:kern w:val="0"/>
      <w:sz w:val="28"/>
      <w:szCs w:val="30"/>
      <w:lang w:val="en-US"/>
    </w:rPr>
  </w:style>
  <w:style w:type="character" w:customStyle="1" w:styleId="226">
    <w:name w:val="二级标题 Char"/>
    <w:link w:val="225"/>
    <w:qFormat/>
    <w:uiPriority w:val="0"/>
    <w:rPr>
      <w:rFonts w:hAnsi="黑体" w:eastAsia="黑体"/>
      <w:bCs/>
      <w:sz w:val="28"/>
      <w:szCs w:val="30"/>
    </w:rPr>
  </w:style>
  <w:style w:type="character" w:customStyle="1" w:styleId="227">
    <w:name w:val="fontstyle01"/>
    <w:qFormat/>
    <w:uiPriority w:val="0"/>
    <w:rPr>
      <w:rFonts w:hint="default" w:ascii="FPEF" w:hAnsi="FPEF"/>
      <w:color w:val="000000"/>
      <w:sz w:val="24"/>
      <w:szCs w:val="24"/>
    </w:rPr>
  </w:style>
  <w:style w:type="paragraph" w:customStyle="1" w:styleId="228">
    <w:name w:val="默认段落字体 Para Char Char Char Char Char Char Char"/>
    <w:basedOn w:val="1"/>
    <w:qFormat/>
    <w:uiPriority w:val="0"/>
    <w:pPr>
      <w:snapToGrid w:val="0"/>
      <w:spacing w:line="360" w:lineRule="auto"/>
      <w:ind w:firstLine="200" w:firstLineChars="200"/>
    </w:pPr>
    <w:rPr>
      <w:sz w:val="21"/>
      <w:szCs w:val="24"/>
    </w:rPr>
  </w:style>
  <w:style w:type="character" w:customStyle="1" w:styleId="229">
    <w:name w:val="标题4 Char1"/>
    <w:link w:val="193"/>
    <w:qFormat/>
    <w:uiPriority w:val="0"/>
    <w:rPr>
      <w:rFonts w:hAnsi="宋体"/>
      <w:b/>
      <w:color w:val="FF0000"/>
      <w:kern w:val="2"/>
      <w:sz w:val="24"/>
      <w:szCs w:val="24"/>
    </w:rPr>
  </w:style>
  <w:style w:type="paragraph" w:customStyle="1" w:styleId="230">
    <w:name w:val="样式7"/>
    <w:basedOn w:val="1"/>
    <w:link w:val="231"/>
    <w:qFormat/>
    <w:uiPriority w:val="0"/>
    <w:pPr>
      <w:spacing w:before="160" w:after="160" w:line="360" w:lineRule="auto"/>
      <w:outlineLvl w:val="2"/>
    </w:pPr>
    <w:rPr>
      <w:rFonts w:hAnsi="宋体" w:eastAsia="黑体"/>
      <w:szCs w:val="24"/>
    </w:rPr>
  </w:style>
  <w:style w:type="character" w:customStyle="1" w:styleId="231">
    <w:name w:val="样式7 Char"/>
    <w:link w:val="230"/>
    <w:qFormat/>
    <w:uiPriority w:val="0"/>
    <w:rPr>
      <w:rFonts w:hAnsi="宋体" w:eastAsia="黑体"/>
      <w:kern w:val="2"/>
      <w:sz w:val="24"/>
      <w:szCs w:val="24"/>
    </w:rPr>
  </w:style>
  <w:style w:type="table" w:customStyle="1" w:styleId="232">
    <w:name w:val="环评表格1"/>
    <w:basedOn w:val="53"/>
    <w:qFormat/>
    <w:uiPriority w:val="0"/>
    <w:pPr>
      <w:snapToGrid w:val="0"/>
      <w:jc w:val="center"/>
    </w:pPr>
    <w:rPr>
      <w:sz w:val="21"/>
    </w:rPr>
    <w:tblPr>
      <w:jc w:val="center"/>
      <w:tblBorders>
        <w:top w:val="single" w:color="auto" w:sz="12" w:space="0"/>
        <w:bottom w:val="single" w:color="auto" w:sz="12" w:space="0"/>
        <w:insideH w:val="single" w:color="auto" w:sz="4" w:space="0"/>
        <w:insideV w:val="single" w:color="auto" w:sz="4" w:space="0"/>
      </w:tblBorders>
      <w:tblLayout w:type="fixed"/>
    </w:tblPr>
    <w:trPr>
      <w:jc w:val="center"/>
    </w:trPr>
    <w:tcPr>
      <w:vAlign w:val="center"/>
    </w:tcPr>
  </w:style>
  <w:style w:type="table" w:customStyle="1" w:styleId="233">
    <w:name w:val="网格型刘1"/>
    <w:basedOn w:val="53"/>
    <w:qFormat/>
    <w:uiPriority w:val="9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
  </w:style>
  <w:style w:type="paragraph" w:customStyle="1" w:styleId="234">
    <w:name w:val=".（送审稿）"/>
    <w:basedOn w:val="1"/>
    <w:link w:val="235"/>
    <w:qFormat/>
    <w:uiPriority w:val="0"/>
    <w:pPr>
      <w:spacing w:line="1000" w:lineRule="exact"/>
      <w:jc w:val="center"/>
    </w:pPr>
    <w:rPr>
      <w:kern w:val="0"/>
      <w:sz w:val="32"/>
      <w:szCs w:val="32"/>
    </w:rPr>
  </w:style>
  <w:style w:type="character" w:customStyle="1" w:styleId="235">
    <w:name w:val=".（送审稿） Char"/>
    <w:link w:val="234"/>
    <w:qFormat/>
    <w:uiPriority w:val="0"/>
    <w:rPr>
      <w:sz w:val="32"/>
      <w:szCs w:val="32"/>
    </w:rPr>
  </w:style>
  <w:style w:type="paragraph" w:customStyle="1" w:styleId="236">
    <w:name w:val=".标题1"/>
    <w:basedOn w:val="3"/>
    <w:link w:val="237"/>
    <w:qFormat/>
    <w:uiPriority w:val="0"/>
    <w:pPr>
      <w:spacing w:before="0" w:after="0" w:line="700" w:lineRule="exact"/>
    </w:pPr>
    <w:rPr>
      <w:rFonts w:eastAsia="黑体"/>
      <w:b w:val="0"/>
      <w:sz w:val="32"/>
      <w:szCs w:val="32"/>
      <w:lang w:val="en-US"/>
    </w:rPr>
  </w:style>
  <w:style w:type="character" w:customStyle="1" w:styleId="237">
    <w:name w:val=".标题1 Char"/>
    <w:link w:val="236"/>
    <w:qFormat/>
    <w:uiPriority w:val="0"/>
    <w:rPr>
      <w:rFonts w:eastAsia="黑体"/>
      <w:bCs/>
      <w:kern w:val="44"/>
      <w:sz w:val="32"/>
      <w:szCs w:val="32"/>
    </w:rPr>
  </w:style>
  <w:style w:type="paragraph" w:customStyle="1" w:styleId="238">
    <w:name w:val=".标题1.1"/>
    <w:basedOn w:val="4"/>
    <w:link w:val="239"/>
    <w:qFormat/>
    <w:uiPriority w:val="0"/>
    <w:pPr>
      <w:spacing w:before="156" w:beforeLines="50" w:after="156" w:afterLines="50" w:line="500" w:lineRule="exact"/>
    </w:pPr>
    <w:rPr>
      <w:rFonts w:hAnsi="Cambria" w:eastAsia="黑体"/>
      <w:b w:val="0"/>
      <w:bCs w:val="0"/>
      <w:kern w:val="0"/>
      <w:sz w:val="28"/>
      <w:lang w:val="en-US"/>
    </w:rPr>
  </w:style>
  <w:style w:type="character" w:customStyle="1" w:styleId="239">
    <w:name w:val=".标题1.1 Char"/>
    <w:link w:val="238"/>
    <w:qFormat/>
    <w:uiPriority w:val="0"/>
    <w:rPr>
      <w:rFonts w:hAnsi="Cambria" w:eastAsia="黑体"/>
      <w:sz w:val="28"/>
      <w:szCs w:val="32"/>
    </w:rPr>
  </w:style>
  <w:style w:type="paragraph" w:customStyle="1" w:styleId="240">
    <w:name w:val=".标题1.1.1"/>
    <w:basedOn w:val="1"/>
    <w:link w:val="241"/>
    <w:qFormat/>
    <w:uiPriority w:val="0"/>
    <w:pPr>
      <w:spacing w:line="500" w:lineRule="exact"/>
      <w:outlineLvl w:val="2"/>
    </w:pPr>
    <w:rPr>
      <w:rFonts w:ascii="黑体" w:hAnsi="黑体" w:eastAsia="黑体" w:cs="黑体"/>
      <w:kern w:val="0"/>
    </w:rPr>
  </w:style>
  <w:style w:type="character" w:customStyle="1" w:styleId="241">
    <w:name w:val=".标题1.1.1 Char"/>
    <w:link w:val="240"/>
    <w:qFormat/>
    <w:uiPriority w:val="0"/>
    <w:rPr>
      <w:rFonts w:ascii="黑体" w:hAnsi="黑体" w:eastAsia="黑体" w:cs="黑体"/>
      <w:sz w:val="24"/>
      <w:szCs w:val="22"/>
    </w:rPr>
  </w:style>
  <w:style w:type="paragraph" w:customStyle="1" w:styleId="242">
    <w:name w:val=".标题1.1.1.1"/>
    <w:basedOn w:val="1"/>
    <w:link w:val="243"/>
    <w:qFormat/>
    <w:uiPriority w:val="0"/>
    <w:pPr>
      <w:spacing w:line="500" w:lineRule="exact"/>
      <w:outlineLvl w:val="3"/>
    </w:pPr>
    <w:rPr>
      <w:rFonts w:ascii="宋体" w:hAnsi="宋体" w:cs="宋体"/>
      <w:kern w:val="0"/>
    </w:rPr>
  </w:style>
  <w:style w:type="character" w:customStyle="1" w:styleId="243">
    <w:name w:val=".标题1.1.1.1 Char"/>
    <w:link w:val="242"/>
    <w:qFormat/>
    <w:uiPriority w:val="0"/>
    <w:rPr>
      <w:rFonts w:ascii="宋体" w:hAnsi="宋体" w:cs="宋体"/>
      <w:sz w:val="24"/>
      <w:szCs w:val="22"/>
    </w:rPr>
  </w:style>
  <w:style w:type="paragraph" w:customStyle="1" w:styleId="244">
    <w:name w:val=".表1-1-1"/>
    <w:basedOn w:val="1"/>
    <w:link w:val="245"/>
    <w:qFormat/>
    <w:uiPriority w:val="0"/>
    <w:pPr>
      <w:spacing w:line="500" w:lineRule="exact"/>
      <w:jc w:val="center"/>
    </w:pPr>
    <w:rPr>
      <w:rFonts w:eastAsia="黑体"/>
      <w:kern w:val="0"/>
    </w:rPr>
  </w:style>
  <w:style w:type="character" w:customStyle="1" w:styleId="245">
    <w:name w:val=".表1-1-1 Char"/>
    <w:link w:val="244"/>
    <w:qFormat/>
    <w:uiPriority w:val="0"/>
    <w:rPr>
      <w:rFonts w:eastAsia="黑体"/>
      <w:sz w:val="24"/>
      <w:szCs w:val="22"/>
    </w:rPr>
  </w:style>
  <w:style w:type="paragraph" w:customStyle="1" w:styleId="246">
    <w:name w:val=".表1-1-1内容"/>
    <w:basedOn w:val="1"/>
    <w:link w:val="247"/>
    <w:qFormat/>
    <w:uiPriority w:val="0"/>
    <w:pPr>
      <w:spacing w:line="300" w:lineRule="exact"/>
      <w:jc w:val="center"/>
    </w:pPr>
    <w:rPr>
      <w:kern w:val="0"/>
      <w:sz w:val="21"/>
      <w:szCs w:val="21"/>
    </w:rPr>
  </w:style>
  <w:style w:type="character" w:customStyle="1" w:styleId="247">
    <w:name w:val=".表1-1-1内容 Char"/>
    <w:link w:val="246"/>
    <w:qFormat/>
    <w:uiPriority w:val="0"/>
    <w:rPr>
      <w:sz w:val="21"/>
      <w:szCs w:val="21"/>
    </w:rPr>
  </w:style>
  <w:style w:type="paragraph" w:customStyle="1" w:styleId="248">
    <w:name w:val=".表头人员"/>
    <w:basedOn w:val="1"/>
    <w:link w:val="249"/>
    <w:qFormat/>
    <w:uiPriority w:val="0"/>
    <w:pPr>
      <w:spacing w:line="500" w:lineRule="exact"/>
      <w:jc w:val="center"/>
    </w:pPr>
    <w:rPr>
      <w:rFonts w:ascii="宋体"/>
      <w:b/>
      <w:kern w:val="0"/>
      <w:sz w:val="30"/>
    </w:rPr>
  </w:style>
  <w:style w:type="character" w:customStyle="1" w:styleId="249">
    <w:name w:val=".表头人员 Char"/>
    <w:link w:val="248"/>
    <w:qFormat/>
    <w:uiPriority w:val="0"/>
    <w:rPr>
      <w:rFonts w:ascii="宋体"/>
      <w:b/>
      <w:sz w:val="30"/>
      <w:szCs w:val="22"/>
    </w:rPr>
  </w:style>
  <w:style w:type="paragraph" w:customStyle="1" w:styleId="250">
    <w:name w:val=".表头人员编制主持人"/>
    <w:basedOn w:val="1"/>
    <w:link w:val="251"/>
    <w:qFormat/>
    <w:uiPriority w:val="0"/>
    <w:pPr>
      <w:adjustRightInd w:val="0"/>
      <w:snapToGrid w:val="0"/>
      <w:spacing w:line="500" w:lineRule="exact"/>
      <w:jc w:val="center"/>
    </w:pPr>
    <w:rPr>
      <w:rFonts w:ascii="黑体" w:hAnsi="黑体" w:eastAsia="黑体" w:cs="黑体"/>
      <w:kern w:val="0"/>
    </w:rPr>
  </w:style>
  <w:style w:type="character" w:customStyle="1" w:styleId="251">
    <w:name w:val=".表头人员编制主持人 Char"/>
    <w:link w:val="250"/>
    <w:qFormat/>
    <w:uiPriority w:val="0"/>
    <w:rPr>
      <w:rFonts w:ascii="黑体" w:hAnsi="黑体" w:eastAsia="黑体" w:cs="黑体"/>
      <w:sz w:val="24"/>
      <w:szCs w:val="22"/>
    </w:rPr>
  </w:style>
  <w:style w:type="paragraph" w:customStyle="1" w:styleId="252">
    <w:name w:val=".表头人员内容"/>
    <w:basedOn w:val="1"/>
    <w:link w:val="253"/>
    <w:qFormat/>
    <w:uiPriority w:val="0"/>
    <w:pPr>
      <w:adjustRightInd w:val="0"/>
      <w:snapToGrid w:val="0"/>
      <w:spacing w:line="320" w:lineRule="exact"/>
      <w:jc w:val="center"/>
    </w:pPr>
    <w:rPr>
      <w:rFonts w:ascii="宋体" w:hAnsi="宋体" w:cs="宋体"/>
      <w:kern w:val="0"/>
    </w:rPr>
  </w:style>
  <w:style w:type="character" w:customStyle="1" w:styleId="253">
    <w:name w:val=".表头人员内容 Char"/>
    <w:link w:val="252"/>
    <w:qFormat/>
    <w:uiPriority w:val="0"/>
    <w:rPr>
      <w:rFonts w:ascii="宋体" w:hAnsi="宋体" w:cs="宋体"/>
      <w:sz w:val="24"/>
      <w:szCs w:val="22"/>
    </w:rPr>
  </w:style>
  <w:style w:type="paragraph" w:customStyle="1" w:styleId="254">
    <w:name w:val=".表头人员主要编制人员情况"/>
    <w:basedOn w:val="1"/>
    <w:link w:val="255"/>
    <w:qFormat/>
    <w:uiPriority w:val="0"/>
    <w:pPr>
      <w:adjustRightInd w:val="0"/>
      <w:snapToGrid w:val="0"/>
      <w:spacing w:line="500" w:lineRule="exact"/>
      <w:jc w:val="center"/>
    </w:pPr>
    <w:rPr>
      <w:rFonts w:ascii="宋体" w:eastAsia="黑体"/>
      <w:kern w:val="0"/>
      <w:sz w:val="28"/>
      <w:szCs w:val="28"/>
    </w:rPr>
  </w:style>
  <w:style w:type="character" w:customStyle="1" w:styleId="255">
    <w:name w:val=".表头人员主要编制人员情况 Char"/>
    <w:link w:val="254"/>
    <w:qFormat/>
    <w:uiPriority w:val="0"/>
    <w:rPr>
      <w:rFonts w:ascii="宋体" w:eastAsia="黑体"/>
      <w:sz w:val="28"/>
      <w:szCs w:val="28"/>
    </w:rPr>
  </w:style>
  <w:style w:type="paragraph" w:customStyle="1" w:styleId="256">
    <w:name w:val=".附件"/>
    <w:basedOn w:val="33"/>
    <w:link w:val="257"/>
    <w:qFormat/>
    <w:uiPriority w:val="0"/>
    <w:pPr>
      <w:tabs>
        <w:tab w:val="right" w:leader="dot" w:pos="8312"/>
      </w:tabs>
      <w:spacing w:before="0" w:after="0" w:line="400" w:lineRule="exact"/>
      <w:jc w:val="both"/>
    </w:pPr>
    <w:rPr>
      <w:rFonts w:ascii="黑体" w:hAnsi="黑体" w:eastAsia="黑体" w:cs="黑体"/>
      <w:b w:val="0"/>
      <w:caps w:val="0"/>
      <w:kern w:val="0"/>
      <w:sz w:val="24"/>
      <w:szCs w:val="22"/>
    </w:rPr>
  </w:style>
  <w:style w:type="character" w:customStyle="1" w:styleId="257">
    <w:name w:val=".附件 Char"/>
    <w:link w:val="256"/>
    <w:qFormat/>
    <w:uiPriority w:val="0"/>
    <w:rPr>
      <w:rFonts w:ascii="黑体" w:hAnsi="黑体" w:eastAsia="黑体" w:cs="黑体"/>
      <w:bCs/>
      <w:sz w:val="24"/>
      <w:szCs w:val="22"/>
    </w:rPr>
  </w:style>
  <w:style w:type="paragraph" w:customStyle="1" w:styleId="258">
    <w:name w:val=".工程项目"/>
    <w:basedOn w:val="1"/>
    <w:link w:val="259"/>
    <w:qFormat/>
    <w:uiPriority w:val="0"/>
    <w:pPr>
      <w:spacing w:line="1000" w:lineRule="exact"/>
      <w:jc w:val="center"/>
    </w:pPr>
    <w:rPr>
      <w:rFonts w:ascii="黑体" w:hAnsi="黑体" w:eastAsia="黑体" w:cs="黑体"/>
      <w:kern w:val="0"/>
      <w:sz w:val="48"/>
      <w:szCs w:val="48"/>
    </w:rPr>
  </w:style>
  <w:style w:type="character" w:customStyle="1" w:styleId="259">
    <w:name w:val=".工程项目 Char"/>
    <w:link w:val="258"/>
    <w:qFormat/>
    <w:uiPriority w:val="0"/>
    <w:rPr>
      <w:rFonts w:ascii="黑体" w:hAnsi="黑体" w:eastAsia="黑体" w:cs="黑体"/>
      <w:sz w:val="48"/>
      <w:szCs w:val="48"/>
    </w:rPr>
  </w:style>
  <w:style w:type="paragraph" w:customStyle="1" w:styleId="260">
    <w:name w:val=".环境影响报告书"/>
    <w:basedOn w:val="1"/>
    <w:link w:val="261"/>
    <w:qFormat/>
    <w:uiPriority w:val="0"/>
    <w:pPr>
      <w:spacing w:line="1000" w:lineRule="exact"/>
      <w:jc w:val="center"/>
    </w:pPr>
    <w:rPr>
      <w:rFonts w:eastAsia="黑体"/>
      <w:kern w:val="0"/>
      <w:sz w:val="84"/>
      <w:szCs w:val="84"/>
    </w:rPr>
  </w:style>
  <w:style w:type="character" w:customStyle="1" w:styleId="261">
    <w:name w:val=".环境影响报告书 Char"/>
    <w:link w:val="260"/>
    <w:qFormat/>
    <w:uiPriority w:val="0"/>
    <w:rPr>
      <w:rFonts w:eastAsia="黑体"/>
      <w:sz w:val="84"/>
      <w:szCs w:val="84"/>
    </w:rPr>
  </w:style>
  <w:style w:type="paragraph" w:customStyle="1" w:styleId="262">
    <w:name w:val=".目录"/>
    <w:basedOn w:val="33"/>
    <w:link w:val="263"/>
    <w:qFormat/>
    <w:uiPriority w:val="0"/>
    <w:pPr>
      <w:tabs>
        <w:tab w:val="right" w:leader="dot" w:pos="8312"/>
      </w:tabs>
      <w:spacing w:before="0" w:after="0" w:line="500" w:lineRule="exact"/>
      <w:jc w:val="center"/>
    </w:pPr>
    <w:rPr>
      <w:rFonts w:ascii="Times New Roman" w:hAnsi="Times New Roman" w:eastAsia="黑体" w:cs="Times New Roman"/>
      <w:b w:val="0"/>
      <w:caps w:val="0"/>
      <w:kern w:val="0"/>
      <w:sz w:val="32"/>
      <w:szCs w:val="32"/>
    </w:rPr>
  </w:style>
  <w:style w:type="character" w:customStyle="1" w:styleId="263">
    <w:name w:val=".目录 Char"/>
    <w:link w:val="262"/>
    <w:qFormat/>
    <w:uiPriority w:val="0"/>
    <w:rPr>
      <w:rFonts w:eastAsia="黑体"/>
      <w:bCs/>
      <w:sz w:val="32"/>
      <w:szCs w:val="32"/>
    </w:rPr>
  </w:style>
  <w:style w:type="paragraph" w:customStyle="1" w:styleId="264">
    <w:name w:val=".目录1"/>
    <w:basedOn w:val="33"/>
    <w:link w:val="265"/>
    <w:qFormat/>
    <w:uiPriority w:val="0"/>
    <w:pPr>
      <w:tabs>
        <w:tab w:val="right" w:leader="dot" w:pos="8312"/>
      </w:tabs>
      <w:spacing w:before="0" w:after="0" w:line="400" w:lineRule="exact"/>
      <w:jc w:val="both"/>
    </w:pPr>
    <w:rPr>
      <w:rFonts w:ascii="黑体" w:hAnsi="黑体" w:eastAsia="黑体" w:cs="黑体"/>
      <w:b w:val="0"/>
      <w:bCs w:val="0"/>
      <w:caps w:val="0"/>
      <w:kern w:val="0"/>
      <w:sz w:val="24"/>
      <w:szCs w:val="32"/>
    </w:rPr>
  </w:style>
  <w:style w:type="character" w:customStyle="1" w:styleId="265">
    <w:name w:val=".目录1 Char"/>
    <w:link w:val="264"/>
    <w:qFormat/>
    <w:uiPriority w:val="0"/>
    <w:rPr>
      <w:rFonts w:ascii="黑体" w:hAnsi="黑体" w:eastAsia="黑体" w:cs="黑体"/>
      <w:sz w:val="24"/>
      <w:szCs w:val="32"/>
    </w:rPr>
  </w:style>
  <w:style w:type="paragraph" w:customStyle="1" w:styleId="266">
    <w:name w:val=".目录1.1"/>
    <w:basedOn w:val="39"/>
    <w:link w:val="267"/>
    <w:qFormat/>
    <w:uiPriority w:val="0"/>
    <w:pPr>
      <w:tabs>
        <w:tab w:val="right" w:leader="dot" w:pos="8312"/>
      </w:tabs>
      <w:spacing w:line="400" w:lineRule="exact"/>
      <w:ind w:left="480" w:leftChars="200"/>
      <w:jc w:val="both"/>
    </w:pPr>
    <w:rPr>
      <w:rFonts w:ascii="黑体" w:hAnsi="黑体" w:eastAsia="黑体" w:cs="黑体"/>
      <w:smallCaps w:val="0"/>
      <w:kern w:val="0"/>
      <w:sz w:val="24"/>
      <w:szCs w:val="32"/>
    </w:rPr>
  </w:style>
  <w:style w:type="character" w:customStyle="1" w:styleId="267">
    <w:name w:val=".目录1.1 Char"/>
    <w:link w:val="266"/>
    <w:qFormat/>
    <w:uiPriority w:val="0"/>
    <w:rPr>
      <w:rFonts w:ascii="黑体" w:hAnsi="黑体" w:eastAsia="黑体" w:cs="黑体"/>
      <w:sz w:val="24"/>
      <w:szCs w:val="32"/>
    </w:rPr>
  </w:style>
  <w:style w:type="paragraph" w:customStyle="1" w:styleId="268">
    <w:name w:val=".目录1.1.1"/>
    <w:basedOn w:val="24"/>
    <w:link w:val="269"/>
    <w:qFormat/>
    <w:uiPriority w:val="0"/>
    <w:pPr>
      <w:tabs>
        <w:tab w:val="right" w:leader="dot" w:pos="8312"/>
      </w:tabs>
      <w:spacing w:line="400" w:lineRule="exact"/>
      <w:ind w:left="960" w:leftChars="400"/>
      <w:jc w:val="both"/>
    </w:pPr>
    <w:rPr>
      <w:rFonts w:ascii="黑体" w:hAnsi="黑体" w:eastAsia="黑体" w:cs="黑体"/>
      <w:i w:val="0"/>
      <w:iCs w:val="0"/>
      <w:kern w:val="0"/>
      <w:sz w:val="24"/>
      <w:szCs w:val="22"/>
    </w:rPr>
  </w:style>
  <w:style w:type="character" w:customStyle="1" w:styleId="269">
    <w:name w:val=".目录1.1.1 Char"/>
    <w:link w:val="268"/>
    <w:qFormat/>
    <w:uiPriority w:val="0"/>
    <w:rPr>
      <w:rFonts w:ascii="黑体" w:hAnsi="黑体" w:eastAsia="黑体" w:cs="黑体"/>
      <w:sz w:val="24"/>
      <w:szCs w:val="22"/>
    </w:rPr>
  </w:style>
  <w:style w:type="paragraph" w:customStyle="1" w:styleId="270">
    <w:name w:val=".图1-1-1"/>
    <w:basedOn w:val="1"/>
    <w:link w:val="271"/>
    <w:qFormat/>
    <w:uiPriority w:val="0"/>
    <w:pPr>
      <w:spacing w:line="500" w:lineRule="exact"/>
      <w:jc w:val="center"/>
    </w:pPr>
    <w:rPr>
      <w:rFonts w:ascii="黑体" w:hAnsi="黑体" w:eastAsia="黑体" w:cs="黑体"/>
      <w:bCs/>
      <w:kern w:val="0"/>
    </w:rPr>
  </w:style>
  <w:style w:type="character" w:customStyle="1" w:styleId="271">
    <w:name w:val=".图1-1-1 Char"/>
    <w:link w:val="270"/>
    <w:qFormat/>
    <w:uiPriority w:val="0"/>
    <w:rPr>
      <w:rFonts w:ascii="黑体" w:hAnsi="黑体" w:eastAsia="黑体" w:cs="黑体"/>
      <w:bCs/>
      <w:sz w:val="24"/>
      <w:szCs w:val="22"/>
    </w:rPr>
  </w:style>
  <w:style w:type="paragraph" w:customStyle="1" w:styleId="272">
    <w:name w:val=".委托单位："/>
    <w:basedOn w:val="1"/>
    <w:link w:val="273"/>
    <w:qFormat/>
    <w:uiPriority w:val="0"/>
    <w:pPr>
      <w:spacing w:line="600" w:lineRule="exact"/>
      <w:ind w:left="1944" w:leftChars="810"/>
    </w:pPr>
    <w:rPr>
      <w:rFonts w:ascii="黑体" w:hAnsi="黑体" w:eastAsia="黑体" w:cs="黑体"/>
      <w:spacing w:val="6"/>
      <w:kern w:val="0"/>
      <w:sz w:val="32"/>
      <w:szCs w:val="32"/>
    </w:rPr>
  </w:style>
  <w:style w:type="character" w:customStyle="1" w:styleId="273">
    <w:name w:val=".委托单位： Char"/>
    <w:link w:val="272"/>
    <w:qFormat/>
    <w:uiPriority w:val="0"/>
    <w:rPr>
      <w:rFonts w:ascii="黑体" w:hAnsi="黑体" w:eastAsia="黑体" w:cs="黑体"/>
      <w:spacing w:val="6"/>
      <w:sz w:val="32"/>
      <w:szCs w:val="32"/>
    </w:rPr>
  </w:style>
  <w:style w:type="paragraph" w:customStyle="1" w:styleId="274">
    <w:name w:val=".页眉"/>
    <w:basedOn w:val="31"/>
    <w:link w:val="275"/>
    <w:qFormat/>
    <w:uiPriority w:val="0"/>
    <w:pPr>
      <w:spacing w:line="300" w:lineRule="exact"/>
    </w:pPr>
    <w:rPr>
      <w:rFonts w:ascii="黑体" w:hAnsi="黑体" w:eastAsia="黑体" w:cs="黑体"/>
      <w:sz w:val="21"/>
      <w:szCs w:val="21"/>
      <w:lang w:val="en-US"/>
    </w:rPr>
  </w:style>
  <w:style w:type="character" w:customStyle="1" w:styleId="275">
    <w:name w:val=".页眉 Char"/>
    <w:link w:val="274"/>
    <w:qFormat/>
    <w:uiPriority w:val="0"/>
    <w:rPr>
      <w:rFonts w:ascii="黑体" w:hAnsi="黑体" w:eastAsia="黑体" w:cs="黑体"/>
      <w:sz w:val="21"/>
      <w:szCs w:val="21"/>
    </w:rPr>
  </w:style>
  <w:style w:type="paragraph" w:customStyle="1" w:styleId="276">
    <w:name w:val="..正文"/>
    <w:basedOn w:val="1"/>
    <w:link w:val="277"/>
    <w:qFormat/>
    <w:uiPriority w:val="0"/>
    <w:pPr>
      <w:spacing w:line="500" w:lineRule="exact"/>
      <w:ind w:firstLine="480" w:firstLineChars="200"/>
      <w:jc w:val="left"/>
    </w:pPr>
    <w:rPr>
      <w:kern w:val="0"/>
      <w:szCs w:val="24"/>
    </w:rPr>
  </w:style>
  <w:style w:type="character" w:customStyle="1" w:styleId="277">
    <w:name w:val="..正文 Char"/>
    <w:link w:val="276"/>
    <w:qFormat/>
    <w:uiPriority w:val="0"/>
    <w:rPr>
      <w:sz w:val="24"/>
      <w:szCs w:val="24"/>
    </w:rPr>
  </w:style>
  <w:style w:type="paragraph" w:customStyle="1" w:styleId="278">
    <w:name w:val=".证书编号"/>
    <w:basedOn w:val="1"/>
    <w:link w:val="279"/>
    <w:qFormat/>
    <w:uiPriority w:val="0"/>
    <w:pPr>
      <w:wordWrap w:val="0"/>
      <w:spacing w:line="240" w:lineRule="auto"/>
      <w:ind w:left="-240" w:leftChars="-200" w:right="-535" w:rightChars="-223" w:hanging="240" w:hangingChars="100"/>
      <w:jc w:val="center"/>
    </w:pPr>
    <w:rPr>
      <w:kern w:val="0"/>
    </w:rPr>
  </w:style>
  <w:style w:type="character" w:customStyle="1" w:styleId="279">
    <w:name w:val=".证书编号 Char"/>
    <w:link w:val="278"/>
    <w:qFormat/>
    <w:uiPriority w:val="0"/>
    <w:rPr>
      <w:sz w:val="24"/>
      <w:szCs w:val="22"/>
    </w:rPr>
  </w:style>
  <w:style w:type="paragraph" w:customStyle="1" w:styleId="280">
    <w:name w:val="样式 标题 4 + (西文) Times New Roman 小四 非加粗 段前: 12 磅 段后: 0 磅 行距: ..."/>
    <w:basedOn w:val="6"/>
    <w:qFormat/>
    <w:uiPriority w:val="0"/>
    <w:pPr>
      <w:spacing w:before="0" w:after="0"/>
    </w:pPr>
    <w:rPr>
      <w:rFonts w:cs="宋体"/>
      <w:bCs w:val="0"/>
      <w:szCs w:val="20"/>
      <w:lang w:val="en-US"/>
    </w:rPr>
  </w:style>
  <w:style w:type="paragraph" w:customStyle="1" w:styleId="281">
    <w:name w:val="样式4"/>
    <w:basedOn w:val="1"/>
    <w:qFormat/>
    <w:uiPriority w:val="0"/>
    <w:pPr>
      <w:tabs>
        <w:tab w:val="left" w:pos="1260"/>
      </w:tabs>
      <w:adjustRightInd w:val="0"/>
      <w:snapToGrid w:val="0"/>
      <w:spacing w:line="360" w:lineRule="auto"/>
      <w:ind w:firstLine="480" w:firstLineChars="200"/>
    </w:pPr>
    <w:rPr>
      <w:rFonts w:ascii="宋体" w:hAnsi="宋体"/>
      <w:szCs w:val="24"/>
    </w:rPr>
  </w:style>
  <w:style w:type="character" w:customStyle="1" w:styleId="282">
    <w:name w:val="注释标题 Char"/>
    <w:link w:val="16"/>
    <w:qFormat/>
    <w:uiPriority w:val="99"/>
    <w:rPr>
      <w:kern w:val="1"/>
      <w:sz w:val="24"/>
      <w:szCs w:val="22"/>
    </w:rPr>
  </w:style>
  <w:style w:type="character" w:customStyle="1" w:styleId="283">
    <w:name w:val="签名 Char"/>
    <w:link w:val="32"/>
    <w:qFormat/>
    <w:uiPriority w:val="99"/>
    <w:rPr>
      <w:kern w:val="2"/>
      <w:sz w:val="24"/>
      <w:szCs w:val="22"/>
    </w:rPr>
  </w:style>
  <w:style w:type="paragraph" w:customStyle="1" w:styleId="284">
    <w:name w:val="图表标题"/>
    <w:basedOn w:val="1"/>
    <w:qFormat/>
    <w:uiPriority w:val="0"/>
    <w:pPr>
      <w:spacing w:line="500" w:lineRule="exact"/>
      <w:jc w:val="center"/>
    </w:pPr>
    <w:rPr>
      <w:rFonts w:ascii="黑体" w:hAnsi="黑体" w:eastAsia="黑体"/>
      <w:szCs w:val="24"/>
    </w:rPr>
  </w:style>
  <w:style w:type="paragraph" w:customStyle="1" w:styleId="285">
    <w:name w:val="CM4"/>
    <w:basedOn w:val="1"/>
    <w:next w:val="1"/>
    <w:qFormat/>
    <w:uiPriority w:val="0"/>
    <w:pPr>
      <w:autoSpaceDE w:val="0"/>
      <w:autoSpaceDN w:val="0"/>
      <w:adjustRightInd w:val="0"/>
      <w:spacing w:line="400" w:lineRule="atLeast"/>
    </w:pPr>
    <w:rPr>
      <w:szCs w:val="24"/>
    </w:rPr>
  </w:style>
  <w:style w:type="paragraph" w:customStyle="1" w:styleId="286">
    <w:name w:val="p0"/>
    <w:basedOn w:val="1"/>
    <w:qFormat/>
    <w:uiPriority w:val="0"/>
    <w:rPr>
      <w:szCs w:val="21"/>
    </w:rPr>
  </w:style>
  <w:style w:type="paragraph" w:customStyle="1" w:styleId="287">
    <w:name w:val="p19"/>
    <w:basedOn w:val="1"/>
    <w:qFormat/>
    <w:uiPriority w:val="0"/>
    <w:pPr>
      <w:jc w:val="center"/>
    </w:pPr>
    <w:rPr>
      <w:szCs w:val="21"/>
    </w:rPr>
  </w:style>
  <w:style w:type="paragraph" w:customStyle="1" w:styleId="288">
    <w:name w:val="新正文"/>
    <w:basedOn w:val="1"/>
    <w:qFormat/>
    <w:uiPriority w:val="0"/>
    <w:pPr>
      <w:spacing w:line="500" w:lineRule="exact"/>
      <w:ind w:firstLine="200" w:firstLineChars="200"/>
    </w:pPr>
    <w:rPr>
      <w:rFonts w:ascii="宋体" w:hAnsi="宋体"/>
      <w:szCs w:val="24"/>
    </w:rPr>
  </w:style>
  <w:style w:type="paragraph" w:customStyle="1" w:styleId="289">
    <w:name w:val="Char1 Char Char Char"/>
    <w:basedOn w:val="1"/>
    <w:qFormat/>
    <w:uiPriority w:val="0"/>
    <w:pPr>
      <w:spacing w:line="240" w:lineRule="auto"/>
    </w:pPr>
    <w:rPr>
      <w:rFonts w:eastAsia="Times New Roman"/>
      <w:snapToGrid w:val="0"/>
      <w:kern w:val="28"/>
      <w:sz w:val="28"/>
      <w:szCs w:val="20"/>
    </w:rPr>
  </w:style>
  <w:style w:type="character" w:styleId="290">
    <w:name w:val="Placeholder Text"/>
    <w:basedOn w:val="45"/>
    <w:unhideWhenUsed/>
    <w:qFormat/>
    <w:uiPriority w:val="99"/>
    <w:rPr>
      <w:color w:val="808080"/>
    </w:rPr>
  </w:style>
  <w:style w:type="paragraph" w:customStyle="1" w:styleId="291">
    <w:name w:val="修订1"/>
    <w:hidden/>
    <w:semiHidden/>
    <w:qFormat/>
    <w:uiPriority w:val="99"/>
    <w:rPr>
      <w:rFonts w:ascii="Times New Roman" w:hAnsi="Times New Roman" w:eastAsia="宋体" w:cs="Times New Roman"/>
      <w:kern w:val="2"/>
      <w:sz w:val="24"/>
      <w:szCs w:val="22"/>
      <w:lang w:val="en-US" w:eastAsia="zh-CN" w:bidi="ar-SA"/>
    </w:rPr>
  </w:style>
  <w:style w:type="paragraph" w:customStyle="1" w:styleId="292">
    <w:name w:val="雪表文"/>
    <w:basedOn w:val="1"/>
    <w:qFormat/>
    <w:uiPriority w:val="0"/>
    <w:pPr>
      <w:spacing w:line="360" w:lineRule="exact"/>
      <w:jc w:val="center"/>
      <w:textAlignment w:val="center"/>
    </w:pPr>
    <w:rPr>
      <w:bCs/>
      <w:iCs/>
      <w:sz w:val="21"/>
      <w:szCs w:val="28"/>
    </w:rPr>
  </w:style>
  <w:style w:type="character" w:customStyle="1" w:styleId="293">
    <w:name w:val="bds_more"/>
    <w:basedOn w:val="45"/>
    <w:qFormat/>
    <w:uiPriority w:val="0"/>
    <w:rPr>
      <w:rFonts w:hint="eastAsia" w:ascii="宋体" w:hAnsi="宋体" w:eastAsia="宋体" w:cs="宋体"/>
    </w:rPr>
  </w:style>
  <w:style w:type="character" w:customStyle="1" w:styleId="294">
    <w:name w:val="bds_more1"/>
    <w:basedOn w:val="45"/>
    <w:qFormat/>
    <w:uiPriority w:val="0"/>
  </w:style>
  <w:style w:type="character" w:customStyle="1" w:styleId="295">
    <w:name w:val="bds_more2"/>
    <w:basedOn w:val="45"/>
    <w:qFormat/>
    <w:uiPriority w:val="0"/>
  </w:style>
  <w:style w:type="character" w:customStyle="1" w:styleId="296">
    <w:name w:val="bds_nopic"/>
    <w:basedOn w:val="45"/>
    <w:qFormat/>
    <w:uiPriority w:val="0"/>
  </w:style>
  <w:style w:type="character" w:customStyle="1" w:styleId="297">
    <w:name w:val="bds_nopic1"/>
    <w:basedOn w:val="45"/>
    <w:qFormat/>
    <w:uiPriority w:val="0"/>
  </w:style>
  <w:style w:type="character" w:customStyle="1" w:styleId="298">
    <w:name w:val="bds_nopic2"/>
    <w:basedOn w:val="45"/>
    <w:qFormat/>
    <w:uiPriority w:val="0"/>
  </w:style>
  <w:style w:type="paragraph" w:customStyle="1" w:styleId="299">
    <w:name w:val="缩进"/>
    <w:basedOn w:val="1"/>
    <w:qFormat/>
    <w:uiPriority w:val="0"/>
    <w:pPr>
      <w:spacing w:line="400" w:lineRule="atLeast"/>
      <w:ind w:firstLine="200"/>
    </w:pPr>
    <w:rPr>
      <w:color w:val="000000"/>
      <w:kern w:val="0"/>
      <w:szCs w:val="24"/>
    </w:rPr>
  </w:style>
  <w:style w:type="character" w:customStyle="1" w:styleId="300">
    <w:name w:val="font01"/>
    <w:basedOn w:val="45"/>
    <w:qFormat/>
    <w:uiPriority w:val="0"/>
    <w:rPr>
      <w:rFonts w:hint="default" w:ascii="Times New Roman" w:hAnsi="Times New Roman" w:cs="Times New Roman"/>
      <w:color w:val="000000"/>
      <w:sz w:val="21"/>
      <w:szCs w:val="21"/>
      <w:u w:val="none"/>
    </w:rPr>
  </w:style>
  <w:style w:type="character" w:customStyle="1" w:styleId="301">
    <w:name w:val="font11"/>
    <w:basedOn w:val="45"/>
    <w:qFormat/>
    <w:uiPriority w:val="0"/>
    <w:rPr>
      <w:rFonts w:hint="eastAsia" w:ascii="宋体" w:hAnsi="宋体" w:eastAsia="宋体" w:cs="宋体"/>
      <w:color w:val="000000"/>
      <w:sz w:val="21"/>
      <w:szCs w:val="21"/>
      <w:u w:val="none"/>
    </w:rPr>
  </w:style>
  <w:style w:type="character" w:customStyle="1" w:styleId="302">
    <w:name w:val="font51"/>
    <w:basedOn w:val="45"/>
    <w:qFormat/>
    <w:uiPriority w:val="0"/>
    <w:rPr>
      <w:rFonts w:hint="eastAsia" w:ascii="宋体" w:hAnsi="宋体" w:eastAsia="宋体" w:cs="宋体"/>
      <w:color w:val="000000"/>
      <w:sz w:val="21"/>
      <w:szCs w:val="21"/>
      <w:u w:val="none"/>
    </w:rPr>
  </w:style>
  <w:style w:type="character" w:customStyle="1" w:styleId="303">
    <w:name w:val="font21"/>
    <w:basedOn w:val="45"/>
    <w:qFormat/>
    <w:uiPriority w:val="0"/>
    <w:rPr>
      <w:rFonts w:hint="default" w:ascii="Times New Roman" w:hAnsi="Times New Roman" w:cs="Times New Roman"/>
      <w:color w:val="000000"/>
      <w:sz w:val="21"/>
      <w:szCs w:val="21"/>
      <w:u w:val="none"/>
    </w:rPr>
  </w:style>
  <w:style w:type="character" w:customStyle="1" w:styleId="304">
    <w:name w:val="font31"/>
    <w:basedOn w:val="45"/>
    <w:qFormat/>
    <w:uiPriority w:val="0"/>
    <w:rPr>
      <w:rFonts w:hint="eastAsia" w:ascii="宋体" w:hAnsi="宋体" w:eastAsia="宋体" w:cs="宋体"/>
      <w:color w:val="000000"/>
      <w:sz w:val="18"/>
      <w:szCs w:val="18"/>
      <w:u w:val="none"/>
    </w:rPr>
  </w:style>
  <w:style w:type="character" w:customStyle="1" w:styleId="305">
    <w:name w:val="font41"/>
    <w:basedOn w:val="45"/>
    <w:qFormat/>
    <w:uiPriority w:val="0"/>
    <w:rPr>
      <w:rFonts w:hint="eastAsia" w:ascii="宋体" w:hAnsi="宋体" w:eastAsia="宋体" w:cs="宋体"/>
      <w:color w:val="000000"/>
      <w:sz w:val="21"/>
      <w:szCs w:val="21"/>
      <w:u w:val="none"/>
      <w:vertAlign w:val="subscript"/>
    </w:rPr>
  </w:style>
  <w:style w:type="paragraph" w:customStyle="1" w:styleId="306">
    <w:name w:val="表头和图片"/>
    <w:basedOn w:val="25"/>
    <w:next w:val="1"/>
    <w:qFormat/>
    <w:uiPriority w:val="0"/>
    <w:pPr>
      <w:jc w:val="center"/>
    </w:pPr>
    <w:rPr>
      <w:rFonts w:ascii="Times New Roman" w:hAnsi="宋体"/>
      <w:b/>
      <w:kern w:val="0"/>
      <w:sz w:val="20"/>
      <w:szCs w:val="20"/>
    </w:rPr>
  </w:style>
  <w:style w:type="paragraph" w:customStyle="1" w:styleId="307">
    <w:name w:val="表文6"/>
    <w:basedOn w:val="1"/>
    <w:qFormat/>
    <w:uiPriority w:val="0"/>
    <w:pPr>
      <w:spacing w:line="240" w:lineRule="auto"/>
      <w:ind w:firstLine="0" w:firstLineChars="0"/>
      <w:jc w:val="center"/>
    </w:pPr>
    <w:rPr>
      <w:sz w:val="21"/>
      <w:szCs w:val="20"/>
    </w:rPr>
  </w:style>
  <w:style w:type="paragraph" w:customStyle="1" w:styleId="308">
    <w:name w:val="图表标题5"/>
    <w:basedOn w:val="1"/>
    <w:qFormat/>
    <w:uiPriority w:val="0"/>
    <w:pPr>
      <w:snapToGrid w:val="0"/>
      <w:spacing w:line="240" w:lineRule="auto"/>
      <w:ind w:firstLine="0" w:firstLineChars="0"/>
      <w:jc w:val="center"/>
    </w:pPr>
    <w:rPr>
      <w:rFonts w:eastAsia="黑体"/>
      <w:b/>
      <w:sz w:val="21"/>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2.wmf"/><Relationship Id="rId8" Type="http://schemas.openxmlformats.org/officeDocument/2006/relationships/oleObject" Target="embeddings/oleObject1.bin"/><Relationship Id="rId7" Type="http://schemas.openxmlformats.org/officeDocument/2006/relationships/image" Target="media/image1.png"/><Relationship Id="rId6" Type="http://schemas.openxmlformats.org/officeDocument/2006/relationships/theme" Target="theme/theme1.xml"/><Relationship Id="rId56" Type="http://schemas.openxmlformats.org/officeDocument/2006/relationships/fontTable" Target="fontTable.xml"/><Relationship Id="rId55" Type="http://schemas.openxmlformats.org/officeDocument/2006/relationships/customXml" Target="../customXml/item2.xml"/><Relationship Id="rId54" Type="http://schemas.openxmlformats.org/officeDocument/2006/relationships/numbering" Target="numbering.xml"/><Relationship Id="rId53" Type="http://schemas.openxmlformats.org/officeDocument/2006/relationships/customXml" Target="../customXml/item1.xml"/><Relationship Id="rId52" Type="http://schemas.openxmlformats.org/officeDocument/2006/relationships/image" Target="media/image33.jpeg"/><Relationship Id="rId51" Type="http://schemas.openxmlformats.org/officeDocument/2006/relationships/image" Target="media/image32.jpeg"/><Relationship Id="rId50" Type="http://schemas.openxmlformats.org/officeDocument/2006/relationships/image" Target="media/image31.jpeg"/><Relationship Id="rId5" Type="http://schemas.openxmlformats.org/officeDocument/2006/relationships/footer" Target="footer1.xml"/><Relationship Id="rId49" Type="http://schemas.openxmlformats.org/officeDocument/2006/relationships/image" Target="media/image30.png"/><Relationship Id="rId48" Type="http://schemas.openxmlformats.org/officeDocument/2006/relationships/image" Target="media/image29.png"/><Relationship Id="rId47" Type="http://schemas.openxmlformats.org/officeDocument/2006/relationships/image" Target="media/image28.png"/><Relationship Id="rId46" Type="http://schemas.openxmlformats.org/officeDocument/2006/relationships/image" Target="media/image27.wmf"/><Relationship Id="rId45" Type="http://schemas.openxmlformats.org/officeDocument/2006/relationships/oleObject" Target="embeddings/oleObject13.bin"/><Relationship Id="rId44" Type="http://schemas.openxmlformats.org/officeDocument/2006/relationships/image" Target="media/image26.png"/><Relationship Id="rId43" Type="http://schemas.openxmlformats.org/officeDocument/2006/relationships/oleObject" Target="embeddings/oleObject12.bin"/><Relationship Id="rId42" Type="http://schemas.openxmlformats.org/officeDocument/2006/relationships/image" Target="media/image25.wmf"/><Relationship Id="rId41" Type="http://schemas.openxmlformats.org/officeDocument/2006/relationships/oleObject" Target="embeddings/oleObject11.bin"/><Relationship Id="rId40" Type="http://schemas.openxmlformats.org/officeDocument/2006/relationships/image" Target="media/image24.jpeg"/><Relationship Id="rId4" Type="http://schemas.openxmlformats.org/officeDocument/2006/relationships/header" Target="header2.xml"/><Relationship Id="rId39" Type="http://schemas.openxmlformats.org/officeDocument/2006/relationships/image" Target="media/image23.png"/><Relationship Id="rId38" Type="http://schemas.openxmlformats.org/officeDocument/2006/relationships/image" Target="media/image22.jpeg"/><Relationship Id="rId37" Type="http://schemas.openxmlformats.org/officeDocument/2006/relationships/image" Target="media/image21.png"/><Relationship Id="rId36" Type="http://schemas.openxmlformats.org/officeDocument/2006/relationships/image" Target="media/image20.wmf"/><Relationship Id="rId35" Type="http://schemas.openxmlformats.org/officeDocument/2006/relationships/oleObject" Target="embeddings/oleObject10.bin"/><Relationship Id="rId34" Type="http://schemas.openxmlformats.org/officeDocument/2006/relationships/image" Target="media/image19.png"/><Relationship Id="rId33" Type="http://schemas.openxmlformats.org/officeDocument/2006/relationships/image" Target="media/image18.png"/><Relationship Id="rId32" Type="http://schemas.openxmlformats.org/officeDocument/2006/relationships/image" Target="media/image17.png"/><Relationship Id="rId31" Type="http://schemas.openxmlformats.org/officeDocument/2006/relationships/image" Target="media/image16.png"/><Relationship Id="rId30" Type="http://schemas.openxmlformats.org/officeDocument/2006/relationships/image" Target="media/image15.png"/><Relationship Id="rId3" Type="http://schemas.openxmlformats.org/officeDocument/2006/relationships/header" Target="header1.xml"/><Relationship Id="rId29" Type="http://schemas.openxmlformats.org/officeDocument/2006/relationships/image" Target="media/image14.wmf"/><Relationship Id="rId28" Type="http://schemas.openxmlformats.org/officeDocument/2006/relationships/oleObject" Target="embeddings/oleObject9.bin"/><Relationship Id="rId27" Type="http://schemas.openxmlformats.org/officeDocument/2006/relationships/image" Target="media/image13.emf"/><Relationship Id="rId26" Type="http://schemas.openxmlformats.org/officeDocument/2006/relationships/oleObject" Target="embeddings/oleObject8.bin"/><Relationship Id="rId25" Type="http://schemas.openxmlformats.org/officeDocument/2006/relationships/oleObject" Target="embeddings/oleObject7.bin"/><Relationship Id="rId24" Type="http://schemas.openxmlformats.org/officeDocument/2006/relationships/image" Target="media/image12.jpeg"/><Relationship Id="rId23" Type="http://schemas.openxmlformats.org/officeDocument/2006/relationships/image" Target="media/image11.emf"/><Relationship Id="rId22" Type="http://schemas.openxmlformats.org/officeDocument/2006/relationships/oleObject" Target="embeddings/oleObject6.bin"/><Relationship Id="rId21" Type="http://schemas.openxmlformats.org/officeDocument/2006/relationships/image" Target="media/image10.png"/><Relationship Id="rId20" Type="http://schemas.openxmlformats.org/officeDocument/2006/relationships/image" Target="media/image9.emf"/><Relationship Id="rId2" Type="http://schemas.openxmlformats.org/officeDocument/2006/relationships/settings" Target="settings.xml"/><Relationship Id="rId19" Type="http://schemas.openxmlformats.org/officeDocument/2006/relationships/oleObject" Target="embeddings/oleObject5.bin"/><Relationship Id="rId18" Type="http://schemas.openxmlformats.org/officeDocument/2006/relationships/image" Target="media/image8.jpeg"/><Relationship Id="rId17" Type="http://schemas.openxmlformats.org/officeDocument/2006/relationships/image" Target="media/image7.wmf"/><Relationship Id="rId16" Type="http://schemas.openxmlformats.org/officeDocument/2006/relationships/oleObject" Target="embeddings/oleObject4.bin"/><Relationship Id="rId15" Type="http://schemas.openxmlformats.org/officeDocument/2006/relationships/image" Target="media/image6.jpeg"/><Relationship Id="rId14" Type="http://schemas.openxmlformats.org/officeDocument/2006/relationships/image" Target="media/image5.jpeg"/><Relationship Id="rId13" Type="http://schemas.openxmlformats.org/officeDocument/2006/relationships/image" Target="media/image4.wmf"/><Relationship Id="rId12" Type="http://schemas.openxmlformats.org/officeDocument/2006/relationships/oleObject" Target="embeddings/oleObject3.bin"/><Relationship Id="rId11" Type="http://schemas.openxmlformats.org/officeDocument/2006/relationships/image" Target="media/image3.wmf"/><Relationship Id="rId10" Type="http://schemas.openxmlformats.org/officeDocument/2006/relationships/oleObject" Target="embeddings/oleObject2.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BC96A4D-109F-46BF-B650-656E6BAD2130}">
  <ds:schemaRefs/>
</ds:datastoreItem>
</file>

<file path=docProps/app.xml><?xml version="1.0" encoding="utf-8"?>
<Properties xmlns="http://schemas.openxmlformats.org/officeDocument/2006/extended-properties" xmlns:vt="http://schemas.openxmlformats.org/officeDocument/2006/docPropsVTypes">
  <Template>Normal</Template>
  <Company>MS</Company>
  <Pages>176</Pages>
  <Words>16960</Words>
  <Characters>96676</Characters>
  <Lines>805</Lines>
  <Paragraphs>226</Paragraphs>
  <TotalTime>8</TotalTime>
  <ScaleCrop>false</ScaleCrop>
  <LinksUpToDate>false</LinksUpToDate>
  <CharactersWithSpaces>113410</CharactersWithSpaces>
  <Application>WPS Office_10.1.0.7697_F1E327BC-269C-435d-A152-05C5408002CA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2018-07-16T09:59:00Z</dcterms:created>
  <dc:creator>USER</dc:creator>
  <cp:lastModifiedBy>☆暮恩☆</cp:lastModifiedBy>
  <cp:lastPrinted>2018-07-23T02:14:00Z</cp:lastPrinted>
  <dcterms:modified xsi:type="dcterms:W3CDTF">2018-12-12T05:53:33Z</dcterms:modified>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2052-10.1.0.7697</vt:lpwstr>
  </property>
</Properties>
</file>